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40"/>
        <w:gridCol w:w="123"/>
        <w:gridCol w:w="123"/>
        <w:gridCol w:w="2872"/>
        <w:gridCol w:w="2872"/>
        <w:gridCol w:w="4075"/>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xml:space="preserve">☒ </w:t>
            </w:r>
          </w:p>
        </w:tc>
        <w:tc>
          <w:tcPr>
            <w:tcW w:w="9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 the transition period from _________ to 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001-40103</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AlTi Global, Inc.</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8655" w:type="dxa"/>
        <w:jc w:val="left"/>
        <w:tblInd w:w="0" w:type="dxa"/>
        <w:tblLayout w:type="fixed"/>
        <w:tblCellMar>
          <w:top w:w="28" w:type="dxa"/>
          <w:left w:w="28" w:type="dxa"/>
          <w:bottom w:w="28" w:type="dxa"/>
          <w:right w:w="28" w:type="dxa"/>
        </w:tblCellMar>
      </w:tblPr>
      <w:tblGrid>
        <w:gridCol w:w="2016"/>
        <w:gridCol w:w="1775"/>
        <w:gridCol w:w="1789"/>
        <w:gridCol w:w="897"/>
        <w:gridCol w:w="897"/>
        <w:gridCol w:w="1281"/>
      </w:tblGrid>
      <w:tr>
        <w:trPr/>
        <w:tc>
          <w:tcPr>
            <w:tcW w:w="2016"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Delaware</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92-1552220</w:t>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2"/>
              </w:rPr>
              <w:t>22 Vanderbilt Avenue, 27th Floor New York</w:t>
            </w:r>
            <w:r>
              <w:rPr>
                <w:rFonts w:ascii="Times New Roman;serif" w:hAnsi="Times New Roman;serif"/>
                <w:b/>
                <w:color w:val="000000"/>
                <w:sz w:val="20"/>
              </w:rPr>
              <w:t xml:space="preserve">, </w:t>
            </w:r>
            <w:r>
              <w:rPr>
                <w:rFonts w:ascii="Times New Roman;serif" w:hAnsi="Times New Roman;serif"/>
                <w:b/>
                <w:color w:val="000000"/>
                <w:sz w:val="22"/>
              </w:rPr>
              <w:t>New York</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color w:val="000000"/>
                <w:sz w:val="22"/>
              </w:rPr>
            </w:pPr>
            <w:r>
              <w:rPr>
                <w:rFonts w:ascii="Times New Roman;serif" w:hAnsi="Times New Roman;serif"/>
                <w:b/>
                <w:color w:val="000000"/>
                <w:sz w:val="22"/>
              </w:rPr>
              <w:t>10017</w:t>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(212) 396-5900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13" w:type="dxa"/>
        <w:jc w:val="left"/>
        <w:tblInd w:w="0" w:type="dxa"/>
        <w:tblLayout w:type="fixed"/>
        <w:tblCellMar>
          <w:top w:w="28" w:type="dxa"/>
          <w:left w:w="28" w:type="dxa"/>
          <w:bottom w:w="28" w:type="dxa"/>
          <w:right w:w="28" w:type="dxa"/>
        </w:tblCellMar>
      </w:tblPr>
      <w:tblGrid>
        <w:gridCol w:w="1553"/>
        <w:gridCol w:w="1360"/>
        <w:gridCol w:w="1376"/>
        <w:gridCol w:w="539"/>
        <w:gridCol w:w="539"/>
        <w:gridCol w:w="541"/>
        <w:gridCol w:w="1085"/>
        <w:gridCol w:w="1085"/>
        <w:gridCol w:w="1535"/>
      </w:tblGrid>
      <w:tr>
        <w:trPr/>
        <w:tc>
          <w:tcPr>
            <w:tcW w:w="15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ALTI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Nasdaq Capital Market</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19" w:type="dxa"/>
        <w:jc w:val="left"/>
        <w:tblInd w:w="0" w:type="dxa"/>
        <w:tblLayout w:type="fixed"/>
        <w:tblCellMar>
          <w:top w:w="28" w:type="dxa"/>
          <w:left w:w="28" w:type="dxa"/>
          <w:bottom w:w="28" w:type="dxa"/>
          <w:right w:w="28" w:type="dxa"/>
        </w:tblCellMar>
      </w:tblPr>
      <w:tblGrid>
        <w:gridCol w:w="711"/>
        <w:gridCol w:w="625"/>
        <w:gridCol w:w="629"/>
        <w:gridCol w:w="109"/>
        <w:gridCol w:w="109"/>
        <w:gridCol w:w="109"/>
        <w:gridCol w:w="784"/>
        <w:gridCol w:w="784"/>
        <w:gridCol w:w="787"/>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110,744,073 shares of Class A Common Stock (as defined herein) and 40,873,767 shares of Class B Common Stock (as defined herein) as of May 8,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60655"/>
                <wp:effectExtent l="0" t="0" r="0" b="0"/>
                <wp:wrapNone/>
                <wp:docPr id="1" name="Frame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3568"/>
        <w:gridCol w:w="3119"/>
        <w:gridCol w:w="3126"/>
        <w:gridCol w:w="114"/>
        <w:gridCol w:w="114"/>
        <w:gridCol w:w="164"/>
      </w:tblGrid>
      <w:tr>
        <w:trPr/>
        <w:tc>
          <w:tcPr>
            <w:tcW w:w="3568"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Part I Financial Information</w:t>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121">
              <w:r>
                <w:rPr>
                  <w:rStyle w:val="InternetLink"/>
                  <w:rFonts w:ascii="Times New Roman;serif" w:hAnsi="Times New Roman;serif"/>
                  <w:b w:val="false"/>
                  <w:strike w:val="false"/>
                  <w:dstrike w:val="false"/>
                  <w:color w:val="000000"/>
                  <w:sz w:val="22"/>
                  <w:u w:val="none"/>
                  <w:effect w:val="none"/>
                </w:rPr>
                <w:t>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121">
              <w:r>
                <w:rPr>
                  <w:rStyle w:val="InternetLink"/>
                  <w:rFonts w:ascii="Times New Roman;serif" w:hAnsi="Times New Roman;serif"/>
                  <w:b w:val="false"/>
                  <w:strike w:val="false"/>
                  <w:dstrike w:val="false"/>
                  <w:color w:val="000000"/>
                  <w:sz w:val="22"/>
                  <w:u w:val="none"/>
                  <w:effect w:val="none"/>
                </w:rPr>
                <w:t>Item 1. Financial Statements (Unaudited)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121">
              <w:r>
                <w:rPr>
                  <w:rStyle w:val="InternetLink"/>
                  <w:rFonts w:ascii="Times New Roman;serif" w:hAnsi="Times New Roman;serif"/>
                  <w:b w:val="false"/>
                  <w:strike w:val="false"/>
                  <w:dstrike w:val="false"/>
                  <w:color w:val="000000"/>
                  <w:sz w:val="22"/>
                  <w:u w:val="none"/>
                  <w:effect w:val="none"/>
                </w:rPr>
                <w:t>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Condensed </w:t>
            </w:r>
            <w:hyperlink w:anchor="ia479d12b5a9c421f84bbaadf44dc473d_127">
              <w:r>
                <w:rPr>
                  <w:rStyle w:val="InternetLink"/>
                  <w:rFonts w:ascii="Times New Roman;serif" w:hAnsi="Times New Roman;serif"/>
                  <w:b w:val="false"/>
                  <w:strike w:val="false"/>
                  <w:dstrike w:val="false"/>
                  <w:color w:val="000080"/>
                  <w:sz w:val="22"/>
                  <w:u w:val="single"/>
                  <w:effect w:val="none"/>
                </w:rPr>
                <w:t xml:space="preserve">Consolidated </w:t>
              </w:r>
            </w:hyperlink>
            <w:hyperlink w:anchor="ia479d12b5a9c421f84bbaadf44dc473d_127">
              <w:r>
                <w:rPr>
                  <w:rStyle w:val="InternetLink"/>
                  <w:rFonts w:ascii="Times New Roman;serif" w:hAnsi="Times New Roman;serif"/>
                  <w:b w:val="false"/>
                  <w:strike w:val="false"/>
                  <w:dstrike w:val="false"/>
                  <w:color w:val="000080"/>
                  <w:sz w:val="22"/>
                  <w:u w:val="single"/>
                  <w:effect w:val="none"/>
                </w:rPr>
                <w:t xml:space="preserve">Statements </w:t>
              </w:r>
            </w:hyperlink>
            <w:hyperlink w:anchor="ia479d12b5a9c421f84bbaadf44dc473d_127">
              <w:r>
                <w:rPr>
                  <w:rStyle w:val="InternetLink"/>
                  <w:rFonts w:ascii="Times New Roman;serif" w:hAnsi="Times New Roman;serif"/>
                  <w:b w:val="false"/>
                  <w:strike w:val="false"/>
                  <w:dstrike w:val="false"/>
                  <w:color w:val="000080"/>
                  <w:sz w:val="22"/>
                  <w:u w:val="single"/>
                  <w:effect w:val="none"/>
                </w:rPr>
                <w:t>of Financial Position (Unaudited)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127">
              <w:r>
                <w:rPr>
                  <w:rStyle w:val="InternetLink"/>
                  <w:rFonts w:ascii="Times New Roman;serif" w:hAnsi="Times New Roman;serif"/>
                  <w:b w:val="false"/>
                  <w:strike w:val="false"/>
                  <w:dstrike w:val="false"/>
                  <w:color w:val="000000"/>
                  <w:sz w:val="22"/>
                  <w:u w:val="none"/>
                  <w:effect w:val="none"/>
                </w:rPr>
                <w:t>9</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Condensed </w:t>
            </w:r>
            <w:hyperlink w:anchor="ia479d12b5a9c421f84bbaadf44dc473d_130">
              <w:r>
                <w:rPr>
                  <w:rStyle w:val="InternetLink"/>
                  <w:rFonts w:ascii="Times New Roman;serif" w:hAnsi="Times New Roman;serif"/>
                  <w:b w:val="false"/>
                  <w:strike w:val="false"/>
                  <w:dstrike w:val="false"/>
                  <w:color w:val="000080"/>
                  <w:sz w:val="22"/>
                  <w:u w:val="single"/>
                  <w:effect w:val="none"/>
                </w:rPr>
                <w:t xml:space="preserve">Consolidated </w:t>
              </w:r>
            </w:hyperlink>
            <w:hyperlink w:anchor="ia479d12b5a9c421f84bbaadf44dc473d_130">
              <w:r>
                <w:rPr>
                  <w:rStyle w:val="InternetLink"/>
                  <w:rFonts w:ascii="Times New Roman;serif" w:hAnsi="Times New Roman;serif"/>
                  <w:b w:val="false"/>
                  <w:strike w:val="false"/>
                  <w:dstrike w:val="false"/>
                  <w:color w:val="000080"/>
                  <w:sz w:val="22"/>
                  <w:u w:val="single"/>
                  <w:effect w:val="none"/>
                </w:rPr>
                <w:t xml:space="preserve">Statements </w:t>
              </w:r>
            </w:hyperlink>
            <w:hyperlink w:anchor="ia479d12b5a9c421f84bbaadf44dc473d_130">
              <w:r>
                <w:rPr>
                  <w:rStyle w:val="InternetLink"/>
                  <w:rFonts w:ascii="Times New Roman;serif" w:hAnsi="Times New Roman;serif"/>
                  <w:b w:val="false"/>
                  <w:strike w:val="false"/>
                  <w:dstrike w:val="false"/>
                  <w:color w:val="000080"/>
                  <w:sz w:val="22"/>
                  <w:u w:val="single"/>
                  <w:effect w:val="none"/>
                </w:rPr>
                <w:t>of Operations (Unaudited)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130">
              <w:r>
                <w:rPr>
                  <w:rStyle w:val="InternetLink"/>
                  <w:rFonts w:ascii="Times New Roman;serif" w:hAnsi="Times New Roman;serif"/>
                  <w:b w:val="false"/>
                  <w:strike w:val="false"/>
                  <w:dstrike w:val="false"/>
                  <w:color w:val="000000"/>
                  <w:sz w:val="22"/>
                  <w:u w:val="none"/>
                  <w:effect w:val="none"/>
                </w:rPr>
                <w:t>10</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Condensed Consolidated Statements of Comprehensive Income (Loss) (Unaudited)</w:t>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133">
              <w:r>
                <w:rPr>
                  <w:rStyle w:val="InternetLink"/>
                  <w:rFonts w:ascii="Times New Roman;serif" w:hAnsi="Times New Roman;serif"/>
                  <w:b w:val="false"/>
                  <w:strike w:val="false"/>
                  <w:dstrike w:val="false"/>
                  <w:color w:val="000000"/>
                  <w:sz w:val="22"/>
                  <w:u w:val="none"/>
                  <w:effect w:val="none"/>
                </w:rPr>
                <w:t>12</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Condensed </w:t>
            </w:r>
            <w:hyperlink w:anchor="ia479d12b5a9c421f84bbaadf44dc473d_136">
              <w:r>
                <w:rPr>
                  <w:rStyle w:val="InternetLink"/>
                  <w:rFonts w:ascii="Times New Roman;serif" w:hAnsi="Times New Roman;serif"/>
                  <w:b w:val="false"/>
                  <w:strike w:val="false"/>
                  <w:dstrike w:val="false"/>
                  <w:color w:val="000080"/>
                  <w:sz w:val="22"/>
                  <w:u w:val="single"/>
                  <w:effect w:val="none"/>
                </w:rPr>
                <w:t xml:space="preserve">Consolidated </w:t>
              </w:r>
            </w:hyperlink>
            <w:hyperlink w:anchor="ia479d12b5a9c421f84bbaadf44dc473d_136">
              <w:r>
                <w:rPr>
                  <w:rStyle w:val="InternetLink"/>
                  <w:rFonts w:ascii="Times New Roman;serif" w:hAnsi="Times New Roman;serif"/>
                  <w:b w:val="false"/>
                  <w:strike w:val="false"/>
                  <w:dstrike w:val="false"/>
                  <w:color w:val="000080"/>
                  <w:sz w:val="22"/>
                  <w:u w:val="single"/>
                  <w:effect w:val="none"/>
                </w:rPr>
                <w:t xml:space="preserve">Statements </w:t>
              </w:r>
            </w:hyperlink>
            <w:hyperlink w:anchor="ia479d12b5a9c421f84bbaadf44dc473d_136">
              <w:r>
                <w:rPr>
                  <w:rStyle w:val="InternetLink"/>
                  <w:rFonts w:ascii="Times New Roman;serif" w:hAnsi="Times New Roman;serif"/>
                  <w:b w:val="false"/>
                  <w:strike w:val="false"/>
                  <w:dstrike w:val="false"/>
                  <w:color w:val="000080"/>
                  <w:sz w:val="22"/>
                  <w:u w:val="single"/>
                  <w:effect w:val="none"/>
                </w:rPr>
                <w:t>of Changes in Mezzanine Equity and Shareholders’ Equity (Unaudited)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136">
              <w:r>
                <w:rPr>
                  <w:rStyle w:val="InternetLink"/>
                  <w:rFonts w:ascii="Times New Roman;serif" w:hAnsi="Times New Roman;serif"/>
                  <w:b w:val="false"/>
                  <w:strike w:val="false"/>
                  <w:dstrike w:val="false"/>
                  <w:color w:val="000000"/>
                  <w:sz w:val="22"/>
                  <w:u w:val="none"/>
                  <w:effect w:val="none"/>
                </w:rPr>
                <w:t>13</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Condensed </w:t>
            </w:r>
            <w:hyperlink w:anchor="ia479d12b5a9c421f84bbaadf44dc473d_139">
              <w:r>
                <w:rPr>
                  <w:rStyle w:val="InternetLink"/>
                  <w:rFonts w:ascii="Times New Roman;serif" w:hAnsi="Times New Roman;serif"/>
                  <w:b w:val="false"/>
                  <w:strike w:val="false"/>
                  <w:dstrike w:val="false"/>
                  <w:color w:val="000080"/>
                  <w:sz w:val="22"/>
                  <w:u w:val="single"/>
                  <w:effect w:val="none"/>
                </w:rPr>
                <w:t xml:space="preserve">Consolidated </w:t>
              </w:r>
            </w:hyperlink>
            <w:hyperlink w:anchor="ia479d12b5a9c421f84bbaadf44dc473d_139">
              <w:r>
                <w:rPr>
                  <w:rStyle w:val="InternetLink"/>
                  <w:rFonts w:ascii="Times New Roman;serif" w:hAnsi="Times New Roman;serif"/>
                  <w:b w:val="false"/>
                  <w:strike w:val="false"/>
                  <w:dstrike w:val="false"/>
                  <w:color w:val="000080"/>
                  <w:sz w:val="22"/>
                  <w:u w:val="single"/>
                  <w:effect w:val="none"/>
                </w:rPr>
                <w:t xml:space="preserve">Statements </w:t>
              </w:r>
            </w:hyperlink>
            <w:hyperlink w:anchor="ia479d12b5a9c421f84bbaadf44dc473d_139">
              <w:r>
                <w:rPr>
                  <w:rStyle w:val="InternetLink"/>
                  <w:rFonts w:ascii="Times New Roman;serif" w:hAnsi="Times New Roman;serif"/>
                  <w:b w:val="false"/>
                  <w:strike w:val="false"/>
                  <w:dstrike w:val="false"/>
                  <w:color w:val="000080"/>
                  <w:sz w:val="22"/>
                  <w:u w:val="single"/>
                  <w:effect w:val="none"/>
                </w:rPr>
                <w:t>of Cash Flows (Unaudited)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139">
              <w:r>
                <w:rPr>
                  <w:rStyle w:val="InternetLink"/>
                  <w:rFonts w:ascii="Times New Roman;serif" w:hAnsi="Times New Roman;serif"/>
                  <w:b w:val="false"/>
                  <w:strike w:val="false"/>
                  <w:dstrike w:val="false"/>
                  <w:color w:val="000000"/>
                  <w:sz w:val="22"/>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142">
              <w:r>
                <w:rPr>
                  <w:rStyle w:val="InternetLink"/>
                  <w:rFonts w:ascii="Times New Roman;serif" w:hAnsi="Times New Roman;serif"/>
                  <w:b w:val="false"/>
                  <w:strike w:val="false"/>
                  <w:dstrike w:val="false"/>
                  <w:color w:val="000000"/>
                  <w:sz w:val="22"/>
                  <w:u w:val="none"/>
                  <w:effect w:val="none"/>
                </w:rPr>
                <w:t xml:space="preserve">Notes to </w:t>
              </w:r>
            </w:hyperlink>
            <w:r>
              <w:rPr>
                <w:rFonts w:ascii="Times New Roman;serif" w:hAnsi="Times New Roman;serif"/>
                <w:b w:val="false"/>
                <w:color w:val="000000"/>
                <w:sz w:val="22"/>
              </w:rPr>
              <w:t xml:space="preserve">Condensed </w:t>
            </w:r>
            <w:hyperlink w:anchor="ia479d12b5a9c421f84bbaadf44dc473d_142">
              <w:r>
                <w:rPr>
                  <w:rStyle w:val="InternetLink"/>
                  <w:rFonts w:ascii="Times New Roman;serif" w:hAnsi="Times New Roman;serif"/>
                  <w:b w:val="false"/>
                  <w:strike w:val="false"/>
                  <w:dstrike w:val="false"/>
                  <w:color w:val="000000"/>
                  <w:sz w:val="22"/>
                  <w:u w:val="none"/>
                  <w:effect w:val="none"/>
                </w:rPr>
                <w:t>Consolidated Financial Statements (Unaudited)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142">
              <w:r>
                <w:rPr>
                  <w:rStyle w:val="InternetLink"/>
                  <w:rFonts w:ascii="Times New Roman;serif" w:hAnsi="Times New Roman;serif"/>
                  <w:b w:val="false"/>
                  <w:strike w:val="false"/>
                  <w:dstrike w:val="false"/>
                  <w:color w:val="000000"/>
                  <w:sz w:val="22"/>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52">
              <w:r>
                <w:rPr>
                  <w:rStyle w:val="InternetLink"/>
                  <w:rFonts w:ascii="Times New Roman;serif" w:hAnsi="Times New Roman;serif"/>
                  <w:b w:val="false"/>
                  <w:strike w:val="false"/>
                  <w:dstrike w:val="false"/>
                  <w:color w:val="000000"/>
                  <w:sz w:val="22"/>
                  <w:u w:val="none"/>
                  <w:effect w:val="none"/>
                </w:rPr>
                <w:t>Item 2. Management’s Discussion and Analysis of Financial Condition and Results of Operations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52">
              <w:r>
                <w:rPr>
                  <w:rStyle w:val="InternetLink"/>
                  <w:rFonts w:ascii="Times New Roman;serif" w:hAnsi="Times New Roman;serif"/>
                  <w:b w:val="false"/>
                  <w:strike w:val="false"/>
                  <w:dstrike w:val="false"/>
                  <w:color w:val="000000"/>
                  <w:sz w:val="22"/>
                  <w:u w:val="none"/>
                  <w:effect w:val="none"/>
                </w:rPr>
                <w:t>51</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118">
              <w:r>
                <w:rPr>
                  <w:rStyle w:val="InternetLink"/>
                  <w:rFonts w:ascii="Times New Roman;serif" w:hAnsi="Times New Roman;serif"/>
                  <w:b w:val="false"/>
                  <w:strike w:val="false"/>
                  <w:dstrike w:val="false"/>
                  <w:color w:val="000000"/>
                  <w:sz w:val="22"/>
                  <w:u w:val="none"/>
                  <w:effect w:val="none"/>
                </w:rPr>
                <w:t>Item 3. Quantitative and Qualitative Disclosures about Market Risk</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118">
              <w:r>
                <w:rPr>
                  <w:rStyle w:val="InternetLink"/>
                  <w:rFonts w:ascii="Times New Roman;serif" w:hAnsi="Times New Roman;serif"/>
                  <w:b w:val="false"/>
                  <w:strike w:val="false"/>
                  <w:dstrike w:val="false"/>
                  <w:color w:val="000000"/>
                  <w:sz w:val="22"/>
                  <w:u w:val="none"/>
                  <w:effect w:val="none"/>
                </w:rPr>
                <w:t>68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17">
              <w:r>
                <w:rPr>
                  <w:rStyle w:val="InternetLink"/>
                  <w:rFonts w:ascii="Times New Roman;serif" w:hAnsi="Times New Roman;serif"/>
                  <w:b w:val="false"/>
                  <w:strike w:val="false"/>
                  <w:dstrike w:val="false"/>
                  <w:color w:val="000000"/>
                  <w:sz w:val="22"/>
                  <w:u w:val="none"/>
                  <w:effect w:val="none"/>
                </w:rPr>
                <w:t>Item 4. Controls and Procedures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17">
              <w:r>
                <w:rPr>
                  <w:rStyle w:val="InternetLink"/>
                  <w:rFonts w:ascii="Times New Roman;serif" w:hAnsi="Times New Roman;serif"/>
                  <w:b w:val="false"/>
                  <w:strike w:val="false"/>
                  <w:dstrike w:val="false"/>
                  <w:color w:val="000000"/>
                  <w:sz w:val="22"/>
                  <w:u w:val="none"/>
                  <w:effect w:val="none"/>
                </w:rPr>
                <w:t>69</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71">
              <w:r>
                <w:rPr>
                  <w:rStyle w:val="InternetLink"/>
                  <w:rFonts w:ascii="Times New Roman;serif" w:hAnsi="Times New Roman;serif"/>
                  <w:b w:val="false"/>
                  <w:strike w:val="false"/>
                  <w:dstrike w:val="false"/>
                  <w:color w:val="000000"/>
                  <w:sz w:val="22"/>
                  <w:u w:val="none"/>
                  <w:effect w:val="none"/>
                </w:rPr>
                <w:t>Part II Other Information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71">
              <w:r>
                <w:rPr>
                  <w:rStyle w:val="InternetLink"/>
                  <w:rFonts w:ascii="Times New Roman;serif" w:hAnsi="Times New Roman;serif"/>
                  <w:b w:val="false"/>
                  <w:strike w:val="false"/>
                  <w:dstrike w:val="false"/>
                  <w:color w:val="000000"/>
                  <w:sz w:val="22"/>
                  <w:u w:val="none"/>
                  <w:effect w:val="none"/>
                </w:rPr>
                <w:t>72</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74">
              <w:r>
                <w:rPr>
                  <w:rStyle w:val="InternetLink"/>
                  <w:rFonts w:ascii="Times New Roman;serif" w:hAnsi="Times New Roman;serif"/>
                  <w:b w:val="false"/>
                  <w:strike w:val="false"/>
                  <w:dstrike w:val="false"/>
                  <w:color w:val="000000"/>
                  <w:sz w:val="22"/>
                  <w:u w:val="none"/>
                  <w:effect w:val="none"/>
                </w:rPr>
                <w:t>Item 1. Legal Proceedings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74">
              <w:r>
                <w:rPr>
                  <w:rStyle w:val="InternetLink"/>
                  <w:rFonts w:ascii="Times New Roman;serif" w:hAnsi="Times New Roman;serif"/>
                  <w:b w:val="false"/>
                  <w:strike w:val="false"/>
                  <w:dstrike w:val="false"/>
                  <w:color w:val="000000"/>
                  <w:sz w:val="22"/>
                  <w:u w:val="none"/>
                  <w:effect w:val="none"/>
                </w:rPr>
                <w:t>72</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77">
              <w:r>
                <w:rPr>
                  <w:rStyle w:val="InternetLink"/>
                  <w:rFonts w:ascii="Times New Roman;serif" w:hAnsi="Times New Roman;serif"/>
                  <w:b w:val="false"/>
                  <w:strike w:val="false"/>
                  <w:dstrike w:val="false"/>
                  <w:color w:val="000000"/>
                  <w:sz w:val="22"/>
                  <w:u w:val="none"/>
                  <w:effect w:val="none"/>
                </w:rPr>
                <w:t>Item 1A. Risk Factors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77">
              <w:r>
                <w:rPr>
                  <w:rStyle w:val="InternetLink"/>
                  <w:rFonts w:ascii="Times New Roman;serif" w:hAnsi="Times New Roman;serif"/>
                  <w:b w:val="false"/>
                  <w:strike w:val="false"/>
                  <w:dstrike w:val="false"/>
                  <w:color w:val="000000"/>
                  <w:sz w:val="22"/>
                  <w:u w:val="none"/>
                  <w:effect w:val="none"/>
                </w:rPr>
                <w:t>72</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80">
              <w:r>
                <w:rPr>
                  <w:rStyle w:val="InternetLink"/>
                  <w:rFonts w:ascii="Times New Roman;serif" w:hAnsi="Times New Roman;serif"/>
                  <w:b w:val="false"/>
                  <w:strike w:val="false"/>
                  <w:dstrike w:val="false"/>
                  <w:color w:val="000000"/>
                  <w:sz w:val="22"/>
                  <w:u w:val="none"/>
                  <w:effect w:val="none"/>
                </w:rPr>
                <w:t>Item 2. Unregistered Sales of Equity Securities and Use of Proceeds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80">
              <w:r>
                <w:rPr>
                  <w:rStyle w:val="InternetLink"/>
                  <w:rFonts w:ascii="Times New Roman;serif" w:hAnsi="Times New Roman;serif"/>
                  <w:b w:val="false"/>
                  <w:strike w:val="false"/>
                  <w:dstrike w:val="false"/>
                  <w:color w:val="000000"/>
                  <w:sz w:val="22"/>
                  <w:u w:val="none"/>
                  <w:effect w:val="none"/>
                </w:rPr>
                <w:t>72</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83">
              <w:r>
                <w:rPr>
                  <w:rStyle w:val="InternetLink"/>
                  <w:rFonts w:ascii="Times New Roman;serif" w:hAnsi="Times New Roman;serif"/>
                  <w:b w:val="false"/>
                  <w:strike w:val="false"/>
                  <w:dstrike w:val="false"/>
                  <w:color w:val="000000"/>
                  <w:sz w:val="22"/>
                  <w:u w:val="none"/>
                  <w:effect w:val="none"/>
                </w:rPr>
                <w:t>Item 3. Defaults Upon Senior Securities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83">
              <w:r>
                <w:rPr>
                  <w:rStyle w:val="InternetLink"/>
                  <w:rFonts w:ascii="Times New Roman;serif" w:hAnsi="Times New Roman;serif"/>
                  <w:b w:val="false"/>
                  <w:strike w:val="false"/>
                  <w:dstrike w:val="false"/>
                  <w:color w:val="000000"/>
                  <w:sz w:val="22"/>
                  <w:u w:val="none"/>
                  <w:effect w:val="none"/>
                </w:rPr>
                <w:t>72</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86">
              <w:r>
                <w:rPr>
                  <w:rStyle w:val="InternetLink"/>
                  <w:rFonts w:ascii="Times New Roman;serif" w:hAnsi="Times New Roman;serif"/>
                  <w:b w:val="false"/>
                  <w:strike w:val="false"/>
                  <w:dstrike w:val="false"/>
                  <w:color w:val="000000"/>
                  <w:sz w:val="22"/>
                  <w:u w:val="none"/>
                  <w:effect w:val="none"/>
                </w:rPr>
                <w:t>Item 4. Mine Safety Disclosures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86">
              <w:r>
                <w:rPr>
                  <w:rStyle w:val="InternetLink"/>
                  <w:rFonts w:ascii="Times New Roman;serif" w:hAnsi="Times New Roman;serif"/>
                  <w:b w:val="false"/>
                  <w:strike w:val="false"/>
                  <w:dstrike w:val="false"/>
                  <w:color w:val="000000"/>
                  <w:sz w:val="22"/>
                  <w:u w:val="none"/>
                  <w:effect w:val="none"/>
                </w:rPr>
                <w:t>72</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89">
              <w:r>
                <w:rPr>
                  <w:rStyle w:val="InternetLink"/>
                  <w:rFonts w:ascii="Times New Roman;serif" w:hAnsi="Times New Roman;serif"/>
                  <w:b w:val="false"/>
                  <w:strike w:val="false"/>
                  <w:dstrike w:val="false"/>
                  <w:color w:val="000000"/>
                  <w:sz w:val="22"/>
                  <w:u w:val="none"/>
                  <w:effect w:val="none"/>
                </w:rPr>
                <w:t>Item 5. Other Information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89">
              <w:r>
                <w:rPr>
                  <w:rStyle w:val="InternetLink"/>
                  <w:rFonts w:ascii="Times New Roman;serif" w:hAnsi="Times New Roman;serif"/>
                  <w:b w:val="false"/>
                  <w:strike w:val="false"/>
                  <w:dstrike w:val="false"/>
                  <w:color w:val="000000"/>
                  <w:sz w:val="22"/>
                  <w:u w:val="none"/>
                  <w:effect w:val="none"/>
                </w:rPr>
                <w:t>72</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92">
              <w:r>
                <w:rPr>
                  <w:rStyle w:val="InternetLink"/>
                  <w:rFonts w:ascii="Times New Roman;serif" w:hAnsi="Times New Roman;serif"/>
                  <w:b w:val="false"/>
                  <w:strike w:val="false"/>
                  <w:dstrike w:val="false"/>
                  <w:color w:val="000000"/>
                  <w:sz w:val="22"/>
                  <w:u w:val="none"/>
                  <w:effect w:val="none"/>
                </w:rPr>
                <w:t xml:space="preserve">Item 6. Exhibits </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92">
              <w:r>
                <w:rPr>
                  <w:rStyle w:val="InternetLink"/>
                  <w:rFonts w:ascii="Times New Roman;serif" w:hAnsi="Times New Roman;serif"/>
                  <w:b w:val="false"/>
                  <w:strike w:val="false"/>
                  <w:dstrike w:val="false"/>
                  <w:color w:val="000000"/>
                  <w:sz w:val="22"/>
                  <w:u w:val="none"/>
                  <w:effect w:val="none"/>
                </w:rPr>
                <w:t>73</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53">
              <w:r>
                <w:rPr>
                  <w:rStyle w:val="InternetLink"/>
                  <w:rFonts w:ascii="Times New Roman;serif" w:hAnsi="Times New Roman;serif"/>
                  <w:b w:val="false"/>
                  <w:strike w:val="false"/>
                  <w:dstrike w:val="false"/>
                  <w:color w:val="000000"/>
                  <w:sz w:val="22"/>
                  <w:u w:val="none"/>
                  <w:effect w:val="none"/>
                </w:rPr>
                <w:t>Signatures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79d12b5a9c421f84bbaadf44dc473d_253">
              <w:r>
                <w:rPr>
                  <w:rStyle w:val="InternetLink"/>
                  <w:rFonts w:ascii="Times New Roman;serif" w:hAnsi="Times New Roman;serif"/>
                  <w:b w:val="false"/>
                  <w:strike w:val="false"/>
                  <w:dstrike w:val="false"/>
                  <w:color w:val="000000"/>
                  <w:sz w:val="22"/>
                  <w:u w:val="none"/>
                  <w:effect w:val="none"/>
                </w:rPr>
                <w:t>74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60"/>
        <w:jc w:val="both"/>
        <w:rPr>
          <w:rFonts w:ascii="Times New Roman;serif" w:hAnsi="Times New Roman;serif"/>
          <w:b/>
          <w:color w:val="000000"/>
          <w:sz w:val="22"/>
        </w:rPr>
      </w:pPr>
      <w:r>
        <w:rPr>
          <w:rFonts w:ascii="Times New Roman;serif" w:hAnsi="Times New Roman;serif"/>
          <w:b/>
          <w:color w:val="000000"/>
          <w:sz w:val="22"/>
        </w:rPr>
        <w:t>Defined Terms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Capitalized terms used herein but not otherwise defined herein shall have the respective meanings ascribed to them in the Amended and Restated Business Combination Agreement, a copy of which is filed as an exhibit to our Annual Report on Form 10-K for the year ended December 31, 2025 (the “Annual Report”).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Administrators” means Matthew Mawhinney and David Soden, employees of Teneo.</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AFM UK” means Alvarium Fund Managers (UK)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AHRA” means Alvarium Home REIT Advisors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Allianz” means Allianz Strategic Investments S.à.r.l., a Luxembourg private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AlTi” or “Successor” means AlTi Global, Inc., together with its consolidated subsidiaries.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AlTi Global Topco” means AlTi Global Topco Limited, formerly known as Alvarium Topco, an Isle of Man entity which was established by Alvarium and owned by the Alvarium Shareholders.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Alvarium” means AlTi Asset Management Holdings 2 Limited, formerly known as Alvarium Investments Limited, an English private limited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Alvarium Shareholders” means the shareholders of Alvarium.</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ALWP” means AlTi Wealth Management (Singapore) Pte Limited.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ARE” means AlTi RE Limited, formerly known as Alvarium RE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AUA” means assets under advisement.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AUM” means assets under management.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AWMS” means Alvarium Investment Managers (Suisse) SA.</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2"/>
        </w:rPr>
        <w:t xml:space="preserve">means the board of directors of AlTi. </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Business Combination” means the transactions contemplated by the Business Combination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Business Combination Agreement” means the Amended and Restated Business Combination Agreement, dated as of October 25, 2022, by and among Cartesian, Umbrella Merger Sub, TWMH, TIG GP, TIG MGMT, Alvarium and Umbrella.</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Business Combination Earn-out” means the Sponsor and the selling shareholders of TWMH, TIG, and Alvarium became entitled to receive earn-out shares contingent on various share price milestones for up to five years following the Closing under the terms of the Business Combination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Business Combination 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Cartesian” means Cartesian Growth Corporation, a Cayman Islands exempted company, prior to the Business Combination.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A Common Stock” means the Class A Common Stock, par value $0.0001 per share, of the Company, including any shares of such Class A Common Stock issuable upon the exercise of any warrant or other right to acquire shares of such Class A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B Common Stock” means the Class B Common Stock, par value $0.0001 per share, of the Company, including any shares of such Class B Common Stock issuable upon the exercise of any warrant or other right to acquire shares of such Class B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B Paired Interest” means a Class B Unit together with a share of Class B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B Units” means the limited liability company interests in Umbrella designated as Class B Common Units in the Umbrella LLC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Closing” means the closing of the Business Combination.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Closing Date” means January 3, 2023, the date on which the Closing occurred.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Common Stock” refers to shares of the Class A Common Stock and the Class B Common Stock, collectively.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Company,” “our,” “we” or “us” means, prior to the Business Combination, Cartesian, as the context suggests, and, following the Business Combination, AlTi.</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Consolidated Statements of Financial Position” refers to the consolidated balance sheet of AlTi Global, Inc.</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Consolidated Statements of Operations” refers to the consolidated income statement of AlTi Global, Inc.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Constellation” means Constellation Wealth Capital, LLC.</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dollars” or “$” refers to U.S. dollars.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EEA” means East End Advisors, LLC.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Envoi” means Envoi, LLC.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Exchange Act” means the U.S. Securities Exchange Act of 1934, as amended.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Externally-Managed Funds” means mutual funds, exchange traded funds, hedge funds, private equity, real estate or other funds managed by a third party.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Federal Reserve” means the Board of Governors of the Federal Reserve System.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FOS” means the European-based trust and private office service businesses, or European Family Office Services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HLIF” means “Home Long Income Fund”, a private fund regulated by the UK FCA.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Holbein” means Holbein Partners, LLP.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Home REIT” means “Home REIT plc”, a real estate investment trust listed on the London Stock Exchange.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2"/>
        </w:rPr>
        <w:t xml:space="preserve">International Real Estate” means the segment, prior to disposal, that included the Company’s public and private real estate, and co-investment business.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2"/>
        </w:rPr>
        <w:t>Nasdaq” means the Nasdaq Capital Market.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NAV” means net asset value.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PW” means Pointwise Partners Limited.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SEC” means the United States Securities and Exchange Commission.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Series A Preferred Stock” means the Series A Cumulative Convertible Preferred Stock, $0.0001 par value,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Series C Preferred Stock” means the Series C Cumulative Convertible Preferred Stock, $0.0001 par value, of the Company.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SHIA” means Social Housing Income Advisors Limited, an English private limited company.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2"/>
        </w:rPr>
        <w:t>Sponsor” means CGC Sponsor LLC, a Cayman Islands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Tax Receivable Agreement” or “TRA” means that certain Tax Receivable Agreement, dated as of January 3, 2023, by and among the Company and the TWMH Members, the TIG GP Members, and the TIG MGMT Members.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Teneo” means Teneo Financial Advisory Limited.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 xml:space="preserve">TIG” means, collectively, the TIG Entities and their subsidiaries and their predecessor entities where applicable.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Entities” means, collectively, TIG GP and TIG MGMT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GP” means TIG Trinity GP,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GP Members” means the former members of TIG GP.</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MGMT” means TIG Trinity Management,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MGMT Members” means the former members of TIG MGMT.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TIH” means Tiedemann International Holdings, AG.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TRA Exchange” means the series of transactions in which certain holders of Class B Units and Class B Common Stock have exchanged, or may in the future exchange, a portion of such interests to the Company, in exchange for Class A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TWMH” means, collectively, Tiedemann Wealth &amp; Capital Solutions Holdings, LLC, a Delaware limited liability company, and its subsidiaries,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TWMH Members” means the former members of TWMH.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UHNW” means ultra high net worth individual, being an individual having investable assets of $30 million or more, excluding primary residence, collectibles, consumables, and consumer durables.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UK FCA” means the United Kingdom’s Financial Conduct Authority.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Umbrella” means AlTi Global Capital, LLC (formerly known as Alvarium Tiedemann Capital,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Umbrella LLC Agreement” means the Fourth Amended and Restated Limited Liability Company Agreement of AlTi Global Capital, LLC, effective as of July 31, 2024.</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Umbrella Merger Sub” means Rook MS,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US GAAP” means United States generally accepted accounting principles, consistently applied.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Warrants” means the warrants, which were initially issued in Cartesian’s initial public offering of its units pursuant to its registration statement on Form S-1 declared effective by the SEC on February 23, 2021, entitling the holder thereof to purchase one of Cartesian’s Class A ordinary shares at an exercise price of $11.50, subject to adjustment.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Wealth &amp; Capital Solutions” means the segment, prior to the disposal of the International Real Estate segment, that consisted of the Company’s investment management and advisory services, trusts and administrative services, family office services, and the Company’s alternatives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Available Information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 file annual, quarterly and current reports, proxy statements and other information required by the Exchange Act with the SEC. We make available free of charge on our website (www.alti-global.com) our annual reports on Form 10-K, quarterly reports on Form 10-Q, current reports on Form 8-K, proxy statements and other filings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Also posted on our website in the “Investor Relations” section are the charters for our Audit, Finance and Risk Committee, Environmental, Social, Governance and Nominating Committee, Human Capital and Compensation Committee, and Transaction Committee, as well as our Corporate Governance Guidelines and Code of Business Conduct and Ethics governing our directors, officers, and employees. Information on or accessible through our website is not a part of or incorporated into this Quarterly Report or any other SEC filing. Copies of our SEC filings or corporate governance materials are available without charge upon written request to the Company at its principal place of business. Any materials we file with the SEC are also publicly available through the SEC’s website (www.sec.gov).</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 statements herein, available on our website, or in any of the materials we file with the SEC constitute or should be viewed as constituting an offer to sell, or a solicitation of an offer to buy, securities in any jurisdiction.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This Quarterly Report contains forward-looking statements within the meaning of Section 27A of the Securities Act of 1933, as amended (the “Securities Act”), and Section 21E of the Exchange Act, which reflect our current views with respect to, among other things, future events, operations and financial performance. You can identify these forward-looking statements by the use of forward-looking words such as “outlook,” “believes,” “expects,” “potential,” “continues,” “may,” “will,” “should,” “seeks,” “approximately,” “predicts,” “projects,” “intends,” “plans,” “estimates,” “anticipates,” “target”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uncertainties (some of which are beyond our control) or other assumptions relating to our operations, financial results, financial condition, business prospects, growth strategy and liquidity that may cause actual results or performance to be materially different from those expressed or implied by these forward-looking statements. Some of these factors are described under the headings “Risk Factors” in Item 1A of our Annual Report and “Part I. Item 2. Management’s Discussion and Analysis of Financial Condition and Results of Operations” of this Quarterly Report. These factors should not be construed as exhaustive and should be read in conjunction with the risk factors and other cautionary statements that are included in this Quarterly Report and in our other periodic filings. If one or more of these or other 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2"/>
        </w:rPr>
      </w:pPr>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Financial Position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76"/>
        <w:gridCol w:w="2248"/>
        <w:gridCol w:w="2264"/>
        <w:gridCol w:w="204"/>
        <w:gridCol w:w="909"/>
        <w:gridCol w:w="113"/>
        <w:gridCol w:w="109"/>
        <w:gridCol w:w="109"/>
        <w:gridCol w:w="109"/>
        <w:gridCol w:w="218"/>
        <w:gridCol w:w="970"/>
        <w:gridCol w:w="176"/>
      </w:tblGrid>
      <w:tr>
        <w:trPr/>
        <w:tc>
          <w:tcPr>
            <w:tcW w:w="2776"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2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March 31,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w:t>
              <w:br/>
              <w:t>2025</w:t>
            </w:r>
          </w:p>
        </w:tc>
      </w:tr>
      <w:tr>
        <w:trPr/>
        <w:tc>
          <w:tcPr>
            <w:tcW w:w="7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Fees receivable, net (includes $651 and $9,535 of related party receivables, respectively)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65,571 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at fair value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149,741 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144,196 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431,318 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436,157 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384,586 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385,966 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1,138,216 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1,176,448 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profit sharing</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77,286 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member distributions payable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Earn-out liabilities, at fair value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47,675 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TRA liability (includes $8,584 and $8,785 at fair value, respectively)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tranche liability, at fair value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60,781 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net of unamortized deferred financing cost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255,692 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301,659 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20)</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Mezzanine Equity</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Series A Redeemable Cumulative Convertible Preferred stock, $0.0001 par value, 795,947 shares authorized, 168,934 shares issued and outstanding at March 31, 2026, 795,947 shares authorized, 168,934 issued and outstanding at December 31, 2025</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170,993 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168,934 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Series C Redeemable Cumulative Convertible Preferred stock, $0.0001 par value, 150,000 shares authorized, 150,000 shares issued and outstanding at March 31, 2026, and 150,000 shares authorized, 150,000 issued and outstanding at December 31, 2025</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181,216 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176,904 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Class A, $0.0001 par value, 875,000,000 authorized, 109,799,384 and 103,330,156 issued and outstanding as of March 31, 2026 and December 31, 2025, respectively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Class B, $0.0001 par value, 150,000,000 authorized, 40,873,767 and 44,188,561 issued and outstanding as of March 31, 2026 and December 31, 2025, respectively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Class C Non-Voting, $0.0001 par value, 9,000,000 authorized, 0 and 0 issued and outstanding as of March 31, 2026 and December 31, 2025, respectively </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1,300,341 and 0 shares as of March 31, 2026 and December 31, 2025, respectively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676,102 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667,298 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(410,311)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(418,015)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AlTi Global, Inc. shareholders’ equity</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618,714 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600,106 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subsidiaries</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263,810 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274,683 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882,524 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874,789 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mezzanine equity, and shareholders’ equity</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1,138,216 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1,176,448 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left"/>
        <w:rPr/>
      </w:pPr>
      <w:hyperlink w:anchor="ia479d12b5a9c421f84bbaadf44dc473d_265">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Operations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484"/>
        <w:gridCol w:w="2164"/>
        <w:gridCol w:w="2179"/>
        <w:gridCol w:w="263"/>
        <w:gridCol w:w="866"/>
        <w:gridCol w:w="145"/>
        <w:gridCol w:w="114"/>
        <w:gridCol w:w="114"/>
        <w:gridCol w:w="114"/>
        <w:gridCol w:w="263"/>
        <w:gridCol w:w="866"/>
        <w:gridCol w:w="145"/>
        <w:gridCol w:w="109"/>
        <w:gridCol w:w="109"/>
        <w:gridCol w:w="109"/>
        <w:gridCol w:w="161"/>
      </w:tblGrid>
      <w:tr>
        <w:trPr/>
        <w:tc>
          <w:tcPr>
            <w:tcW w:w="248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Management/advisory fees</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fees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investments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income/fees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73,105 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57,087 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employee benefits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Systems, technology and telephone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distribution and marketing</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costs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Travel and entertainment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administrative and 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83,769 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65,497 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 (loss)</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(10,664)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(8,410)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(Expenses)</w:t>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investments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TRA</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preferred stock tranche liability</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earnout liabilities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 from continuing operations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 from continuing operations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income tax</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(2,882)</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attributed to non-controlling interests in subsidiaries from continuing operations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AlTi Global, Inc.</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(Continued on the following page)</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jc w:val="left"/>
        <w:rPr/>
      </w:pPr>
      <w:hyperlink w:anchor="ia479d12b5a9c421f84bbaadf44dc473d_265">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Operations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8659" w:type="dxa"/>
        <w:jc w:val="right"/>
        <w:tblInd w:w="0" w:type="dxa"/>
        <w:tblLayout w:type="fixed"/>
        <w:tblCellMar>
          <w:top w:w="28" w:type="dxa"/>
          <w:left w:w="28" w:type="dxa"/>
          <w:bottom w:w="28" w:type="dxa"/>
          <w:right w:w="28" w:type="dxa"/>
        </w:tblCellMar>
      </w:tblPr>
      <w:tblGrid>
        <w:gridCol w:w="1884"/>
        <w:gridCol w:w="1657"/>
        <w:gridCol w:w="1663"/>
        <w:gridCol w:w="327"/>
        <w:gridCol w:w="780"/>
        <w:gridCol w:w="182"/>
        <w:gridCol w:w="132"/>
        <w:gridCol w:w="132"/>
        <w:gridCol w:w="132"/>
        <w:gridCol w:w="298"/>
        <w:gridCol w:w="825"/>
        <w:gridCol w:w="166"/>
        <w:gridCol w:w="109"/>
        <w:gridCol w:w="109"/>
        <w:gridCol w:w="109"/>
        <w:gridCol w:w="154"/>
      </w:tblGrid>
      <w:tr>
        <w:trPr/>
        <w:tc>
          <w:tcPr>
            <w:tcW w:w="188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(Continued from the previous page)</w:t>
            </w:r>
          </w:p>
        </w:tc>
        <w:tc>
          <w:tcPr>
            <w:tcW w:w="2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Per Share</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Shares of Class A Common Stock Outstanding</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105,021,861 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94,883,803 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94,883,803 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110,878,369 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147,164,068 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94,883,803 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Comprehensive Income (Loss)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8459" w:type="dxa"/>
        <w:jc w:val="center"/>
        <w:tblInd w:w="0" w:type="dxa"/>
        <w:tblLayout w:type="fixed"/>
        <w:tblCellMar>
          <w:top w:w="28" w:type="dxa"/>
          <w:left w:w="28" w:type="dxa"/>
          <w:bottom w:w="28" w:type="dxa"/>
          <w:right w:w="28" w:type="dxa"/>
        </w:tblCellMar>
      </w:tblPr>
      <w:tblGrid>
        <w:gridCol w:w="1828"/>
        <w:gridCol w:w="1600"/>
        <w:gridCol w:w="1611"/>
        <w:gridCol w:w="293"/>
        <w:gridCol w:w="834"/>
        <w:gridCol w:w="162"/>
        <w:gridCol w:w="120"/>
        <w:gridCol w:w="120"/>
        <w:gridCol w:w="120"/>
        <w:gridCol w:w="270"/>
        <w:gridCol w:w="871"/>
        <w:gridCol w:w="149"/>
        <w:gridCol w:w="109"/>
        <w:gridCol w:w="109"/>
        <w:gridCol w:w="109"/>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Other Comprehensive Income (Loss) </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10,155 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gain (loss) attributed to non-controlling interests in subsidiaries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AlTi Global, Inc.</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4,296 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0"/>
        <w:jc w:val="left"/>
        <w:rPr/>
      </w:pPr>
      <w:hyperlink w:anchor="ia479d12b5a9c421f84bbaadf44dc473d_265">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Changes in Mezzanine Equity and Shareholders’ Equity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tbl>
      <w:tblPr>
        <w:tblW w:w="20563" w:type="dxa"/>
        <w:jc w:val="left"/>
        <w:tblInd w:w="0" w:type="dxa"/>
        <w:tblLayout w:type="fixed"/>
        <w:tblCellMar>
          <w:top w:w="28" w:type="dxa"/>
          <w:left w:w="28" w:type="dxa"/>
          <w:bottom w:w="28" w:type="dxa"/>
          <w:right w:w="28" w:type="dxa"/>
        </w:tblCellMar>
      </w:tblPr>
      <w:tblGrid>
        <w:gridCol w:w="497"/>
        <w:gridCol w:w="291"/>
        <w:gridCol w:w="293"/>
        <w:gridCol w:w="368"/>
        <w:gridCol w:w="368"/>
        <w:gridCol w:w="196"/>
        <w:gridCol w:w="109"/>
        <w:gridCol w:w="109"/>
        <w:gridCol w:w="109"/>
        <w:gridCol w:w="196"/>
        <w:gridCol w:w="736"/>
        <w:gridCol w:w="109"/>
        <w:gridCol w:w="109"/>
        <w:gridCol w:w="109"/>
        <w:gridCol w:w="109"/>
        <w:gridCol w:w="368"/>
        <w:gridCol w:w="368"/>
        <w:gridCol w:w="196"/>
        <w:gridCol w:w="109"/>
        <w:gridCol w:w="109"/>
        <w:gridCol w:w="109"/>
        <w:gridCol w:w="196"/>
        <w:gridCol w:w="736"/>
        <w:gridCol w:w="109"/>
        <w:gridCol w:w="109"/>
        <w:gridCol w:w="109"/>
        <w:gridCol w:w="109"/>
        <w:gridCol w:w="525"/>
        <w:gridCol w:w="526"/>
        <w:gridCol w:w="196"/>
        <w:gridCol w:w="109"/>
        <w:gridCol w:w="109"/>
        <w:gridCol w:w="109"/>
        <w:gridCol w:w="251"/>
        <w:gridCol w:w="331"/>
        <w:gridCol w:w="109"/>
        <w:gridCol w:w="109"/>
        <w:gridCol w:w="109"/>
        <w:gridCol w:w="109"/>
        <w:gridCol w:w="480"/>
        <w:gridCol w:w="481"/>
        <w:gridCol w:w="196"/>
        <w:gridCol w:w="109"/>
        <w:gridCol w:w="109"/>
        <w:gridCol w:w="109"/>
        <w:gridCol w:w="196"/>
        <w:gridCol w:w="406"/>
        <w:gridCol w:w="109"/>
        <w:gridCol w:w="109"/>
        <w:gridCol w:w="109"/>
        <w:gridCol w:w="109"/>
        <w:gridCol w:w="196"/>
        <w:gridCol w:w="571"/>
        <w:gridCol w:w="109"/>
        <w:gridCol w:w="109"/>
        <w:gridCol w:w="109"/>
        <w:gridCol w:w="109"/>
        <w:gridCol w:w="220"/>
        <w:gridCol w:w="827"/>
        <w:gridCol w:w="124"/>
        <w:gridCol w:w="109"/>
        <w:gridCol w:w="109"/>
        <w:gridCol w:w="109"/>
        <w:gridCol w:w="196"/>
        <w:gridCol w:w="776"/>
        <w:gridCol w:w="109"/>
        <w:gridCol w:w="327"/>
        <w:gridCol w:w="266"/>
        <w:gridCol w:w="756"/>
        <w:gridCol w:w="149"/>
        <w:gridCol w:w="327"/>
        <w:gridCol w:w="237"/>
        <w:gridCol w:w="891"/>
        <w:gridCol w:w="133"/>
        <w:gridCol w:w="327"/>
        <w:gridCol w:w="209"/>
        <w:gridCol w:w="785"/>
        <w:gridCol w:w="117"/>
        <w:gridCol w:w="109"/>
        <w:gridCol w:w="109"/>
        <w:gridCol w:w="109"/>
        <w:gridCol w:w="109"/>
        <w:gridCol w:w="109"/>
        <w:gridCol w:w="109"/>
        <w:gridCol w:w="154"/>
      </w:tblGrid>
      <w:tr>
        <w:trPr/>
        <w:tc>
          <w:tcPr>
            <w:tcW w:w="4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0"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January 1, 2026</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168,934 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103,330,155 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44,188,561 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667,298 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274,683 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874,789 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Prior period tax true-ups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 accrued dividend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3,154,435 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 Exchange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3,314,794 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(3,314,794)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(12,095)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shares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168,934 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170,993 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109,799,384 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40,873,767 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676,102 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(410,311)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6,395 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263,810 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882,524 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0"/>
        <w:jc w:val="left"/>
        <w:rPr/>
      </w:pPr>
      <w:hyperlink w:anchor="ia479d12b5a9c421f84bbaadf44dc473d_265">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Changes in Mezzanine Equity and Shareholders’ Equity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p>
      <w:pPr>
        <w:pStyle w:val="TextBody"/>
        <w:bidi w:val="0"/>
        <w:spacing w:before="0" w:after="0"/>
        <w:jc w:val="both"/>
        <w:rPr/>
      </w:pPr>
      <w:r>
        <w:rPr/>
      </w:r>
    </w:p>
    <w:tbl>
      <w:tblPr>
        <w:tblW w:w="20003" w:type="dxa"/>
        <w:jc w:val="left"/>
        <w:tblInd w:w="0" w:type="dxa"/>
        <w:tblLayout w:type="fixed"/>
        <w:tblCellMar>
          <w:top w:w="28" w:type="dxa"/>
          <w:left w:w="28" w:type="dxa"/>
          <w:bottom w:w="28" w:type="dxa"/>
          <w:right w:w="28" w:type="dxa"/>
        </w:tblCellMar>
      </w:tblPr>
      <w:tblGrid>
        <w:gridCol w:w="587"/>
        <w:gridCol w:w="291"/>
        <w:gridCol w:w="293"/>
        <w:gridCol w:w="368"/>
        <w:gridCol w:w="368"/>
        <w:gridCol w:w="196"/>
        <w:gridCol w:w="109"/>
        <w:gridCol w:w="109"/>
        <w:gridCol w:w="109"/>
        <w:gridCol w:w="196"/>
        <w:gridCol w:w="736"/>
        <w:gridCol w:w="109"/>
        <w:gridCol w:w="109"/>
        <w:gridCol w:w="109"/>
        <w:gridCol w:w="109"/>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294"/>
        <w:gridCol w:w="288"/>
        <w:gridCol w:w="109"/>
        <w:gridCol w:w="109"/>
        <w:gridCol w:w="109"/>
        <w:gridCol w:w="109"/>
        <w:gridCol w:w="480"/>
        <w:gridCol w:w="481"/>
        <w:gridCol w:w="196"/>
        <w:gridCol w:w="203"/>
        <w:gridCol w:w="203"/>
        <w:gridCol w:w="109"/>
        <w:gridCol w:w="196"/>
        <w:gridCol w:w="406"/>
        <w:gridCol w:w="109"/>
        <w:gridCol w:w="109"/>
        <w:gridCol w:w="109"/>
        <w:gridCol w:w="109"/>
        <w:gridCol w:w="196"/>
        <w:gridCol w:w="571"/>
        <w:gridCol w:w="109"/>
        <w:gridCol w:w="109"/>
        <w:gridCol w:w="109"/>
        <w:gridCol w:w="109"/>
        <w:gridCol w:w="220"/>
        <w:gridCol w:w="827"/>
        <w:gridCol w:w="124"/>
        <w:gridCol w:w="109"/>
        <w:gridCol w:w="109"/>
        <w:gridCol w:w="109"/>
        <w:gridCol w:w="196"/>
        <w:gridCol w:w="776"/>
        <w:gridCol w:w="109"/>
        <w:gridCol w:w="327"/>
        <w:gridCol w:w="262"/>
        <w:gridCol w:w="763"/>
        <w:gridCol w:w="146"/>
        <w:gridCol w:w="327"/>
        <w:gridCol w:w="237"/>
        <w:gridCol w:w="891"/>
        <w:gridCol w:w="133"/>
        <w:gridCol w:w="327"/>
        <w:gridCol w:w="211"/>
        <w:gridCol w:w="793"/>
        <w:gridCol w:w="167"/>
      </w:tblGrid>
      <w:tr>
        <w:trPr/>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8"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Shareholders</w:t>
            </w:r>
            <w:r>
              <w:rPr>
                <w:color w:val="000000"/>
              </w:rPr>
              <w:t xml:space="preserve">’ </w:t>
            </w:r>
            <w:r>
              <w:rPr>
                <w:rFonts w:ascii="Times New Roman;serif" w:hAnsi="Times New Roman;serif"/>
                <w:b/>
                <w:color w:val="000000"/>
                <w:sz w:val="16"/>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January 1, 2025</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93,686,980 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46,138,876 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652,857 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311,793 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970,195 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allocation to equity holders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 of investment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 accrued dividend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2,413,060 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business combination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shares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 Exchange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1,028,652 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(1,028,652)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97,128,692 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45,110,224 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654,588 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307,548 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972,702 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0"/>
        <w:jc w:val="left"/>
        <w:rPr/>
      </w:pPr>
      <w:hyperlink w:anchor="ia479d12b5a9c421f84bbaadf44dc473d_265">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2687"/>
        <w:gridCol w:w="2328"/>
        <w:gridCol w:w="2344"/>
        <w:gridCol w:w="252"/>
        <w:gridCol w:w="835"/>
        <w:gridCol w:w="140"/>
        <w:gridCol w:w="113"/>
        <w:gridCol w:w="113"/>
        <w:gridCol w:w="113"/>
        <w:gridCol w:w="250"/>
        <w:gridCol w:w="827"/>
        <w:gridCol w:w="203"/>
      </w:tblGrid>
      <w:tr>
        <w:trPr/>
        <w:tc>
          <w:tcPr>
            <w:tcW w:w="2687"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discontinued operations, net of tax</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8,390 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 from continuing operations:</w:t>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investments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(5,609)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loss on investments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(gain) loss on TRA</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(gain) loss on earnout liability</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(9,581)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(12,583)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gain (loss) on preferred stock tranche liability</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Equity-settled share-based payments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Forgiveness of debt shareholder loan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fees receivable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31,133 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other assets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 from operating leases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accounts payable and accrued expenses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(7,384)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(6,248)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accrued compensation and profit sharing</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(25,643)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(22,677)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other liabilities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from continuing operations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(30,356)</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investments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Pointwise warehousing transaction</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20,449 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intangible assets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fixed assets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investing activities from continuing operations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19,802 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term notes and lines of credit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 from continuing operations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(2,838)</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Discontinued Operations:</w:t>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from discontinued operations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 from discontinued operations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discontinued operations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 including discontinued operations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(13,089)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 including discontinued operations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discontinued operations, at beginning of the period</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65,494 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discontinued operations, at end of the period</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39,715 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52,841 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39,715 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52,841 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54" w:type="dxa"/>
        <w:jc w:val="left"/>
        <w:tblInd w:w="0" w:type="dxa"/>
        <w:tblLayout w:type="fixed"/>
        <w:tblCellMar>
          <w:top w:w="28" w:type="dxa"/>
          <w:left w:w="28" w:type="dxa"/>
          <w:bottom w:w="28" w:type="dxa"/>
          <w:right w:w="28" w:type="dxa"/>
        </w:tblCellMar>
      </w:tblPr>
      <w:tblGrid>
        <w:gridCol w:w="1914"/>
        <w:gridCol w:w="1681"/>
        <w:gridCol w:w="1685"/>
        <w:gridCol w:w="196"/>
        <w:gridCol w:w="646"/>
        <w:gridCol w:w="109"/>
        <w:gridCol w:w="109"/>
        <w:gridCol w:w="109"/>
        <w:gridCol w:w="109"/>
        <w:gridCol w:w="196"/>
        <w:gridCol w:w="646"/>
        <w:gridCol w:w="154"/>
      </w:tblGrid>
      <w:tr>
        <w:trPr/>
        <w:tc>
          <w:tcPr>
            <w:tcW w:w="191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Reconciliation of balance sheet cash and cash equivalents to cash flows: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on balance sheet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included in Assets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cash in Assets held for sale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52,841 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Paid During the Period for:</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payments on term notes and lines of credit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0"/>
        <w:jc w:val="left"/>
        <w:rPr/>
      </w:pPr>
      <w:hyperlink w:anchor="ia479d12b5a9c421f84bbaadf44dc473d_265">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2"/>
        </w:rPr>
      </w:pPr>
      <w:r>
        <w:rPr>
          <w:rFonts w:ascii="Times New Roman;serif" w:hAnsi="Times New Roman;serif"/>
          <w:b/>
          <w:color w:val="000000"/>
          <w:sz w:val="22"/>
        </w:rPr>
        <w:t xml:space="preserve">(1)Basis of Presentation and Summary of Significant Accounting Policies </w:t>
      </w:r>
    </w:p>
    <w:p>
      <w:pPr>
        <w:pStyle w:val="TextBody"/>
        <w:bidi w:val="0"/>
        <w:spacing w:before="0" w:after="0"/>
        <w:ind w:left="0" w:right="0" w:hanging="180"/>
        <w:jc w:val="both"/>
        <w:rPr/>
      </w:pPr>
      <w:r>
        <w:rPr/>
      </w:r>
    </w:p>
    <w:p>
      <w:pPr>
        <w:pStyle w:val="TextBody"/>
        <w:bidi w:val="0"/>
        <w:spacing w:lineRule="auto" w:line="268" w:before="0" w:after="160"/>
        <w:jc w:val="both"/>
        <w:rPr>
          <w:rFonts w:ascii="Times New Roman;serif" w:hAnsi="Times New Roman;serif"/>
          <w:b/>
          <w:color w:val="000000"/>
          <w:sz w:val="22"/>
        </w:rPr>
      </w:pPr>
      <w:r>
        <w:rPr>
          <w:rFonts w:ascii="Times New Roman;serif" w:hAnsi="Times New Roman;serif"/>
          <w:b/>
          <w:color w:val="000000"/>
          <w:sz w:val="22"/>
        </w:rPr>
        <w:t>Basis of Presentation</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AlTi Global, Inc. (“AlTi” or the “Company”) is a global wealth and investment partner to families, foundations and institutions, helping clients activate capital with clarity, bring structure to complexity, and plan with purpose across borders and generations. AlTi combines the breadth of a global firm with the service offering of a family office to deliver solutions designed to meet the full complexity of wealth and capital.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operates as one reportable segment.</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accompanying unaudited condensed consolidated financial statements have been prepared in accordance with US GAAP for interim financial statements and pursuant to the rules and regulations of the SEC. Accordingly, they do not include all of the information and footnotes required by US GAAP for complete financial statements. In the opinion of management, all adjustments necessary for a fair presentation of the results for the interim periods presented have been included and are of a normal and recurring nature. Interim results of operations are not necessarily indicative of the results that may be achieved for the full year. These condensed consolidated financial statements and accompanying notes should be read in conjunction with the Company’s annual consolidated financial statements and accompanying notes the Annual Report on Form 10-K for the year ended December 31, 2025.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Certain prior period presentations and disclosures, while not required to be recast, may be reclassified to ensure comparability with current period classifications.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Significant Accounting Policies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changes to the Company's significant accounting policies as described in Note 2 of the Annual Report on Form 10-K for the year ended December 31, 2025. The preparation of the condensed consolidated financial statements requires management to make estimates and assumptions that affect the reported amounts of assets and liabilities, the disclosure of contingent assets and liabilities, and the reported amounts of revenues and expenses during the reporting period. Significant estimates include the fair value of investments included in billable AUM/AUA, which directly impacts revenue recognized each period; the fair values of earn-out liabilities and the valuation of the Tax Receivable Agreement liability, both of which directly impact net income (loss); the realizability of deferred tax assets; the assessment of impairment of goodwill and acquired intangible assets; and the valuation of equity-based compensation awards. Actual results could differ materially from those estimates.</w:t>
      </w:r>
    </w:p>
    <w:p>
      <w:pPr>
        <w:pStyle w:val="TextBody"/>
        <w:bidi w:val="0"/>
        <w:spacing w:lineRule="auto" w:line="276" w:before="0" w:after="160"/>
        <w:jc w:val="both"/>
        <w:rPr>
          <w:rFonts w:ascii="Times New Roman;serif" w:hAnsi="Times New Roman;serif"/>
          <w:b/>
          <w:color w:val="000000"/>
          <w:sz w:val="22"/>
        </w:rPr>
      </w:pPr>
      <w:r>
        <w:rPr>
          <w:rFonts w:ascii="Times New Roman;serif" w:hAnsi="Times New Roman;serif"/>
          <w:b/>
          <w:color w:val="000000"/>
          <w:sz w:val="22"/>
        </w:rPr>
        <w:t>Recent Accounting Pronouncements - Adopted as of March 31, 2026</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In July 2025, the FASB issued ASU 2025-05, Financial Instruments—Credit Losses (Topic 326):    Measurement of Credit Losses for Accounts Receivable and Contract Assets (“ASU 2025-05”). ASU 2025-05 provides all entities, when developing reasonable and supportable forecasts as part of estimating expected credit losses, the election of a practical expedient that assumes that current conditions as of the balance sheet date do not change for the remaining life of the asset. ASU 2025-05 is effective for annual periods beginning after December 15, 2025, and interim reporting periods within those annual reporting periods. The adoption of ASU 2025-05 did not have a material impact on the Company's consolidated financial statements.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Recent Accounting Pronouncements - Not Yet Adopted as of March 31, 2026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April 2026, the FASB issued ASU 2026-01, Equity (Topic 505): Initial Measurement of Paid-in-Kind Dividends on Equity-Classified Preferred Stock (“ASU 2026-01”). ASU 2026-01 provides authoritative guidance on how an issuer should initially measure paid-in-kind dividends on equity-classified preferred stock. The amendments require that paid-in-kind dividends be initially measured on the basis of the paid-in-kind dividend rate stated in the preferred stock agreement. ASU 2026-01 is effective for annual reporting periods beginning after December 15, 2026, and interim reporting periods within those annual reporting periods,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early adoption permitted. The Company is currently evaluating the impact of ASU 2026-01 on its consolidated financial statements.</w:t>
      </w:r>
    </w:p>
    <w:p>
      <w:pPr>
        <w:pStyle w:val="TextBody"/>
        <w:bidi w:val="0"/>
        <w:spacing w:before="0" w:after="0"/>
        <w:jc w:val="both"/>
        <w:rPr/>
      </w:pPr>
      <w:r>
        <w:rPr/>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In December 2025, the FASB issued ASU 2025-11, Interim Reporting (Topic 270): Narrow-Scope Improvements (“ASU 2025-11”). ASU 2025-11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ASU 2025-11 is effective for interim reporting periods beginning after December 31, 2027, with early adoption permitted. The Company does not expect the adoption of ASU 2025-11 to have a material impact on its consolidated financial statements.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In May 2025, the FASB issued ASU 2025-03, Business Combinations (Topic 805) and Consolidation (Topic 810): Determining the Accounting Acquirer in the Acquisition of a Variable Interest Entity (“ASU 2025-03”). ASU 2025-03 clarifies the guidance in determining the acquirer in an acquisition transaction effected primarily by exchanging equity interests when the legal acquiree is a VIE that meets the definition of a business. The amendments require that an entity consider the same factors that are currently required for determining which entity is the accounting acquirer in other acquisition transactions. ASU 2025-03 is effective for annual periods beginning after December 15, 2026, and interim reporting periods within those annual reporting periods, with early adoption permitted. The Company does not expect the adoption of ASU 2025-03 to have a material impact on to its consolidated financial statements.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In November 2024, the FASB issued ASU 2024-03, Income Statement—Reporting Comprehensive Income—Expense Disaggregation Disclosures (Subtopic 220-40) (“ASU 2024-03”). ASU 2024-03 require disclosure, in the notes to financial statements, of specified information about certain costs and expenses at each interim and annual reporting period. ASU 2024-03 is effective for annual periods beginning after December 15, 2026, and reporting periods within annual reporting periods beginning after December 15, 2027, with early adoption permitted. The Company does not expect the adoption of ASU 2024-03 to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540"/>
        <w:jc w:val="both"/>
        <w:rPr>
          <w:rFonts w:ascii="Times New Roman;serif" w:hAnsi="Times New Roman;serif"/>
          <w:b/>
          <w:color w:val="000000"/>
          <w:sz w:val="22"/>
        </w:rPr>
      </w:pPr>
      <w:r>
        <w:rPr>
          <w:rFonts w:ascii="Times New Roman;serif" w:hAnsi="Times New Roman;serif"/>
          <w:b/>
          <w:color w:val="000000"/>
          <w:sz w:val="22"/>
        </w:rPr>
        <w:t>(2)Restricted Cash and Cash Equivalents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Restricted cash and cash equivalents consist of balances that are restricted as to withdrawal or usage.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As of March 31, 2026 and December 31, 2025, restricted cash and cash equivalents amounted to $6.0 million and $7.0 million, respectively, and are included in the line item Cash and cash equivalents on the Condensed Consolidated Statements of Financial Position as of such dates. These amounts represent collateral held as well as the level of liquidity to be maintained by the Company’s certain subsidiaries to meet regulatory requirements. Failing to meet the requirement could lead to censure, fines, and ultimately a loss of license.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(3)Discontinued Operations</w:t>
      </w:r>
    </w:p>
    <w:p>
      <w:pPr>
        <w:pStyle w:val="TextBody"/>
        <w:bidi w:val="0"/>
        <w:spacing w:lineRule="auto" w:line="268" w:before="20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July 11, 2025, the Company placed its International Real Estate Businesses under administration in accordance with the insolvency laws of England and Wales and the Administrators took control of each of them. The Company determined that it was appropriate to deconsolidate its International Real Estate Businesses resulting from the disposition of the Company’s controlling interest. The Company concluded that the transaction meets the criteria for discontinued operations as the disposal of the International Real Estate Businesses is a strategic shift that will have a significant effect on our operations and financial results.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As such, the assets and liabilities, results of operations and cash flows of the International Real Estate Businesses have been classified as discontinued operations for all periods presented in accordance with ASC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0" w:after="160"/>
        <w:jc w:val="both"/>
        <w:rPr/>
      </w:pPr>
      <w:r>
        <w:rPr>
          <w:rFonts w:ascii="Times New Roman;serif" w:hAnsi="Times New Roman;serif"/>
          <w:b w:val="false"/>
          <w:color w:val="000000"/>
          <w:sz w:val="22"/>
        </w:rPr>
        <w:t xml:space="preserve">205-20, </w:t>
      </w:r>
      <w:r>
        <w:rPr>
          <w:rFonts w:ascii="Times New Roman;serif" w:hAnsi="Times New Roman;serif"/>
          <w:b w:val="false"/>
          <w:i/>
          <w:color w:val="000000"/>
          <w:sz w:val="22"/>
        </w:rPr>
        <w:t xml:space="preserve">Discontinued Operations. </w:t>
      </w:r>
      <w:r>
        <w:rPr>
          <w:rFonts w:ascii="Times New Roman;serif" w:hAnsi="Times New Roman;serif"/>
          <w:b w:val="false"/>
          <w:color w:val="000000"/>
          <w:sz w:val="22"/>
        </w:rPr>
        <w:t xml:space="preserve">As a result, the Company only has one reportable segment remaining. See Note 18 (Segment Reporting).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Upon deconsolidation, intercompany balances between the Company and the International Real Estate Businesses were recognized as third-party balances, which include receivables of $17.8 million, which were recorded in Other assets, and payables of $26.0 million, which were recorded in Accounts payable and accrued expenses, in the Condensed Consolidated Statements of Financial Position as part of continuing operations. Additionally, certain on-going services such as payroll, information technology, and other administrative support, in which the Company acts as a service provider will continue to be provided to the International Real Estate Businesses through the end of December 31, 2027 or earlier based on agreement with the Administrators. As part of the arrangement with the Administrators, these on-going services are recognized as payments against the third party Accounts payable balance. A total of $4.0 million, which includes on-going services of $1.3 million, were paid against the third party Accounts payable balance through December 31, 2025. As of December 31, 2025, the balance of the Other assets and Other payables amounted to $2.1 million and $22.0 million, respectively.</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administration of the International Real Estate Businesses, the Company and the Administrators have negotiated a settlement of outstanding intercompany balances between certain of our affiliates and the International Real Estate Businesses. On March 19, 2026, the Company and certain of its affiliates on the one hand and the International Real Estate Businesses and the Administrators on the other hand entered into a binding settlement and intercompany loan deed memorializing the terms of the settlement and concluding this matter. The settlement amount of £11.2 million ($15.0 million) will be paid in installments through November 2027. On March 19, 2026, the Company also entered into a transitional services agreement, pursuant to which it will provide certain administrative support services to the International Real Estate Businesses through December 31, 2027. The reimbursement for these services was part of the negotiated adjustments to the settlement amount. Upon the execution of the intercompany loan deed, the Company derecognized £3.4 million ($4.6 million) of payables and £1.5 million ($2.1 million) of receivables from the International Real Estate Businesses, resulting in a £1.9 million ($2.5 million) gain recognized within Other income (expense) in the Condensed Consolidated Statements of Operations. As of March 31, 2026, the outstanding balance of the settlement was £11.0 million ($14.5 million), which was recorded in Debt, net of unamortized deferred financing cost in the Condensed Consolidated Statements of Financial Position.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summary of net loss from discontinued operations, net of taxes:</w:t>
      </w:r>
    </w:p>
    <w:tbl>
      <w:tblPr>
        <w:tblW w:w="7179" w:type="dxa"/>
        <w:jc w:val="left"/>
        <w:tblInd w:w="0" w:type="dxa"/>
        <w:tblLayout w:type="fixed"/>
        <w:tblCellMar>
          <w:top w:w="28" w:type="dxa"/>
          <w:left w:w="28" w:type="dxa"/>
          <w:bottom w:w="28" w:type="dxa"/>
          <w:right w:w="28" w:type="dxa"/>
        </w:tblCellMar>
      </w:tblPr>
      <w:tblGrid>
        <w:gridCol w:w="1496"/>
        <w:gridCol w:w="1311"/>
        <w:gridCol w:w="1318"/>
        <w:gridCol w:w="109"/>
        <w:gridCol w:w="109"/>
        <w:gridCol w:w="493"/>
        <w:gridCol w:w="1588"/>
        <w:gridCol w:w="274"/>
        <w:gridCol w:w="109"/>
        <w:gridCol w:w="109"/>
        <w:gridCol w:w="109"/>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Management/advisory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Systems, technology and telephone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distribution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Travel and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5,954 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(5,078)</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(1,840)</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(6,908)</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(6,919)</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Cash flows related to the disposal of the International Real Estate Businesses are included in the discontinued operations section of the Condensed Consolidated Statements of Cash Flows for all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(4)Business Combinations</w:t>
      </w:r>
    </w:p>
    <w:p>
      <w:pPr>
        <w:pStyle w:val="TextBody"/>
        <w:bidi w:val="0"/>
        <w:spacing w:lineRule="auto" w:line="268" w:before="200" w:after="160"/>
        <w:jc w:val="both"/>
        <w:rPr>
          <w:rFonts w:ascii="Times New Roman;serif" w:hAnsi="Times New Roman;serif"/>
          <w:b/>
          <w:i/>
          <w:color w:val="000000"/>
          <w:sz w:val="22"/>
        </w:rPr>
      </w:pPr>
      <w:r>
        <w:rPr>
          <w:rFonts w:ascii="Times New Roman;serif" w:hAnsi="Times New Roman;serif"/>
          <w:b/>
          <w:i/>
          <w:color w:val="000000"/>
          <w:sz w:val="22"/>
        </w:rPr>
        <w:t>Acquisition of Kontora Family Office GmbH</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April 30, 2025 (the “Kontora Acquisition Date”), the Company acquired all of the outstanding ownership interests of Kontora Family Office GmbH (“Kontora”) (the “Kontora Acquisition”). Kontora is a multi-family office and asset management company headquartered in Hamburg, Germany, focused on UHNW families, entrepreneurs and select institutions. This acquisition expanded the Company’s presence in Europe through entry into the key wealth hub of Germany, which represents the third largest UHNW market in the world.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Kontora Acquisition met the requirements to be considered a business combination under ASC 805. The assets acquired and liabilities assumed from Kontora reflect the fair market values, affected for preliminary adjustments to reflect the fair market values assigned to assets purchased and liabilities assumed, and results of operations, are included in the Company’s condensed consolidated financial statements as of the Kontora Acquisition Date.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tied to certain revenue streams acquired in the Kontora Acquisition between the Closing Date and December 31, 2035. The contingent consideration was measured at fair value at the Kontora Acquisition Date and recorded within the Earn-out liabilities, at fair value line item in the Condensed Consolidated Statements of Financial Position. In addition to the contingent consideration, the Company may be required to make additional compensatory payments comprised of a combination of cash and equity at the Company’s option based on Kontora’s adjusted EBITDA. The total purchase consideration is summarized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tbl>
      <w:tblPr>
        <w:tblW w:w="5361" w:type="dxa"/>
        <w:jc w:val="left"/>
        <w:tblInd w:w="0" w:type="dxa"/>
        <w:tblLayout w:type="fixed"/>
        <w:tblCellMar>
          <w:top w:w="28" w:type="dxa"/>
          <w:left w:w="28" w:type="dxa"/>
          <w:bottom w:w="28" w:type="dxa"/>
          <w:right w:w="28" w:type="dxa"/>
        </w:tblCellMar>
      </w:tblPr>
      <w:tblGrid>
        <w:gridCol w:w="1505"/>
        <w:gridCol w:w="1322"/>
        <w:gridCol w:w="1328"/>
        <w:gridCol w:w="226"/>
        <w:gridCol w:w="82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12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Amount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Initial purchase price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Settlement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consideration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purchase consideration transferred</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15,696</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lineRule="auto" w:line="256"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sets forth the preliminary fair values of the assets acquired and liabilities assumed in connection with the Kontora Acquisition: </w:t>
      </w:r>
    </w:p>
    <w:tbl>
      <w:tblPr>
        <w:tblW w:w="8460" w:type="dxa"/>
        <w:jc w:val="left"/>
        <w:tblInd w:w="0" w:type="dxa"/>
        <w:tblLayout w:type="fixed"/>
        <w:tblCellMar>
          <w:top w:w="28" w:type="dxa"/>
          <w:left w:w="28" w:type="dxa"/>
          <w:bottom w:w="28" w:type="dxa"/>
          <w:right w:w="28" w:type="dxa"/>
        </w:tblCellMar>
      </w:tblPr>
      <w:tblGrid>
        <w:gridCol w:w="1694"/>
        <w:gridCol w:w="1489"/>
        <w:gridCol w:w="1497"/>
        <w:gridCol w:w="707"/>
        <w:gridCol w:w="2588"/>
        <w:gridCol w:w="485"/>
      </w:tblGrid>
      <w:tr>
        <w:trPr/>
        <w:tc>
          <w:tcPr>
            <w:tcW w:w="169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7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Kontora Acquisition Date Fair Value</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3,440 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Fees receivable</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2,702 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Equity method investments</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Intangible assets</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14,075 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Goodwill</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981 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right-of-use assets</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1,952 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tax assets, net</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1,451 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 net</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2,326 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26,955</w:t>
            </w:r>
            <w:r>
              <w:rPr>
                <w:color w:val="000000"/>
              </w:rPr>
              <w:t>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accrued expenses</w:t>
            </w:r>
          </w:p>
        </w:tc>
        <w:tc>
          <w:tcPr>
            <w:tcW w:w="3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526 </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Accrued compensation and profit sharing</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218 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Debt, net of unamortized deferred financing cost</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Operating lease liability </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1,952 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tax liability</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4,774 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liabilities, net</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3,057 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Liabilities Assumed</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11,259</w:t>
            </w:r>
            <w:r>
              <w:rPr>
                <w:color w:val="000000"/>
              </w:rPr>
              <w:t> </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 and Liabilities Assumed</w:t>
            </w:r>
          </w:p>
        </w:tc>
        <w:tc>
          <w:tcPr>
            <w:tcW w:w="7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5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15,696</w:t>
            </w:r>
            <w:r>
              <w:rPr>
                <w:color w:val="000000"/>
              </w:rPr>
              <w:t> </w:t>
            </w:r>
          </w:p>
        </w:tc>
        <w:tc>
          <w:tcPr>
            <w:tcW w:w="4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purchase price allocation is preliminary and subject to change during the measurement period, which is not to exceed one year from the Kontora Acquisition Date. During the year ended December 31, 2025, the Company made a measurement period adjustment to the purchase price allocation, which resulted in a decrease to intangible assets of $0.7 million, an increase to goodwill of $0.4 million, a decrease to deferred tax liability of $0.3 million, an increase to other assets, net of $24.0 thousand and a decrease to the purchase consideration of $10.0 thousand. At this time we do not expect any additional material adjustments to the above allocations. When the valuation is final, changes to the valuation of acquired assets and liabilities could result in adjustments to identified intangibles and goodwill.</w:t>
      </w:r>
    </w:p>
    <w:p>
      <w:pPr>
        <w:pStyle w:val="TextBody"/>
        <w:bidi w:val="0"/>
        <w:spacing w:lineRule="auto" w:line="288" w:before="0" w:after="160"/>
        <w:jc w:val="both"/>
        <w:rPr/>
      </w:pPr>
      <w:r>
        <w:rPr>
          <w:rFonts w:ascii="Times New Roman;serif" w:hAnsi="Times New Roman;serif"/>
          <w:b w:val="false"/>
          <w:color w:val="000000"/>
          <w:sz w:val="22"/>
        </w:rPr>
        <w:t xml:space="preserve">With the exception of operating right-of-use assets and operating lease liabilities accounted for under ASC 842, </w:t>
      </w:r>
      <w:r>
        <w:rPr>
          <w:rFonts w:ascii="Times New Roman;serif" w:hAnsi="Times New Roman;serif"/>
          <w:b w:val="false"/>
          <w:i/>
          <w:color w:val="000000"/>
          <w:sz w:val="22"/>
        </w:rPr>
        <w:t>Leases</w:t>
      </w:r>
      <w:r>
        <w:rPr>
          <w:rFonts w:ascii="Times New Roman;serif" w:hAnsi="Times New Roman;serif"/>
          <w:b w:val="false"/>
          <w:color w:val="000000"/>
          <w:sz w:val="22"/>
        </w:rPr>
        <w:t xml:space="preserve">, in accordance with ASC 805, the assets and liabilities were recorded at their respective fair values as of April 30, 2025. The Company developed the fair value of intangible assets, which includes trade names, customer relationships, and licenses granted by the German Federal Financial Supervisory Authority. Various techniques were applied to derive the fair values of the intangible assets including, but not limited to, relief from royalty method, excess earnings method, replacement cost method, and a discounted cash flow approach.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For all other major assets and liabilities acquired, the Company determined that book value approximated fair value. Goodwill is comprised of expected synergies for the combined operations and the assembled workforce acquired in the Kontora Acquisition, which does not qualify as a separately recognized intangible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Below is a summary of the intangible assets acquired in the Kontora Acquisition:</w:t>
      </w:r>
    </w:p>
    <w:p>
      <w:pPr>
        <w:pStyle w:val="TextBody"/>
        <w:bidi w:val="0"/>
        <w:spacing w:before="0" w:after="0"/>
        <w:jc w:val="left"/>
        <w:rPr/>
      </w:pPr>
      <w:r>
        <w:rPr/>
      </w:r>
    </w:p>
    <w:tbl>
      <w:tblPr>
        <w:tblW w:w="8800" w:type="dxa"/>
        <w:jc w:val="left"/>
        <w:tblInd w:w="0" w:type="dxa"/>
        <w:tblLayout w:type="fixed"/>
        <w:tblCellMar>
          <w:top w:w="28" w:type="dxa"/>
          <w:left w:w="28" w:type="dxa"/>
          <w:bottom w:w="28" w:type="dxa"/>
          <w:right w:w="28" w:type="dxa"/>
        </w:tblCellMar>
      </w:tblPr>
      <w:tblGrid>
        <w:gridCol w:w="858"/>
        <w:gridCol w:w="754"/>
        <w:gridCol w:w="758"/>
        <w:gridCol w:w="724"/>
        <w:gridCol w:w="2656"/>
        <w:gridCol w:w="354"/>
        <w:gridCol w:w="109"/>
        <w:gridCol w:w="109"/>
        <w:gridCol w:w="109"/>
        <w:gridCol w:w="692"/>
        <w:gridCol w:w="692"/>
        <w:gridCol w:w="985"/>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Kontora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Estimated Life (Years)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Brand</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187 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License</w:t>
            </w:r>
          </w:p>
        </w:tc>
        <w:tc>
          <w:tcPr>
            <w:tcW w:w="3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4,385 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Customer relationships</w:t>
            </w:r>
          </w:p>
        </w:tc>
        <w:tc>
          <w:tcPr>
            <w:tcW w:w="3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9,443 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Software</w:t>
            </w:r>
          </w:p>
        </w:tc>
        <w:tc>
          <w:tcPr>
            <w:tcW w:w="3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Intangible Assets</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14,075</w:t>
            </w:r>
            <w:r>
              <w:rPr>
                <w:color w:val="000000"/>
              </w:rPr>
              <w:t> </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results of operations for Kontora have been included in the Company’s condensed consolidated financial statements as of the Kontora Acquisition Date. </w:t>
      </w:r>
    </w:p>
    <w:p>
      <w:pPr>
        <w:pStyle w:val="TextBody"/>
        <w:bidi w:val="0"/>
        <w:spacing w:lineRule="auto" w:line="268" w:before="200" w:after="160"/>
        <w:jc w:val="both"/>
        <w:rPr>
          <w:rFonts w:ascii="Times New Roman;serif" w:hAnsi="Times New Roman;serif"/>
          <w:b/>
          <w:i/>
          <w:color w:val="000000"/>
          <w:sz w:val="22"/>
        </w:rPr>
      </w:pPr>
      <w:r>
        <w:rPr>
          <w:rFonts w:ascii="Times New Roman;serif" w:hAnsi="Times New Roman;serif"/>
          <w:b/>
          <w:i/>
          <w:color w:val="000000"/>
          <w:sz w:val="22"/>
        </w:rPr>
        <w:t>Supplemental Pro Forma Financial Information (Unaudited)</w:t>
      </w:r>
    </w:p>
    <w:p>
      <w:pPr>
        <w:pStyle w:val="TextBody"/>
        <w:bidi w:val="0"/>
        <w:spacing w:lineRule="auto" w:line="256" w:before="20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selected unaudited supplemental pro forma financial information is a summary of our combined results for Kontora as of the three months ended March 31, 2025. The unaudited supplemental pro forma financial information gives effect to the Kontora acquisition as if it had occurred on January 1, 2025.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unaudited pro forma financial information presented below is for informational purposes only, and is not necessarily indicative of the results that would have been achieved if the acquisition had taken place on the first of the year in which Kontora was acquired, nor is it indicative of future results.</w:t>
      </w:r>
    </w:p>
    <w:tbl>
      <w:tblPr>
        <w:tblW w:w="3691" w:type="dxa"/>
        <w:jc w:val="left"/>
        <w:tblInd w:w="0" w:type="dxa"/>
        <w:tblLayout w:type="fixed"/>
        <w:tblCellMar>
          <w:top w:w="28" w:type="dxa"/>
          <w:left w:w="28" w:type="dxa"/>
          <w:bottom w:w="28" w:type="dxa"/>
          <w:right w:w="28" w:type="dxa"/>
        </w:tblCellMar>
      </w:tblPr>
      <w:tblGrid>
        <w:gridCol w:w="641"/>
        <w:gridCol w:w="562"/>
        <w:gridCol w:w="567"/>
        <w:gridCol w:w="280"/>
        <w:gridCol w:w="1025"/>
        <w:gridCol w:w="135"/>
        <w:gridCol w:w="109"/>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62,401 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2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1,500 </w:t>
            </w:r>
          </w:p>
        </w:tc>
        <w:tc>
          <w:tcPr>
            <w:tcW w:w="1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(5)Revenue</w:t>
      </w:r>
    </w:p>
    <w:p>
      <w:pPr>
        <w:pStyle w:val="TextBody"/>
        <w:bidi w:val="0"/>
        <w:spacing w:before="0" w:after="0"/>
        <w:ind w:left="0" w:right="0" w:hanging="180"/>
        <w:jc w:val="both"/>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represents the Company’s revenue disaggregated by fee type for the periods presented below: </w:t>
      </w:r>
    </w:p>
    <w:tbl>
      <w:tblPr>
        <w:tblW w:w="6688" w:type="dxa"/>
        <w:jc w:val="left"/>
        <w:tblInd w:w="0" w:type="dxa"/>
        <w:tblLayout w:type="fixed"/>
        <w:tblCellMar>
          <w:top w:w="28" w:type="dxa"/>
          <w:left w:w="28" w:type="dxa"/>
          <w:bottom w:w="28" w:type="dxa"/>
          <w:right w:w="28" w:type="dxa"/>
        </w:tblCellMar>
      </w:tblPr>
      <w:tblGrid>
        <w:gridCol w:w="1086"/>
        <w:gridCol w:w="954"/>
        <w:gridCol w:w="960"/>
        <w:gridCol w:w="280"/>
        <w:gridCol w:w="1025"/>
        <w:gridCol w:w="135"/>
        <w:gridCol w:w="109"/>
        <w:gridCol w:w="109"/>
        <w:gridCol w:w="109"/>
        <w:gridCol w:w="280"/>
        <w:gridCol w:w="1025"/>
        <w:gridCol w:w="135"/>
        <w:gridCol w:w="109"/>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Management/advisory fees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51,895 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44,775 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Incentive fees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Distributions from investments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21,268 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12,210 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fees/income</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73,105 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57,087 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tbl>
      <w:tblPr>
        <w:tblW w:w="8367" w:type="dxa"/>
        <w:jc w:val="left"/>
        <w:tblInd w:w="0" w:type="dxa"/>
        <w:tblLayout w:type="fixed"/>
        <w:tblCellMar>
          <w:top w:w="28" w:type="dxa"/>
          <w:left w:w="28" w:type="dxa"/>
          <w:bottom w:w="28" w:type="dxa"/>
          <w:right w:w="28" w:type="dxa"/>
        </w:tblCellMar>
      </w:tblPr>
      <w:tblGrid>
        <w:gridCol w:w="1379"/>
        <w:gridCol w:w="1211"/>
        <w:gridCol w:w="1220"/>
        <w:gridCol w:w="379"/>
        <w:gridCol w:w="1388"/>
        <w:gridCol w:w="183"/>
        <w:gridCol w:w="109"/>
        <w:gridCol w:w="109"/>
        <w:gridCol w:w="109"/>
        <w:gridCol w:w="427"/>
        <w:gridCol w:w="1562"/>
        <w:gridCol w:w="291"/>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March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2025 </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Management/advisory fees receivable</w:t>
            </w:r>
          </w:p>
        </w:tc>
        <w:tc>
          <w:tcPr>
            <w:tcW w:w="1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35,047 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28,896 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Ending balance </w:t>
            </w:r>
            <w:r>
              <w:rPr>
                <w:rFonts w:ascii="Times New Roman;serif" w:hAnsi="Times New Roman;serif"/>
                <w:b/>
                <w:color w:val="000000"/>
                <w:sz w:val="14"/>
              </w:rPr>
              <w:t>(1)</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34,083 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35,047 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Incentive fees receivable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30,335 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Ending balance </w:t>
            </w:r>
            <w:r>
              <w:rPr>
                <w:rFonts w:ascii="Times New Roman;serif" w:hAnsi="Times New Roman;serif"/>
                <w:b/>
                <w:color w:val="000000"/>
                <w:sz w:val="14"/>
              </w:rPr>
              <w:t>(2)</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30,335 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Other fees/income receivable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Deferred management/advisory fees</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As of March 31, 2026 and December 31, 2025, this amount includes $0.6 million</w:t>
      </w:r>
      <w:r>
        <w:rPr>
          <w:color w:val="000000"/>
        </w:rPr>
        <w:t xml:space="preserve"> </w:t>
      </w:r>
      <w:r>
        <w:rPr>
          <w:rFonts w:ascii="Times New Roman;serif" w:hAnsi="Times New Roman;serif"/>
          <w:b w:val="false"/>
          <w:color w:val="000000"/>
          <w:sz w:val="18"/>
        </w:rPr>
        <w:t>and $0.6 million, respectively, in Management/advisory fees receivable due from related parties. See Note 17 (Related Party Transactions) for further details.</w:t>
      </w:r>
    </w:p>
    <w:p>
      <w:pPr>
        <w:pStyle w:val="TextBody"/>
        <w:bidi w:val="0"/>
        <w:spacing w:lineRule="auto" w:line="288" w:before="200" w:after="283"/>
        <w:jc w:val="both"/>
        <w:rPr/>
      </w:pPr>
      <w:r>
        <w:rPr>
          <w:rFonts w:ascii="Times New Roman;serif" w:hAnsi="Times New Roman;serif"/>
          <w:b/>
          <w:color w:val="000000"/>
          <w:sz w:val="12"/>
        </w:rPr>
        <w:t xml:space="preserve">(2) </w:t>
      </w:r>
      <w:r>
        <w:rPr>
          <w:rFonts w:ascii="Times New Roman;serif" w:hAnsi="Times New Roman;serif"/>
          <w:b w:val="false"/>
          <w:color w:val="000000"/>
          <w:sz w:val="18"/>
        </w:rPr>
        <w:t>As of March 31, 2026</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December 31, 2025, this amount includes $0.0 million and $9.0 million, respectively, in Incentive fees receivable due from related parties. See Note 17 (Related Party Transactions)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 xml:space="preserve">(6)Equity-Based Compensation </w:t>
      </w:r>
    </w:p>
    <w:p>
      <w:pPr>
        <w:pStyle w:val="TextBody"/>
        <w:bidi w:val="0"/>
        <w:spacing w:before="0" w:after="0"/>
        <w:jc w:val="left"/>
        <w:rPr/>
      </w:pPr>
      <w:r>
        <w:rPr/>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grants equity-based compensation awards in the form of restricted share units (“RSUs”) or performance restricted share units (“PRSUs”) for Class A Common Stock to its management, employees, consultants, and independent members of the Board under its 2023 Stock Incentive Plan (the “Plan”). The total number of shares of Class A Common Stock that may be issued under the Plan is 20,798,132, of which 3,157,641 remain available as of March 31, 2026. To the extent that an award expires or is canceled, forfeited, terminated, surrendered, exchanged or withheld to cover tax withholding obligations, the unissued awards will again be available for grant under the Plan. </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recognizes equity-based compensation expenses at the Company’s stock price as of the grant date. As of March 31, 2026, the Company has unrecognized equity-based compensation expense of $22.2 million, which is expected to be recognized over a weighted average period of 1.82 years.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equity-based compensation award activity for the three months ended March 31, 2026, and March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05"/>
        <w:gridCol w:w="815"/>
        <w:gridCol w:w="818"/>
        <w:gridCol w:w="564"/>
        <w:gridCol w:w="532"/>
        <w:gridCol w:w="367"/>
        <w:gridCol w:w="109"/>
        <w:gridCol w:w="109"/>
        <w:gridCol w:w="109"/>
        <w:gridCol w:w="464"/>
        <w:gridCol w:w="1127"/>
        <w:gridCol w:w="242"/>
        <w:gridCol w:w="109"/>
        <w:gridCol w:w="109"/>
        <w:gridCol w:w="109"/>
        <w:gridCol w:w="564"/>
        <w:gridCol w:w="473"/>
        <w:gridCol w:w="367"/>
        <w:gridCol w:w="109"/>
        <w:gridCol w:w="109"/>
        <w:gridCol w:w="109"/>
        <w:gridCol w:w="451"/>
        <w:gridCol w:w="1095"/>
        <w:gridCol w:w="340"/>
      </w:tblGrid>
      <w:tr>
        <w:trPr/>
        <w:tc>
          <w:tcPr>
            <w:tcW w:w="100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Restricted common stock</w:t>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awards outstanding at beginning of period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11,428,887 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6,216,514 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common stock granted </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2,820,485 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2,772,576 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forfeited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vested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(3,087,256)</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(2,032,623)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awards outstanding at end of period</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11,156,967 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6,938,198 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equity-based compensation recognized, which is included in Compensation and employee benefits in the Condensed Consolidated Statements of Operations for the three months ended March 31, 2026 and March 31, 2025:</w:t>
      </w:r>
    </w:p>
    <w:p>
      <w:pPr>
        <w:pStyle w:val="TextBody"/>
        <w:bidi w:val="0"/>
        <w:spacing w:before="0" w:after="0"/>
        <w:jc w:val="left"/>
        <w:rPr/>
      </w:pPr>
      <w:r>
        <w:rPr/>
      </w:r>
    </w:p>
    <w:tbl>
      <w:tblPr>
        <w:tblW w:w="5756" w:type="dxa"/>
        <w:jc w:val="left"/>
        <w:tblInd w:w="0" w:type="dxa"/>
        <w:tblLayout w:type="fixed"/>
        <w:tblCellMar>
          <w:top w:w="28" w:type="dxa"/>
          <w:left w:w="28" w:type="dxa"/>
          <w:bottom w:w="28" w:type="dxa"/>
          <w:right w:w="28" w:type="dxa"/>
        </w:tblCellMar>
      </w:tblPr>
      <w:tblGrid>
        <w:gridCol w:w="739"/>
        <w:gridCol w:w="648"/>
        <w:gridCol w:w="653"/>
        <w:gridCol w:w="292"/>
        <w:gridCol w:w="998"/>
        <w:gridCol w:w="149"/>
        <w:gridCol w:w="119"/>
        <w:gridCol w:w="119"/>
        <w:gridCol w:w="119"/>
        <w:gridCol w:w="324"/>
        <w:gridCol w:w="949"/>
        <w:gridCol w:w="166"/>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PRSUs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compensation </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13,638 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ind w:left="0" w:right="0" w:hanging="540"/>
        <w:jc w:val="both"/>
        <w:rPr>
          <w:rFonts w:ascii="Times New Roman;serif" w:hAnsi="Times New Roman;serif"/>
          <w:b/>
          <w:color w:val="000000"/>
          <w:sz w:val="22"/>
        </w:rPr>
      </w:pPr>
      <w:r>
        <w:rPr>
          <w:rFonts w:ascii="Times New Roman;serif" w:hAnsi="Times New Roman;serif"/>
          <w:b/>
          <w:color w:val="000000"/>
          <w:sz w:val="22"/>
        </w:rPr>
        <w:t>(7)Income Taxes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computation of the effective tax rate and provision at each interim period requires the use of certain estimates and significant judgment including, but not limited to, the expected operating income for the year, projections of the proportion of income that is subject to tax, permanent differences between the Company’s GAAP earnings and taxable income, and the likelihood of recovering deferred tax assets existing as of the balance sheet date. The estimates used to compute the provision for income taxes may change throughout the year as new events occur, additional information is obtained or as tax laws and regulations change. Accordingly, the effective tax rate for future interim periods may vary materially.</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is a domestic corporation for U.S. federal income tax purposes and is subject to U.S. federal and state and local corporate-level income taxes on its share of taxable income from the Umbrella Partnership. The Umbrella Partnership is a partnership for U.S. federal income tax purposes and a taxable entity for certain state and local taxes, such as New York City Unincorporated Business Tax (“UBT”). Further, the Company’s income tax provision and related income tax assets and liabilities are based on, among other things, an estimate of the impact of exchanges of shares of Class B Common Stock and Class B Units for shares of Class A Common Stock, inclusive of an analysis of tax basis and state tax implications of the Umbrella Partnership and its underlying assets and liabilities. The Company’s estimate is based on the most recent information available.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tax basis and state impact of the Umbrella Partnership and its underlying assets and liabilities are based on estimates subject to finalization of the Company’s tax returns.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The Company had an effective tax rate of (0.5)% and 35.9% for the three months ended March 31, 2026 and March 31, 2025, respectively. The effective tax rates were calculated using an Annual Effective Tax Rate approach. The book income related to fair value changes to liabilities was excluded from forecasted earnings as these amounts are based on changes in stock price and are unable to be forecasted. The effective tax rates differed from the statutory rate primarily due to the portion of income allocated to noncontrolling interests,</w:t>
      </w:r>
      <w:r>
        <w:rPr>
          <w:color w:val="000000"/>
        </w:rPr>
        <w:t xml:space="preserve"> </w:t>
      </w:r>
      <w:r>
        <w:rPr>
          <w:rFonts w:ascii="Times New Roman;serif" w:hAnsi="Times New Roman;serif"/>
          <w:b w:val="false"/>
          <w:color w:val="000000"/>
          <w:sz w:val="22"/>
        </w:rPr>
        <w:t>state and local taxes, and the impact of a full valuation allowance on many of the Company’s deferred tax assets, including those generated at the Company, in certain of the Company’s U.S. and non-U.S. subsidiaries, and its investment in Umbrella.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regularly evaluates the realizability of its deferred tax asset and may recognize or adjust any valuation allowance when it is more-likely-than-not that all or a portion of the deferred tax assets may not be realized. As of March 31, 2026, the Company has recorded a full valuation allowance of $67.3 million against its deferred tax assets, including those generated by its subsidiaries in the U.S. and U.K. and its investment in Umbrella. The key factor for providing a full valuation allowance was our 3-year cumulative operating losses. Once the Company begins generating profits, we will re-evaluate whether a full valuation allowance remains appropriate or if the allowance should be reduced. The Company files its tax returns as prescribed by the tax laws of the jurisdictions in which it operates. In the normal course of business, the tax years that remain open under the statute of limitations may be subject to examinations by the appropriate tax authorities.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The Company is currently under examination by the New York City UBT for the years ended December 2020 and </w:t>
      </w:r>
      <w:r>
        <w:rPr>
          <w:rFonts w:ascii="Times New Roman;serif" w:hAnsi="Times New Roman;serif"/>
          <w:b w:val="false"/>
          <w:color w:val="000000"/>
          <w:sz w:val="24"/>
        </w:rPr>
        <w:t>2021</w:t>
      </w:r>
      <w:r>
        <w:rPr>
          <w:rFonts w:ascii="Times New Roman;serif" w:hAnsi="Times New Roman;serif"/>
          <w:b w:val="false"/>
          <w:color w:val="000000"/>
          <w:sz w:val="22"/>
        </w:rPr>
        <w:t>.</w:t>
      </w:r>
      <w:r>
        <w:rPr>
          <w:color w:val="008080"/>
        </w:rPr>
        <w:t xml:space="preserve"> </w:t>
      </w:r>
      <w:r>
        <w:rPr>
          <w:rFonts w:ascii="Times New Roman;serif" w:hAnsi="Times New Roman;serif"/>
          <w:b w:val="false"/>
          <w:color w:val="000000"/>
          <w:sz w:val="22"/>
        </w:rPr>
        <w:t>We do not believe that there is material exposure in connection with the examination.</w:t>
      </w:r>
      <w:r>
        <w:rPr>
          <w:color w:val="008080"/>
        </w:rPr>
        <w:t xml:space="preserve"> </w:t>
      </w:r>
      <w:r>
        <w:rPr>
          <w:rFonts w:ascii="Times New Roman;serif" w:hAnsi="Times New Roman;serif"/>
          <w:b w:val="false"/>
          <w:color w:val="000000"/>
          <w:sz w:val="22"/>
        </w:rPr>
        <w:t xml:space="preserve">As of March 31, 2026, the Company has evaluated its tax filing positions and assessed no change to the reserve of $0.2 million unrecognized tax benefits.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(8)    Fair Value Disclosures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Observable inputs are those that market participants would use in pricing the asset or liability based on market data obtained from sources independent of the Company. Unobservable inputs reflect the Company’s assumptions about the inputs market participants would use in pricing the asset or liability and are developed based on the best information available in the circumstances. The inputs are summarized in the three broad levels listed below:</w:t>
      </w:r>
    </w:p>
    <w:p>
      <w:pPr>
        <w:pStyle w:val="TextBody"/>
        <w:bidi w:val="0"/>
        <w:spacing w:lineRule="auto" w:line="288" w:before="200" w:after="283"/>
        <w:ind w:left="0" w:right="0" w:hanging="720"/>
        <w:jc w:val="both"/>
        <w:rPr/>
      </w:pPr>
      <w:r>
        <w:rPr>
          <w:color w:val="000000"/>
        </w:rPr>
        <w:t>•</w:t>
      </w:r>
      <w:r>
        <w:rPr>
          <w:rFonts w:ascii="Times New Roman;serif" w:hAnsi="Times New Roman;serif"/>
          <w:b w:val="false"/>
          <w:color w:val="000000"/>
          <w:sz w:val="22"/>
        </w:rPr>
        <w:t>Level 1 – Valuations based on unadjusted quoted prices in active markets for identical assets or liabilities that the Company has the ability to access.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2"/>
        </w:rPr>
        <w:t>Level 2 – Valuations based on quoted prices in markets that are not active or for which all significant inputs are observable, either directly or indirectly.</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2"/>
        </w:rPr>
        <w:t>Level 3 – Valuations based on inputs that are unobservable and significant to the overall fair value measurement.</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Level 3 Valuation Techniques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the absence of observable market prices, the Company values financial instruments using valuation methodologies applied on a consistent basis. For some investments little market activity may exist;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management’s determination of fair value is then based on the best information available in the circumstances and may incorporate management’s own assumptions and involves a significant degree of judgment, taking into consideration a combination of internal and external factors. Financial instruments for which market prices are not observable include: </w:t>
      </w:r>
    </w:p>
    <w:p>
      <w:pPr>
        <w:pStyle w:val="TextBody"/>
        <w:bidi w:val="0"/>
        <w:spacing w:lineRule="auto" w:line="268" w:before="180" w:after="283"/>
        <w:ind w:left="0" w:right="0" w:hanging="360"/>
        <w:jc w:val="both"/>
        <w:rPr/>
      </w:pPr>
      <w:r>
        <w:rPr>
          <w:color w:val="000000"/>
        </w:rPr>
        <w:t>•</w:t>
      </w:r>
      <w:r>
        <w:rPr>
          <w:rFonts w:ascii="Times New Roman;serif" w:hAnsi="Times New Roman;serif"/>
          <w:b/>
          <w:color w:val="000000"/>
          <w:sz w:val="22"/>
        </w:rPr>
        <w:t xml:space="preserve">Business Combination Earn-Out Liability - </w:t>
      </w:r>
      <w:r>
        <w:rPr>
          <w:rFonts w:ascii="Times New Roman;serif" w:hAnsi="Times New Roman;serif"/>
          <w:b w:val="false"/>
          <w:color w:val="000000"/>
          <w:sz w:val="22"/>
        </w:rPr>
        <w:t xml:space="preserve">The Company’s valuation approach utilized a Monte Carlo simulation to estimate future share prices and the implied earn-out payment discounted using the risk-free rate.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 xml:space="preserve">TRA Liability - </w:t>
      </w:r>
      <w:r>
        <w:rPr>
          <w:rFonts w:ascii="Times New Roman;serif" w:hAnsi="Times New Roman;serif"/>
          <w:b w:val="false"/>
          <w:color w:val="000000"/>
          <w:sz w:val="22"/>
        </w:rPr>
        <w:t>The Company’s valuation approach utilized a Monte Carlo simulation to estimate future taxable income, share prices, and the implied TRA payments discounted using the liability discount rate which is estimated based on the Company’s credit rating.</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 xml:space="preserve">EEA Earn-Out Liability - </w:t>
      </w:r>
      <w:r>
        <w:rPr>
          <w:rFonts w:ascii="Times New Roman;serif" w:hAnsi="Times New Roman;serif"/>
          <w:b w:val="false"/>
          <w:color w:val="000000"/>
          <w:sz w:val="22"/>
        </w:rPr>
        <w:t>The Company’s valuation approach utilized a Discounted Cash Flow approach to determine the fair value using the liability discount rate which is estimated based on the Company’s credit quality.</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Envoi Earn-Out Consideration Liability</w:t>
      </w:r>
      <w:r>
        <w:rPr>
          <w:color w:val="000000"/>
        </w:rPr>
        <w:t xml:space="preserve"> </w:t>
      </w:r>
      <w:r>
        <w:rPr>
          <w:rFonts w:ascii="Times New Roman;serif" w:hAnsi="Times New Roman;serif"/>
          <w:b w:val="false"/>
          <w:color w:val="000000"/>
          <w:sz w:val="22"/>
        </w:rPr>
        <w:t>- The Company’s valuation approach utilized a risk-adjusted Discounted Cash Flow approach to determine the fair value using the liability discount rate which is estimated based on the Company’s credit quality rating.</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Envoi Earn-Out Growth Consideration Liability</w:t>
      </w:r>
      <w:r>
        <w:rPr>
          <w:color w:val="000000"/>
        </w:rPr>
        <w:t xml:space="preserve"> </w:t>
      </w:r>
      <w:r>
        <w:rPr>
          <w:rFonts w:ascii="Times New Roman;serif" w:hAnsi="Times New Roman;serif"/>
          <w:b w:val="false"/>
          <w:color w:val="000000"/>
          <w:sz w:val="22"/>
        </w:rPr>
        <w:t xml:space="preserve">- The Company’s valuation approach utilized a Monte Carlo simulation to estimate future revenue and the implied earn-out payment discounted using the liability discount rate which is estimated based on the Company’s credit quality rating.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Kontora Earn-Out Liability -</w:t>
      </w:r>
      <w:r>
        <w:rPr>
          <w:color w:val="000000"/>
        </w:rPr>
        <w:t xml:space="preserve"> </w:t>
      </w:r>
      <w:r>
        <w:rPr>
          <w:rFonts w:ascii="Times New Roman;serif" w:hAnsi="Times New Roman;serif"/>
          <w:b w:val="false"/>
          <w:color w:val="000000"/>
          <w:sz w:val="22"/>
        </w:rPr>
        <w:t>The Company’s valuation approach utilized a Discounted Cash Flow approach to determine the fair value using the liability discount rate which is estimated based on the Kontora subgroups’ weighted average cost of capital for a useful life of ten years.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Preferred Stock Tranche Liability</w:t>
      </w:r>
      <w:r>
        <w:rPr>
          <w:color w:val="000000"/>
        </w:rPr>
        <w:t xml:space="preserve"> </w:t>
      </w:r>
      <w:r>
        <w:rPr>
          <w:rFonts w:ascii="Times New Roman;serif" w:hAnsi="Times New Roman;serif"/>
          <w:b w:val="false"/>
          <w:color w:val="000000"/>
          <w:sz w:val="22"/>
        </w:rPr>
        <w:t xml:space="preserve">- The fair value of the Allianz Tranche Right is determined based on Level 3 inputs using a binomial lattice model. At each node of the binomial lattice model, the decision to exercise the Allianz Tranche Right is determined based on if the value of the Series A Preferred Stock at such node is greater than the right’s strike price of $1,000 per share. At nodes where the Allianz Tranche Right is exercised, the resulting payoff of the right is discounted back to the prior node at the risk-free rate. The fair value of the Allianz Tranche Right is estimated by backward inducting values in the binomial lattice model to the initial node. A probability-weighted assessment is also included as part of the inputs to the valuation of the Allianz Tranche Right.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 xml:space="preserve">Investments in External Strategic Managers - </w:t>
      </w:r>
      <w:r>
        <w:rPr>
          <w:rFonts w:ascii="Times New Roman;serif" w:hAnsi="Times New Roman;serif"/>
          <w:b w:val="false"/>
          <w:color w:val="000000"/>
          <w:sz w:val="22"/>
        </w:rPr>
        <w:t>The Company utilized a Discounted Cash Flow approach to determine the fair value of the External Strategic Managers. 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underlying External Strategic Manager, with consideration for general growth in the asset management industry.</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Refer to the valuation methodologies table below for further analysis of Level 3 valuations.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financial instruments measured at fair value in the Condensed Consolidated Statements of Financial Position as of March 31, 2026, and December 31, 2025, have been categorized based on the fair value hierarchy as follows: </w:t>
      </w:r>
    </w:p>
    <w:tbl>
      <w:tblPr>
        <w:tblW w:w="9716" w:type="dxa"/>
        <w:jc w:val="left"/>
        <w:tblInd w:w="0" w:type="dxa"/>
        <w:tblLayout w:type="fixed"/>
        <w:tblCellMar>
          <w:top w:w="28" w:type="dxa"/>
          <w:left w:w="28" w:type="dxa"/>
          <w:bottom w:w="28" w:type="dxa"/>
          <w:right w:w="28" w:type="dxa"/>
        </w:tblCellMar>
      </w:tblPr>
      <w:tblGrid>
        <w:gridCol w:w="1157"/>
        <w:gridCol w:w="1016"/>
        <w:gridCol w:w="1022"/>
        <w:gridCol w:w="322"/>
        <w:gridCol w:w="668"/>
        <w:gridCol w:w="179"/>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funds and BDC funds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Investments – External Strategic Managers </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Investments – Affiliated Funds </w:t>
            </w:r>
            <w:r>
              <w:rPr>
                <w:rFonts w:ascii="Times New Roman;serif" w:hAnsi="Times New Roman;serif"/>
                <w:b/>
                <w:color w:val="000000"/>
                <w:sz w:val="12"/>
              </w:rPr>
              <w:t>(1)</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Other</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148,568 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149,741 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 liability</w:t>
            </w:r>
            <w:r>
              <w:rPr>
                <w:color w:val="000000"/>
              </w:rPr>
              <w:t xml:space="preserve"> </w:t>
            </w:r>
            <w:r>
              <w:rPr>
                <w:rFonts w:ascii="Times New Roman;serif" w:hAnsi="Times New Roman;serif"/>
                <w:b/>
                <w:color w:val="000000"/>
                <w:sz w:val="12"/>
              </w:rPr>
              <w:t>(2)</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liability</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57,669 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30" w:type="dxa"/>
        <w:jc w:val="left"/>
        <w:tblInd w:w="0" w:type="dxa"/>
        <w:tblLayout w:type="fixed"/>
        <w:tblCellMar>
          <w:top w:w="28" w:type="dxa"/>
          <w:left w:w="28" w:type="dxa"/>
          <w:bottom w:w="28" w:type="dxa"/>
          <w:right w:w="28" w:type="dxa"/>
        </w:tblCellMar>
      </w:tblPr>
      <w:tblGrid>
        <w:gridCol w:w="1162"/>
        <w:gridCol w:w="1020"/>
        <w:gridCol w:w="1027"/>
        <w:gridCol w:w="322"/>
        <w:gridCol w:w="668"/>
        <w:gridCol w:w="179"/>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funds and BDC funds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Investments – External Strategic Managers</w:t>
            </w:r>
            <w:r>
              <w:rPr>
                <w:color w:val="000000"/>
              </w:rPr>
              <w:t xml:space="preserve"> </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Investments – Affiliated Funds</w:t>
            </w:r>
            <w:r>
              <w:rPr>
                <w:color w:val="000000"/>
              </w:rPr>
              <w:t xml:space="preserve"> </w:t>
            </w:r>
            <w:r>
              <w:rPr>
                <w:rFonts w:ascii="Times New Roman;serif" w:hAnsi="Times New Roman;serif"/>
                <w:b/>
                <w:color w:val="000000"/>
                <w:sz w:val="12"/>
              </w:rPr>
              <w:t>(1)</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 liability</w:t>
            </w:r>
            <w:r>
              <w:rPr>
                <w:color w:val="000000"/>
              </w:rPr>
              <w:t xml:space="preserve"> </w:t>
            </w:r>
            <w:r>
              <w:rPr>
                <w:rFonts w:ascii="Times New Roman;serif" w:hAnsi="Times New Roman;serif"/>
                <w:b/>
                <w:color w:val="000000"/>
                <w:sz w:val="12"/>
              </w:rPr>
              <w:t>(2)</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68,606 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12"/>
          <w:shd w:fill="FFFFFF" w:val="clear"/>
        </w:rPr>
        <w:t>(1)</w:t>
      </w:r>
      <w:r>
        <w:rPr>
          <w:color w:val="000000"/>
          <w:shd w:fill="FFFFFF" w:val="clear"/>
        </w:rPr>
        <w:t xml:space="preserve"> </w:t>
      </w:r>
      <w:r>
        <w:rPr>
          <w:rFonts w:ascii="Times New Roman;serif" w:hAnsi="Times New Roman;serif"/>
          <w:b w:val="false"/>
          <w:color w:val="000000"/>
          <w:sz w:val="18"/>
        </w:rPr>
        <w:t>Investments in Affiliated Funds are measured at fair value using the NAV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Condensed Consolidated Statements of Financial Position.</w:t>
      </w:r>
    </w:p>
    <w:p>
      <w:pPr>
        <w:pStyle w:val="TextBody"/>
        <w:bidi w:val="0"/>
        <w:spacing w:lineRule="auto" w:line="288" w:before="240" w:after="283"/>
        <w:jc w:val="both"/>
        <w:rPr/>
      </w:pPr>
      <w:r>
        <w:rPr>
          <w:rFonts w:ascii="Times New Roman;serif" w:hAnsi="Times New Roman;serif"/>
          <w:b/>
          <w:color w:val="000000"/>
          <w:sz w:val="12"/>
        </w:rPr>
        <w:t xml:space="preserve">(2) </w:t>
      </w:r>
      <w:r>
        <w:rPr>
          <w:rFonts w:ascii="Times New Roman;serif" w:hAnsi="Times New Roman;serif"/>
          <w:b w:val="false"/>
          <w:color w:val="000000"/>
          <w:sz w:val="18"/>
        </w:rPr>
        <w:t>The Company carries a portion of its TRA liability at fair value equal to the expected future payments under the TRA.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Level 3 Rollforwards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a summary of changes in the fair value of Level 3 financial instruments during the three months ended March 31, 2026 and December 31, 2025:</w:t>
      </w:r>
    </w:p>
    <w:tbl>
      <w:tblPr>
        <w:tblW w:w="10205" w:type="dxa"/>
        <w:jc w:val="left"/>
        <w:tblInd w:w="0" w:type="dxa"/>
        <w:tblLayout w:type="fixed"/>
        <w:tblCellMar>
          <w:top w:w="28" w:type="dxa"/>
          <w:left w:w="28" w:type="dxa"/>
          <w:bottom w:w="28" w:type="dxa"/>
          <w:right w:w="28" w:type="dxa"/>
        </w:tblCellMar>
      </w:tblPr>
      <w:tblGrid>
        <w:gridCol w:w="689"/>
        <w:gridCol w:w="479"/>
        <w:gridCol w:w="482"/>
        <w:gridCol w:w="219"/>
        <w:gridCol w:w="824"/>
        <w:gridCol w:w="121"/>
        <w:gridCol w:w="109"/>
        <w:gridCol w:w="109"/>
        <w:gridCol w:w="109"/>
        <w:gridCol w:w="285"/>
        <w:gridCol w:w="285"/>
        <w:gridCol w:w="286"/>
        <w:gridCol w:w="109"/>
        <w:gridCol w:w="109"/>
        <w:gridCol w:w="109"/>
        <w:gridCol w:w="330"/>
        <w:gridCol w:w="330"/>
        <w:gridCol w:w="331"/>
        <w:gridCol w:w="109"/>
        <w:gridCol w:w="109"/>
        <w:gridCol w:w="109"/>
        <w:gridCol w:w="474"/>
        <w:gridCol w:w="296"/>
        <w:gridCol w:w="298"/>
        <w:gridCol w:w="109"/>
        <w:gridCol w:w="109"/>
        <w:gridCol w:w="109"/>
        <w:gridCol w:w="109"/>
        <w:gridCol w:w="109"/>
        <w:gridCol w:w="487"/>
        <w:gridCol w:w="487"/>
        <w:gridCol w:w="488"/>
        <w:gridCol w:w="109"/>
        <w:gridCol w:w="109"/>
        <w:gridCol w:w="109"/>
        <w:gridCol w:w="208"/>
        <w:gridCol w:w="783"/>
        <w:gridCol w:w="170"/>
      </w:tblGrid>
      <w:tr>
        <w:trPr/>
        <w:tc>
          <w:tcPr>
            <w:tcW w:w="68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7"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1488" w:type="dxa"/>
            <w:gridSpan w:val="6"/>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Issuances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Settlements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Net (gains) losses </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Ending balance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earn-out liability</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Kontora earn-out liability</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TRA liability </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8"/>
        <w:gridCol w:w="444"/>
        <w:gridCol w:w="447"/>
        <w:gridCol w:w="215"/>
        <w:gridCol w:w="809"/>
        <w:gridCol w:w="119"/>
        <w:gridCol w:w="109"/>
        <w:gridCol w:w="109"/>
        <w:gridCol w:w="109"/>
        <w:gridCol w:w="285"/>
        <w:gridCol w:w="285"/>
        <w:gridCol w:w="286"/>
        <w:gridCol w:w="109"/>
        <w:gridCol w:w="109"/>
        <w:gridCol w:w="109"/>
        <w:gridCol w:w="330"/>
        <w:gridCol w:w="330"/>
        <w:gridCol w:w="331"/>
        <w:gridCol w:w="109"/>
        <w:gridCol w:w="109"/>
        <w:gridCol w:w="109"/>
        <w:gridCol w:w="399"/>
        <w:gridCol w:w="282"/>
        <w:gridCol w:w="283"/>
        <w:gridCol w:w="109"/>
        <w:gridCol w:w="109"/>
        <w:gridCol w:w="109"/>
        <w:gridCol w:w="109"/>
        <w:gridCol w:w="109"/>
        <w:gridCol w:w="493"/>
        <w:gridCol w:w="493"/>
        <w:gridCol w:w="494"/>
        <w:gridCol w:w="109"/>
        <w:gridCol w:w="109"/>
        <w:gridCol w:w="109"/>
        <w:gridCol w:w="206"/>
        <w:gridCol w:w="776"/>
        <w:gridCol w:w="114"/>
        <w:gridCol w:w="109"/>
        <w:gridCol w:w="164"/>
      </w:tblGrid>
      <w:tr>
        <w:trPr/>
        <w:tc>
          <w:tcPr>
            <w:tcW w:w="65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December 31, 2025 </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Issuances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Settlements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Net (gains) losses </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earn-out liability</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Kontora earn-out liability</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TRA liability </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12"/>
          <w:shd w:fill="FFFFFF" w:val="clear"/>
        </w:rPr>
        <w:t>(1)</w:t>
      </w:r>
      <w:r>
        <w:rPr>
          <w:color w:val="000000"/>
          <w:shd w:fill="FFFFFF" w:val="clear"/>
        </w:rPr>
        <w:t xml:space="preserve"> </w:t>
      </w:r>
      <w:r>
        <w:rPr>
          <w:rFonts w:ascii="Times New Roman;serif" w:hAnsi="Times New Roman;serif"/>
          <w:b w:val="false"/>
          <w:color w:val="000000"/>
          <w:sz w:val="18"/>
          <w:shd w:fill="FFFFFF" w:val="clear"/>
        </w:rPr>
        <w:t xml:space="preserve">Realized and unrealized gains/(losses) on Investments - External Strategic Managers, Preferred stock tranche liability, earn-out liabilities and TRA liability are recorded in Gain (loss) on investments, Gain (loss) on preferred stock tranche liability, Gain (loss) on earnout liabilities, and Gain (loss) on TRA, respectively, in the Condensed Consolidated Statements of Operations.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During the periods ended March 31, 2026 and December 31, 2025, there were no transfers from Level 3 to Level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Valuation Methodologies for Fair Value Measurements Categorized within Level 3 as of March 31,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8"/>
        <w:gridCol w:w="510"/>
        <w:gridCol w:w="513"/>
        <w:gridCol w:w="196"/>
        <w:gridCol w:w="736"/>
        <w:gridCol w:w="109"/>
        <w:gridCol w:w="109"/>
        <w:gridCol w:w="109"/>
        <w:gridCol w:w="109"/>
        <w:gridCol w:w="402"/>
        <w:gridCol w:w="402"/>
        <w:gridCol w:w="403"/>
        <w:gridCol w:w="109"/>
        <w:gridCol w:w="109"/>
        <w:gridCol w:w="109"/>
        <w:gridCol w:w="533"/>
        <w:gridCol w:w="533"/>
        <w:gridCol w:w="535"/>
        <w:gridCol w:w="109"/>
        <w:gridCol w:w="109"/>
        <w:gridCol w:w="109"/>
        <w:gridCol w:w="263"/>
        <w:gridCol w:w="224"/>
        <w:gridCol w:w="446"/>
        <w:gridCol w:w="109"/>
        <w:gridCol w:w="109"/>
        <w:gridCol w:w="109"/>
        <w:gridCol w:w="564"/>
        <w:gridCol w:w="564"/>
        <w:gridCol w:w="567"/>
        <w:gridCol w:w="109"/>
        <w:gridCol w:w="109"/>
        <w:gridCol w:w="109"/>
        <w:gridCol w:w="109"/>
        <w:gridCol w:w="109"/>
        <w:gridCol w:w="164"/>
      </w:tblGrid>
      <w:tr>
        <w:trPr/>
        <w:tc>
          <w:tcPr>
            <w:tcW w:w="68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Impact to Valuation from an Increase in Input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17.0% -30.0%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Correlation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Cost of debt 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11.6% - 12.8%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Equity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5.5% - 13.2%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EBITDA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risk-adjusted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Metric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Risk 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Kontora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Binomial lattice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Probability of option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Valuation Methodologies for Fair Value Measurements Categorized within Level 3 as of December 31, 2025</w:t>
      </w:r>
    </w:p>
    <w:tbl>
      <w:tblPr>
        <w:tblW w:w="10205" w:type="dxa"/>
        <w:jc w:val="left"/>
        <w:tblInd w:w="0" w:type="dxa"/>
        <w:tblLayout w:type="fixed"/>
        <w:tblCellMar>
          <w:top w:w="28" w:type="dxa"/>
          <w:left w:w="28" w:type="dxa"/>
          <w:bottom w:w="28" w:type="dxa"/>
          <w:right w:w="28" w:type="dxa"/>
        </w:tblCellMar>
      </w:tblPr>
      <w:tblGrid>
        <w:gridCol w:w="749"/>
        <w:gridCol w:w="574"/>
        <w:gridCol w:w="578"/>
        <w:gridCol w:w="196"/>
        <w:gridCol w:w="736"/>
        <w:gridCol w:w="109"/>
        <w:gridCol w:w="109"/>
        <w:gridCol w:w="109"/>
        <w:gridCol w:w="109"/>
        <w:gridCol w:w="423"/>
        <w:gridCol w:w="423"/>
        <w:gridCol w:w="425"/>
        <w:gridCol w:w="109"/>
        <w:gridCol w:w="109"/>
        <w:gridCol w:w="109"/>
        <w:gridCol w:w="575"/>
        <w:gridCol w:w="575"/>
        <w:gridCol w:w="578"/>
        <w:gridCol w:w="109"/>
        <w:gridCol w:w="109"/>
        <w:gridCol w:w="109"/>
        <w:gridCol w:w="286"/>
        <w:gridCol w:w="218"/>
        <w:gridCol w:w="460"/>
        <w:gridCol w:w="109"/>
        <w:gridCol w:w="109"/>
        <w:gridCol w:w="109"/>
        <w:gridCol w:w="580"/>
        <w:gridCol w:w="580"/>
        <w:gridCol w:w="832"/>
      </w:tblGrid>
      <w:tr>
        <w:trPr/>
        <w:tc>
          <w:tcPr>
            <w:tcW w:w="74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Impact to Valuation from an Increase in Input</w:t>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17.0%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Correlation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Cost of debt 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10.6% - 11.9%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Equity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5.8% - 13.2%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EBITDA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risk-adjusted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Metric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Risk 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Kontora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Binomial lattice model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Probability of option exercise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bl>
    <w:p>
      <w:pPr>
        <w:pStyle w:val="TextBody"/>
        <w:bidi w:val="0"/>
        <w:spacing w:lineRule="auto" w:line="288" w:before="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carrying value of financial instruments not measured at fair value, which consists primarily of cash and restricted cash, approximates fair value.</w:t>
      </w:r>
    </w:p>
    <w:p>
      <w:pPr>
        <w:pStyle w:val="TextBody"/>
        <w:bidi w:val="0"/>
        <w:spacing w:lineRule="auto" w:line="288" w:before="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measures certain assets and liabilities at fair value on a non-recurring basis, such as assets acquired and liabilities assumed in a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(9)     Equity Method Investments</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As of March 31, 2026 and December 31, 2025, the Company had $0.1 million and $0.1 million, respectively, of equity method investments recorded within Equity method investments on the Condensed Consolidated Statements of Financial Position. In accordance with US GAAP, certain equity method investees do not account for both their financial assets and liabilities under fair value measures; therefore, the Company’s investment in such equity method investees may not represent fair value.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recognized no impairment for three months ended March 31, 2026. For the three months ended March 31, 2025, the Company recognized impairment of $1.7 million on its equity method investments within Gain (loss) on investments in the Condensed Consolidated Statements of Operations. Additionally, as part of the Business Combination, AlTi acquired the right to carried interest on several projects. These are held as assets at cost less impairment. The Company assesses indicators of impairment every quarter utilizing a number of factors, including market conditions. For the three months ended March 31, 2025, the Company recognized $0.2 million of impairment to these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 xml:space="preserve">(10)    Investments </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investments include Investments at fair value and Equity method investments.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Investments at fair value consist of investments for which the fair value option has been elected. The primary reasons for electing the fair value option are to:</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2"/>
        </w:rPr>
        <w:t>reflect economic events in earnings on a timely basis;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2"/>
        </w:rPr>
        <w:t>mitigate volatility in earnings from using different measurement attributes;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2"/>
        </w:rPr>
        <w:t>address simplification and cost-benefit considerations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Such election is irrevocable and is applied on an investment-by-investment basis at initial recognition or at other eligible election dates. Changes in the fair value of such instruments are recognized in Gain (loss) on investments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160" w:after="160"/>
        <w:jc w:val="both"/>
        <w:rPr>
          <w:rFonts w:ascii="Times New Roman;serif" w:hAnsi="Times New Roman;serif"/>
          <w:b w:val="false"/>
          <w:color w:val="000000"/>
          <w:sz w:val="22"/>
        </w:rPr>
      </w:pPr>
      <w:r>
        <w:rPr>
          <w:rFonts w:ascii="Times New Roman;serif" w:hAnsi="Times New Roman;serif"/>
          <w:b w:val="false"/>
          <w:color w:val="000000"/>
          <w:sz w:val="22"/>
        </w:rPr>
        <w:t>The Cost and Fair Value of Investments as of March 31, 2026 and December 31, 2025 are presented below:</w:t>
      </w:r>
    </w:p>
    <w:tbl>
      <w:tblPr>
        <w:tblW w:w="9782" w:type="dxa"/>
        <w:jc w:val="left"/>
        <w:tblInd w:w="0" w:type="dxa"/>
        <w:tblLayout w:type="fixed"/>
        <w:tblCellMar>
          <w:top w:w="28" w:type="dxa"/>
          <w:left w:w="28" w:type="dxa"/>
          <w:bottom w:w="28" w:type="dxa"/>
          <w:right w:w="28" w:type="dxa"/>
        </w:tblCellMar>
      </w:tblPr>
      <w:tblGrid>
        <w:gridCol w:w="1297"/>
        <w:gridCol w:w="1139"/>
        <w:gridCol w:w="1148"/>
        <w:gridCol w:w="211"/>
        <w:gridCol w:w="826"/>
        <w:gridCol w:w="109"/>
        <w:gridCol w:w="109"/>
        <w:gridCol w:w="109"/>
        <w:gridCol w:w="109"/>
        <w:gridCol w:w="265"/>
        <w:gridCol w:w="1038"/>
        <w:gridCol w:w="137"/>
        <w:gridCol w:w="109"/>
        <w:gridCol w:w="109"/>
        <w:gridCol w:w="109"/>
        <w:gridCol w:w="211"/>
        <w:gridCol w:w="826"/>
        <w:gridCol w:w="109"/>
        <w:gridCol w:w="109"/>
        <w:gridCol w:w="109"/>
        <w:gridCol w:w="109"/>
        <w:gridCol w:w="263"/>
        <w:gridCol w:w="1030"/>
        <w:gridCol w:w="192"/>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Investments at Fair Value: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funds and BDC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TIG Arbitrage Associates Master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TIG Arbitrage Enhanced Master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Arkkan Opportunities Feeder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Arkkan Capital Management Limited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Zebedee Asset Management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Romspen Investment Corporation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29,146 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Investments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149,741 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144,196 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 method investments: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Wealth management - investment advisory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149,881 </w:t>
            </w:r>
          </w:p>
        </w:tc>
        <w:tc>
          <w:tcPr>
            <w:tcW w:w="1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162,518 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144,334 </w:t>
            </w:r>
          </w:p>
        </w:tc>
        <w:tc>
          <w:tcPr>
            <w:tcW w:w="1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breakdown of realized and unrealized gains (losses) on Investments at fair value for the relevant periods, which are recorded in Gain (loss) on investments in the Condensed Consolidated Statements of Operations, are as follows:</w:t>
      </w:r>
    </w:p>
    <w:tbl>
      <w:tblPr>
        <w:tblW w:w="7832" w:type="dxa"/>
        <w:jc w:val="left"/>
        <w:tblInd w:w="0" w:type="dxa"/>
        <w:tblLayout w:type="fixed"/>
        <w:tblCellMar>
          <w:top w:w="28" w:type="dxa"/>
          <w:left w:w="28" w:type="dxa"/>
          <w:bottom w:w="28" w:type="dxa"/>
          <w:right w:w="28" w:type="dxa"/>
        </w:tblCellMar>
      </w:tblPr>
      <w:tblGrid>
        <w:gridCol w:w="1488"/>
        <w:gridCol w:w="1306"/>
        <w:gridCol w:w="1316"/>
        <w:gridCol w:w="324"/>
        <w:gridCol w:w="948"/>
        <w:gridCol w:w="167"/>
        <w:gridCol w:w="121"/>
        <w:gridCol w:w="121"/>
        <w:gridCol w:w="121"/>
        <w:gridCol w:w="300"/>
        <w:gridCol w:w="985"/>
        <w:gridCol w:w="154"/>
        <w:gridCol w:w="109"/>
        <w:gridCol w:w="109"/>
        <w:gridCol w:w="109"/>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Gains (Losses) on Investments at fair value:</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(losses)</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gains (losses) </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gains (losses) on Investments at fair value</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(11)    Intangible Assets,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reconciliation of Intangible assets, net reported on the Condensed Consolidated Statements of Financial Position.</w:t>
      </w:r>
    </w:p>
    <w:tbl>
      <w:tblPr>
        <w:tblW w:w="10203" w:type="dxa"/>
        <w:jc w:val="left"/>
        <w:tblInd w:w="0" w:type="dxa"/>
        <w:tblLayout w:type="fixed"/>
        <w:tblCellMar>
          <w:top w:w="28" w:type="dxa"/>
          <w:left w:w="28" w:type="dxa"/>
          <w:bottom w:w="28" w:type="dxa"/>
          <w:right w:w="28" w:type="dxa"/>
        </w:tblCellMar>
      </w:tblPr>
      <w:tblGrid>
        <w:gridCol w:w="1205"/>
        <w:gridCol w:w="1058"/>
        <w:gridCol w:w="1066"/>
        <w:gridCol w:w="504"/>
        <w:gridCol w:w="504"/>
        <w:gridCol w:w="506"/>
        <w:gridCol w:w="109"/>
        <w:gridCol w:w="109"/>
        <w:gridCol w:w="109"/>
        <w:gridCol w:w="211"/>
        <w:gridCol w:w="826"/>
        <w:gridCol w:w="109"/>
        <w:gridCol w:w="109"/>
        <w:gridCol w:w="109"/>
        <w:gridCol w:w="109"/>
        <w:gridCol w:w="109"/>
        <w:gridCol w:w="109"/>
        <w:gridCol w:w="109"/>
        <w:gridCol w:w="109"/>
        <w:gridCol w:w="109"/>
        <w:gridCol w:w="109"/>
        <w:gridCol w:w="250"/>
        <w:gridCol w:w="878"/>
        <w:gridCol w:w="131"/>
        <w:gridCol w:w="109"/>
        <w:gridCol w:w="109"/>
        <w:gridCol w:w="109"/>
        <w:gridCol w:w="234"/>
        <w:gridCol w:w="916"/>
        <w:gridCol w:w="170"/>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33" w:type="dxa"/>
            <w:gridSpan w:val="12"/>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Gross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Carrying </w:t>
            </w:r>
          </w:p>
          <w:p>
            <w:pPr>
              <w:pStyle w:val="TableContents"/>
              <w:bidi w:val="0"/>
              <w:spacing w:lineRule="auto" w:line="288" w:before="0" w:after="0"/>
              <w:jc w:val="center"/>
              <w:rPr/>
            </w:pPr>
            <w:r>
              <w:rPr>
                <w:rFonts w:ascii="Times New Roman;serif" w:hAnsi="Times New Roman;serif"/>
                <w:b/>
                <w:color w:val="000000"/>
                <w:sz w:val="20"/>
              </w:rPr>
              <w:t>Amount</w:t>
            </w:r>
            <w:r>
              <w:rPr>
                <w:color w:val="000000"/>
              </w:rPr>
              <w:t xml:space="preserve"> </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Net Carrying </w:t>
              <w:br/>
              <w:t>Amount</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(36,886)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252,892 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internally developed software</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265,314 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Non-amortized intangible assets </w:t>
            </w:r>
            <w:r>
              <w:rPr>
                <w:rFonts w:ascii="Times New Roman;serif" w:hAnsi="Times New Roman;serif"/>
                <w:b w:val="false"/>
                <w:color w:val="000000"/>
                <w:sz w:val="13"/>
              </w:rPr>
              <w:t>(1)</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management agreements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non-amortized intangible assets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(42,523)</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431,318 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Company’s non-amortized intangible assets consist of management contracts for open-ended fund products and other intangible assets related to domain names and other software, for which there is no contractual termination date.</w:t>
      </w:r>
    </w:p>
    <w:p>
      <w:pPr>
        <w:pStyle w:val="TextBody"/>
        <w:bidi w:val="0"/>
        <w:spacing w:lineRule="auto" w:line="268" w:before="0" w:after="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During the three months March 31, 2026, gross carrying amounts related to the Company’s intangible assets include foreign currency translation differences of $(0.7)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tbl>
      <w:tblPr>
        <w:tblW w:w="10205" w:type="dxa"/>
        <w:jc w:val="left"/>
        <w:tblInd w:w="0" w:type="dxa"/>
        <w:tblLayout w:type="fixed"/>
        <w:tblCellMar>
          <w:top w:w="28" w:type="dxa"/>
          <w:left w:w="28" w:type="dxa"/>
          <w:bottom w:w="28" w:type="dxa"/>
          <w:right w:w="28" w:type="dxa"/>
        </w:tblCellMar>
      </w:tblPr>
      <w:tblGrid>
        <w:gridCol w:w="927"/>
        <w:gridCol w:w="548"/>
        <w:gridCol w:w="552"/>
        <w:gridCol w:w="445"/>
        <w:gridCol w:w="445"/>
        <w:gridCol w:w="447"/>
        <w:gridCol w:w="109"/>
        <w:gridCol w:w="109"/>
        <w:gridCol w:w="109"/>
        <w:gridCol w:w="211"/>
        <w:gridCol w:w="826"/>
        <w:gridCol w:w="109"/>
        <w:gridCol w:w="109"/>
        <w:gridCol w:w="109"/>
        <w:gridCol w:w="109"/>
        <w:gridCol w:w="290"/>
        <w:gridCol w:w="1018"/>
        <w:gridCol w:w="152"/>
        <w:gridCol w:w="109"/>
        <w:gridCol w:w="109"/>
        <w:gridCol w:w="109"/>
        <w:gridCol w:w="109"/>
        <w:gridCol w:w="109"/>
        <w:gridCol w:w="109"/>
        <w:gridCol w:w="109"/>
        <w:gridCol w:w="248"/>
        <w:gridCol w:w="871"/>
        <w:gridCol w:w="130"/>
        <w:gridCol w:w="109"/>
        <w:gridCol w:w="109"/>
        <w:gridCol w:w="109"/>
        <w:gridCol w:w="218"/>
        <w:gridCol w:w="857"/>
        <w:gridCol w:w="167"/>
      </w:tblGrid>
      <w:tr>
        <w:trPr/>
        <w:tc>
          <w:tcPr>
            <w:tcW w:w="92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2025 </w:t>
            </w:r>
          </w:p>
        </w:tc>
        <w:tc>
          <w:tcPr>
            <w:tcW w:w="2927" w:type="dxa"/>
            <w:gridSpan w:val="10"/>
            <w:tcBorders/>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Gross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Carrying </w:t>
            </w:r>
          </w:p>
          <w:p>
            <w:pPr>
              <w:pStyle w:val="TableContents"/>
              <w:bidi w:val="0"/>
              <w:spacing w:lineRule="auto" w:line="288" w:before="0" w:after="0"/>
              <w:jc w:val="center"/>
              <w:rPr/>
            </w:pPr>
            <w:r>
              <w:rPr>
                <w:rFonts w:ascii="Times New Roman;serif" w:hAnsi="Times New Roman;serif"/>
                <w:b/>
                <w:color w:val="000000"/>
                <w:sz w:val="20"/>
              </w:rPr>
              <w:t xml:space="preserve">Amount </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Impairment/Disposals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Net Carrying </w:t>
              <w:br/>
              <w:t>Amount</w:t>
            </w:r>
          </w:p>
        </w:tc>
      </w:tr>
      <w:tr>
        <w:trPr/>
        <w:tc>
          <w:tcPr>
            <w:tcW w:w="20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internally developed software</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Non-amortized intangible assets </w:t>
            </w:r>
            <w:r>
              <w:rPr>
                <w:rFonts w:ascii="Times New Roman;serif" w:hAnsi="Times New Roman;serif"/>
                <w:b w:val="false"/>
                <w:color w:val="000000"/>
                <w:sz w:val="13"/>
              </w:rPr>
              <w:t>(1)</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Investment management agreements </w:t>
            </w:r>
            <w:r>
              <w:rPr>
                <w:rFonts w:ascii="Times New Roman;serif" w:hAnsi="Times New Roman;serif"/>
                <w:b w:val="false"/>
                <w:color w:val="000000"/>
                <w:sz w:val="13"/>
              </w:rPr>
              <w:t>(3)</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non-amortized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(38,419)</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436,157 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Company’s non-amortized intangible assets consist of management contracts for open-ended fund products and other intangible assets related to domain names and other software, for which there is no contractual termination date.</w:t>
      </w:r>
    </w:p>
    <w:p>
      <w:pPr>
        <w:pStyle w:val="TextBody"/>
        <w:bidi w:val="0"/>
        <w:spacing w:lineRule="auto" w:line="268" w:before="0" w:after="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During the year ended December 31, 2025, gross carrying amounts related to the Company’s intangible assets include additions to intangibles of $14.8 million and purchase price adjustments of $(0.7) million</w:t>
      </w:r>
      <w:r>
        <w:rPr>
          <w:color w:val="000000"/>
        </w:rPr>
        <w:t xml:space="preserve"> </w:t>
      </w:r>
      <w:r>
        <w:rPr>
          <w:rFonts w:ascii="Times New Roman;serif" w:hAnsi="Times New Roman;serif"/>
          <w:b w:val="false"/>
          <w:color w:val="000000"/>
          <w:sz w:val="18"/>
        </w:rPr>
        <w:t>(see Note 4 (Business Combinations)) related to the Kontora Acquisition, as well as foreign currency translation differences of $4.1 million.</w:t>
      </w:r>
    </w:p>
    <w:p>
      <w:pPr>
        <w:pStyle w:val="TextBody"/>
        <w:bidi w:val="0"/>
        <w:spacing w:lineRule="auto" w:line="268" w:before="0" w:after="8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During the quarter ended September 30, 2025, the Company recognized an impairment of $35.0 million related to TIG’s Investment Management Agreement (“IMA”), which is classified as an indefinite-lived intangible asset. Drivers of the impairment for the IMA include the financial projections and discount rate. </w:t>
      </w:r>
    </w:p>
    <w:p>
      <w:pPr>
        <w:pStyle w:val="TextBody"/>
        <w:bidi w:val="0"/>
        <w:spacing w:lineRule="auto" w:line="268" w:before="180" w:after="80"/>
        <w:jc w:val="both"/>
        <w:rPr>
          <w:rFonts w:ascii="Times New Roman;serif" w:hAnsi="Times New Roman;serif"/>
          <w:b w:val="false"/>
          <w:color w:val="000000"/>
          <w:sz w:val="22"/>
        </w:rPr>
      </w:pPr>
      <w:r>
        <w:rPr>
          <w:rFonts w:ascii="Times New Roman;serif" w:hAnsi="Times New Roman;serif"/>
          <w:b w:val="false"/>
          <w:color w:val="000000"/>
          <w:sz w:val="22"/>
        </w:rPr>
        <w:t xml:space="preserve">Amortization expense of $4.1 million and $3.8 million for the three months ended March 31, 2026 and March 31, 2025, respectively, was recognized. </w:t>
      </w:r>
    </w:p>
    <w:p>
      <w:pPr>
        <w:pStyle w:val="TextBody"/>
        <w:bidi w:val="0"/>
        <w:spacing w:lineRule="auto" w:line="288" w:before="0" w:after="80"/>
        <w:jc w:val="both"/>
        <w:rPr>
          <w:rFonts w:ascii="Times New Roman;serif" w:hAnsi="Times New Roman;serif"/>
          <w:b w:val="false"/>
          <w:color w:val="000000"/>
          <w:sz w:val="22"/>
        </w:rPr>
      </w:pPr>
      <w:r>
        <w:rPr>
          <w:rFonts w:ascii="Times New Roman;serif" w:hAnsi="Times New Roman;serif"/>
          <w:b w:val="false"/>
          <w:color w:val="000000"/>
          <w:sz w:val="22"/>
        </w:rPr>
        <w:t>The estimated future amortization for finite-lived intangible assets for each of the next five years and thereafter are as follows:</w:t>
      </w:r>
    </w:p>
    <w:tbl>
      <w:tblPr>
        <w:tblW w:w="3674" w:type="dxa"/>
        <w:jc w:val="left"/>
        <w:tblInd w:w="0" w:type="dxa"/>
        <w:tblLayout w:type="fixed"/>
        <w:tblCellMar>
          <w:top w:w="28" w:type="dxa"/>
          <w:left w:w="28" w:type="dxa"/>
          <w:bottom w:w="28" w:type="dxa"/>
          <w:right w:w="28" w:type="dxa"/>
        </w:tblCellMar>
      </w:tblPr>
      <w:tblGrid>
        <w:gridCol w:w="624"/>
        <w:gridCol w:w="548"/>
        <w:gridCol w:w="552"/>
        <w:gridCol w:w="345"/>
        <w:gridCol w:w="1353"/>
        <w:gridCol w:w="252"/>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16,367 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16,044 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beyond</w:t>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204,303 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265,314 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(12)    Other assets, net and Other liabilities,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breakdown of Other assets, net reported on the Condensed Consolidated Statements of Financial Position.</w:t>
      </w:r>
    </w:p>
    <w:tbl>
      <w:tblPr>
        <w:tblW w:w="7826" w:type="dxa"/>
        <w:jc w:val="left"/>
        <w:tblInd w:w="0" w:type="dxa"/>
        <w:tblLayout w:type="fixed"/>
        <w:tblCellMar>
          <w:top w:w="28" w:type="dxa"/>
          <w:left w:w="28" w:type="dxa"/>
          <w:bottom w:w="28" w:type="dxa"/>
          <w:right w:w="28" w:type="dxa"/>
        </w:tblCellMar>
      </w:tblPr>
      <w:tblGrid>
        <w:gridCol w:w="1217"/>
        <w:gridCol w:w="1067"/>
        <w:gridCol w:w="1075"/>
        <w:gridCol w:w="386"/>
        <w:gridCol w:w="1320"/>
        <w:gridCol w:w="199"/>
        <w:gridCol w:w="109"/>
        <w:gridCol w:w="109"/>
        <w:gridCol w:w="109"/>
        <w:gridCol w:w="434"/>
        <w:gridCol w:w="1484"/>
        <w:gridCol w:w="317"/>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depreciation </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1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Sundry receivables</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receivables</w:t>
            </w:r>
            <w:r>
              <w:rPr>
                <w:color w:val="000000"/>
              </w:rPr>
              <w:t xml:space="preserve"> </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receivables related to IRE</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assets, net</w:t>
            </w:r>
            <w:r>
              <w:rPr>
                <w:color w:val="000000"/>
              </w:rPr>
              <w:t xml:space="preserve"> </w:t>
            </w:r>
            <w:r>
              <w:rPr>
                <w:rFonts w:ascii="Times New Roman;serif" w:hAnsi="Times New Roman;serif"/>
                <w:b w:val="false"/>
                <w:color w:val="000000"/>
                <w:sz w:val="13"/>
              </w:rPr>
              <w:t>(1)</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52,628 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56,446 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As of March 31, 2026 and December 31, 2025, these amounts include $0.2 million and $0.2 million, respectively, in receivables due from related parties. See Note 17 (Related Party Transactions) for further details.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breakdown of Other liabilities, net reported on the Condensed Consolidated Statements of Financial Position.</w:t>
      </w:r>
    </w:p>
    <w:tbl>
      <w:tblPr>
        <w:tblW w:w="6566" w:type="dxa"/>
        <w:jc w:val="left"/>
        <w:tblInd w:w="0" w:type="dxa"/>
        <w:tblLayout w:type="fixed"/>
        <w:tblCellMar>
          <w:top w:w="28" w:type="dxa"/>
          <w:left w:w="28" w:type="dxa"/>
          <w:bottom w:w="28" w:type="dxa"/>
          <w:right w:w="28" w:type="dxa"/>
        </w:tblCellMar>
      </w:tblPr>
      <w:tblGrid>
        <w:gridCol w:w="760"/>
        <w:gridCol w:w="667"/>
        <w:gridCol w:w="672"/>
        <w:gridCol w:w="386"/>
        <w:gridCol w:w="1320"/>
        <w:gridCol w:w="199"/>
        <w:gridCol w:w="109"/>
        <w:gridCol w:w="109"/>
        <w:gridCol w:w="109"/>
        <w:gridCol w:w="434"/>
        <w:gridCol w:w="1484"/>
        <w:gridCol w:w="317"/>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w:t>
            </w:r>
          </w:p>
        </w:tc>
        <w:tc>
          <w:tcPr>
            <w:tcW w:w="1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Corporation tax payable</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 xml:space="preserve">(1) </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Liabilities, net </w:t>
            </w:r>
            <w:r>
              <w:rPr>
                <w:rFonts w:ascii="Times New Roman;serif" w:hAnsi="Times New Roman;serif"/>
                <w:b w:val="false"/>
                <w:color w:val="000000"/>
                <w:sz w:val="13"/>
              </w:rPr>
              <w:t>(2)</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14,676 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The other category is comprised primarily of miscellaneous payables and provisions. </w:t>
      </w:r>
    </w:p>
    <w:p>
      <w:pPr>
        <w:pStyle w:val="TextBody"/>
        <w:bidi w:val="0"/>
        <w:spacing w:lineRule="auto" w:line="288" w:before="0" w:after="0"/>
        <w:jc w:val="both"/>
        <w:rPr/>
      </w:pPr>
      <w:r>
        <w:rPr>
          <w:rFonts w:ascii="Times New Roman;serif" w:hAnsi="Times New Roman;serif"/>
          <w:b/>
          <w:color w:val="000000"/>
          <w:sz w:val="12"/>
        </w:rPr>
        <w:t xml:space="preserve">(2) </w:t>
      </w:r>
      <w:r>
        <w:rPr>
          <w:rFonts w:ascii="Times New Roman;serif" w:hAnsi="Times New Roman;serif"/>
          <w:b w:val="false"/>
          <w:color w:val="000000"/>
          <w:sz w:val="18"/>
        </w:rPr>
        <w:t xml:space="preserve">As of March 31, 2026 and December 31, 2025, these amounts include $0.8 million and $0.7 million, respectively, in liabilities due to related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(13)    Leases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primarily has non-cancellable operating leases for office spaces across various countries. We categorize leases as either operating or finance leases at the commencement date of the respective lease.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components of lease costs are as follows:</w:t>
      </w:r>
    </w:p>
    <w:tbl>
      <w:tblPr>
        <w:tblW w:w="5865" w:type="dxa"/>
        <w:jc w:val="left"/>
        <w:tblInd w:w="0" w:type="dxa"/>
        <w:tblLayout w:type="fixed"/>
        <w:tblCellMar>
          <w:top w:w="28" w:type="dxa"/>
          <w:left w:w="28" w:type="dxa"/>
          <w:bottom w:w="28" w:type="dxa"/>
          <w:right w:w="28" w:type="dxa"/>
        </w:tblCellMar>
      </w:tblPr>
      <w:tblGrid>
        <w:gridCol w:w="771"/>
        <w:gridCol w:w="677"/>
        <w:gridCol w:w="681"/>
        <w:gridCol w:w="324"/>
        <w:gridCol w:w="949"/>
        <w:gridCol w:w="167"/>
        <w:gridCol w:w="125"/>
        <w:gridCol w:w="125"/>
        <w:gridCol w:w="125"/>
        <w:gridCol w:w="324"/>
        <w:gridCol w:w="949"/>
        <w:gridCol w:w="167"/>
        <w:gridCol w:w="109"/>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lease expense</w:t>
            </w:r>
            <w:r>
              <w:rPr>
                <w:color w:val="000000"/>
              </w:rPr>
              <w:t xml:space="preserve"> </w:t>
            </w:r>
            <w:r>
              <w:rPr>
                <w:rFonts w:ascii="Times New Roman;serif" w:hAnsi="Times New Roman;serif"/>
                <w:b w:val="false"/>
                <w:color w:val="000000"/>
                <w:sz w:val="13"/>
              </w:rPr>
              <w:t>(1)</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These amounts include $0.1 million and $0.1 million for the three months ended March 31, 2026 and March 31, 2025, respectively, in operating lease expense from related parties. See Note 17 (Related Party Transactions) for further details.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Supplemental cash flow information and non-cash activity related to our operating leases are as follows:</w:t>
      </w:r>
    </w:p>
    <w:tbl>
      <w:tblPr>
        <w:tblW w:w="8444" w:type="dxa"/>
        <w:jc w:val="left"/>
        <w:tblInd w:w="0" w:type="dxa"/>
        <w:tblLayout w:type="fixed"/>
        <w:tblCellMar>
          <w:top w:w="28" w:type="dxa"/>
          <w:left w:w="28" w:type="dxa"/>
          <w:bottom w:w="28" w:type="dxa"/>
          <w:right w:w="28" w:type="dxa"/>
        </w:tblCellMar>
      </w:tblPr>
      <w:tblGrid>
        <w:gridCol w:w="1862"/>
        <w:gridCol w:w="1635"/>
        <w:gridCol w:w="1647"/>
        <w:gridCol w:w="324"/>
        <w:gridCol w:w="949"/>
        <w:gridCol w:w="167"/>
        <w:gridCol w:w="125"/>
        <w:gridCol w:w="125"/>
        <w:gridCol w:w="125"/>
        <w:gridCol w:w="319"/>
        <w:gridCol w:w="933"/>
        <w:gridCol w:w="233"/>
      </w:tblGrid>
      <w:tr>
        <w:trPr/>
        <w:tc>
          <w:tcPr>
            <w:tcW w:w="1862"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r>
      <w:tr>
        <w:trPr/>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cash flow information:</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 outflows - operating leases </w:t>
            </w:r>
            <w:r>
              <w:rPr>
                <w:rFonts w:ascii="Times New Roman;serif" w:hAnsi="Times New Roman;serif"/>
                <w:b w:val="false"/>
                <w:color w:val="000000"/>
                <w:sz w:val="13"/>
              </w:rPr>
              <w:t>(1)</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activity:</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These amounts include $0.1 million and $0.1 million, for the three months ended March 31, 2026 and March 31, 2025, respectively, in cash outflows related to operating leases from related parties. See Note 17 (Related Party Transactions) for further details.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Weighted-average remaining lease term and discount rate for our operating leases are as follows:</w:t>
      </w:r>
    </w:p>
    <w:tbl>
      <w:tblPr>
        <w:tblW w:w="7795" w:type="dxa"/>
        <w:jc w:val="left"/>
        <w:tblInd w:w="0" w:type="dxa"/>
        <w:tblLayout w:type="fixed"/>
        <w:tblCellMar>
          <w:top w:w="28" w:type="dxa"/>
          <w:left w:w="28" w:type="dxa"/>
          <w:bottom w:w="28" w:type="dxa"/>
          <w:right w:w="28" w:type="dxa"/>
        </w:tblCellMar>
      </w:tblPr>
      <w:tblGrid>
        <w:gridCol w:w="1207"/>
        <w:gridCol w:w="1059"/>
        <w:gridCol w:w="1064"/>
        <w:gridCol w:w="422"/>
        <w:gridCol w:w="422"/>
        <w:gridCol w:w="1060"/>
        <w:gridCol w:w="109"/>
        <w:gridCol w:w="109"/>
        <w:gridCol w:w="109"/>
        <w:gridCol w:w="455"/>
        <w:gridCol w:w="455"/>
        <w:gridCol w:w="132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3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Future minimum lease payments for the Company’s operating leases as of March 31, 2026, are as follows: </w:t>
      </w:r>
    </w:p>
    <w:tbl>
      <w:tblPr>
        <w:tblW w:w="6419" w:type="dxa"/>
        <w:jc w:val="left"/>
        <w:tblInd w:w="0" w:type="dxa"/>
        <w:tblLayout w:type="fixed"/>
        <w:tblCellMar>
          <w:top w:w="28" w:type="dxa"/>
          <w:left w:w="28" w:type="dxa"/>
          <w:bottom w:w="28" w:type="dxa"/>
          <w:right w:w="28" w:type="dxa"/>
        </w:tblCellMar>
      </w:tblPr>
      <w:tblGrid>
        <w:gridCol w:w="971"/>
        <w:gridCol w:w="854"/>
        <w:gridCol w:w="860"/>
        <w:gridCol w:w="725"/>
        <w:gridCol w:w="2480"/>
        <w:gridCol w:w="529"/>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Future Minimum Rental Operating Leases</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7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9,028 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8,484 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6,442 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beyond</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49,603 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87,114 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26,333 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60,781 </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(14)    Goodwill</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reconciliation of Goodwill reported on the Condensed Consolidated Statements of Financial Position as of March 31, 2026 and December 31, 2025, respectively.</w:t>
      </w:r>
    </w:p>
    <w:tbl>
      <w:tblPr>
        <w:tblW w:w="10104" w:type="dxa"/>
        <w:jc w:val="left"/>
        <w:tblInd w:w="0" w:type="dxa"/>
        <w:tblLayout w:type="fixed"/>
        <w:tblCellMar>
          <w:top w:w="28" w:type="dxa"/>
          <w:left w:w="28" w:type="dxa"/>
          <w:bottom w:w="28" w:type="dxa"/>
          <w:right w:w="28" w:type="dxa"/>
        </w:tblCellMar>
      </w:tblPr>
      <w:tblGrid>
        <w:gridCol w:w="1607"/>
        <w:gridCol w:w="1411"/>
        <w:gridCol w:w="1421"/>
        <w:gridCol w:w="109"/>
        <w:gridCol w:w="109"/>
        <w:gridCol w:w="109"/>
        <w:gridCol w:w="109"/>
        <w:gridCol w:w="350"/>
        <w:gridCol w:w="1373"/>
        <w:gridCol w:w="181"/>
        <w:gridCol w:w="109"/>
        <w:gridCol w:w="109"/>
        <w:gridCol w:w="109"/>
        <w:gridCol w:w="109"/>
        <w:gridCol w:w="109"/>
        <w:gridCol w:w="109"/>
        <w:gridCol w:w="109"/>
        <w:gridCol w:w="403"/>
        <w:gridCol w:w="1579"/>
        <w:gridCol w:w="208"/>
        <w:gridCol w:w="109"/>
        <w:gridCol w:w="109"/>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385,966 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377,842 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recognized in connection with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and 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384,586 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385,966 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recognized no impairment to goodwill for the periods presented.</w:t>
      </w:r>
    </w:p>
    <w:p>
      <w:pPr>
        <w:pStyle w:val="TextBody"/>
        <w:bidi w:val="0"/>
        <w:spacing w:before="0" w:after="0"/>
        <w:ind w:left="0" w:right="0" w:firstLine="167"/>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believes that its procedures for estimating the fair value of the reporting units are reasonable and consistent with assumptions that would be used by other marketplace participants. However, such assumptions are inherently uncertain, and a change in assumptions could change the estimated fair value of our reporting units. Future impairments of our indefinite lived intangible assets and reporting units could be required, which could be material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(15)    Debt, net of unamortized deferred financing cost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outstanding debt obligations of the Company as of March 31, 2026 and December 31, 2025:</w:t>
      </w:r>
    </w:p>
    <w:tbl>
      <w:tblPr>
        <w:tblW w:w="10205" w:type="dxa"/>
        <w:jc w:val="left"/>
        <w:tblInd w:w="0" w:type="dxa"/>
        <w:tblLayout w:type="fixed"/>
        <w:tblCellMar>
          <w:top w:w="28" w:type="dxa"/>
          <w:left w:w="28" w:type="dxa"/>
          <w:bottom w:w="28" w:type="dxa"/>
          <w:right w:w="28" w:type="dxa"/>
        </w:tblCellMar>
      </w:tblPr>
      <w:tblGrid>
        <w:gridCol w:w="729"/>
        <w:gridCol w:w="582"/>
        <w:gridCol w:w="523"/>
        <w:gridCol w:w="273"/>
        <w:gridCol w:w="935"/>
        <w:gridCol w:w="141"/>
        <w:gridCol w:w="109"/>
        <w:gridCol w:w="109"/>
        <w:gridCol w:w="109"/>
        <w:gridCol w:w="228"/>
        <w:gridCol w:w="781"/>
        <w:gridCol w:w="117"/>
        <w:gridCol w:w="109"/>
        <w:gridCol w:w="109"/>
        <w:gridCol w:w="109"/>
        <w:gridCol w:w="211"/>
        <w:gridCol w:w="721"/>
        <w:gridCol w:w="109"/>
        <w:gridCol w:w="109"/>
        <w:gridCol w:w="109"/>
        <w:gridCol w:w="109"/>
        <w:gridCol w:w="362"/>
        <w:gridCol w:w="800"/>
        <w:gridCol w:w="188"/>
        <w:gridCol w:w="109"/>
        <w:gridCol w:w="109"/>
        <w:gridCol w:w="109"/>
        <w:gridCol w:w="276"/>
        <w:gridCol w:w="611"/>
        <w:gridCol w:w="144"/>
        <w:gridCol w:w="109"/>
        <w:gridCol w:w="109"/>
        <w:gridCol w:w="109"/>
        <w:gridCol w:w="211"/>
        <w:gridCol w:w="466"/>
        <w:gridCol w:w="162"/>
      </w:tblGrid>
      <w:tr>
        <w:trPr/>
        <w:tc>
          <w:tcPr>
            <w:tcW w:w="72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Net Carrying </w:t>
            </w:r>
          </w:p>
          <w:p>
            <w:pPr>
              <w:pStyle w:val="TableContents"/>
              <w:bidi w:val="0"/>
              <w:spacing w:lineRule="auto" w:line="288" w:before="0" w:after="0"/>
              <w:jc w:val="center"/>
              <w:rPr/>
            </w:pPr>
            <w:r>
              <w:rPr>
                <w:rFonts w:ascii="Times New Roman;serif" w:hAnsi="Times New Roman;serif"/>
                <w:b w:val="false"/>
                <w:color w:val="000000"/>
                <w:sz w:val="20"/>
              </w:rPr>
              <w:t xml:space="preserve">Value </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 xml:space="preserve">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Net Carrying </w:t>
            </w:r>
          </w:p>
          <w:p>
            <w:pPr>
              <w:pStyle w:val="TableContents"/>
              <w:bidi w:val="0"/>
              <w:spacing w:lineRule="auto" w:line="288" w:before="0" w:after="0"/>
              <w:jc w:val="center"/>
              <w:rPr/>
            </w:pPr>
            <w:r>
              <w:rPr>
                <w:rFonts w:ascii="Times New Roman;serif" w:hAnsi="Times New Roman;serif"/>
                <w:b w:val="false"/>
                <w:color w:val="000000"/>
                <w:sz w:val="20"/>
              </w:rPr>
              <w:t xml:space="preserve">Value </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 xml:space="preserve">Value </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Administrators Term Loan</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14,510 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Kontora Credit Facility</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14,920 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15,049 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color w:val="000000"/>
          <w:sz w:val="12"/>
        </w:rPr>
        <w:t>(1)</w:t>
      </w:r>
      <w:r>
        <w:rPr>
          <w:color w:val="000000"/>
        </w:rPr>
        <w:t xml:space="preserve"> </w:t>
      </w:r>
      <w:r>
        <w:rPr>
          <w:rFonts w:ascii="Times New Roman;serif" w:hAnsi="Times New Roman;serif"/>
          <w:b w:val="false"/>
          <w:color w:val="000000"/>
          <w:sz w:val="18"/>
        </w:rPr>
        <w:t>The carrying value of the Term Loans and Revolving Line of Credit approximates fair value as of March 31, 2026</w:t>
      </w:r>
      <w:r>
        <w:rPr>
          <w:color w:val="000000"/>
        </w:rPr>
        <w:t xml:space="preserve"> </w:t>
      </w:r>
      <w:r>
        <w:rPr>
          <w:rFonts w:ascii="Times New Roman;serif" w:hAnsi="Times New Roman;serif"/>
          <w:b w:val="false"/>
          <w:color w:val="000000"/>
          <w:sz w:val="18"/>
        </w:rPr>
        <w:t xml:space="preserve">and December 31, 2025.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i/>
          <w:color w:val="000000"/>
          <w:sz w:val="22"/>
        </w:rPr>
      </w:pPr>
      <w:r>
        <w:rPr>
          <w:rFonts w:ascii="Times New Roman;serif" w:hAnsi="Times New Roman;serif"/>
          <w:b/>
          <w:i/>
          <w:color w:val="000000"/>
          <w:sz w:val="22"/>
        </w:rPr>
        <w:t>Administrators Term Loan</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March 19, 2026, the Company and certain of its affiliates on the one hand and the International Real Estate Businesses and the Administrators on the other hand entered into a binding settlement and intercompany loan deed memorializing the terms of the settlement. The settlement amount of £11.2 million ($15.0 million) is noninterest bearing and paid in installments through November 2027. As of March 31, 2026, the outstanding balance of the settlement was $14.5 million. See Note 3 Discontinued Operations for further details. </w:t>
      </w:r>
    </w:p>
    <w:p>
      <w:pPr>
        <w:pStyle w:val="TextBody"/>
        <w:bidi w:val="0"/>
        <w:spacing w:lineRule="auto" w:line="288" w:before="0" w:after="160"/>
        <w:jc w:val="both"/>
        <w:rPr>
          <w:rFonts w:ascii="Times New Roman;serif" w:hAnsi="Times New Roman;serif"/>
          <w:b/>
          <w:i/>
          <w:color w:val="000000"/>
          <w:sz w:val="22"/>
        </w:rPr>
      </w:pPr>
      <w:r>
        <w:rPr>
          <w:rFonts w:ascii="Times New Roman;serif" w:hAnsi="Times New Roman;serif"/>
          <w:b/>
          <w:i/>
          <w:color w:val="000000"/>
          <w:sz w:val="22"/>
        </w:rPr>
        <w:t>Kontora Credit Facility</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April 30, 2025, the Company acquired Kontora. See Note 4 (Business Combinations). At the acquisition date, Kontora had a term loan with HypoVereinsbank. The term loan is repayable in fixed quarterly installments of $0.1 million plus interest, with the final payment due on June 30, 2027. The term loan bears interest at 6.7% per annum which is payable quarterly. Throughout the period of the loan Kontora Family Office GmbH,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standalone entity, is required to maintain economic equity of the higher of $1.8 million or 30% of the total assets of this standalone entity.</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At the acquisition date, Kontora also had a revolving line of credit, which expires on July 25, 2029, with an aggregate borrowing facility of $0.9 million with HypoVereinsbank. The revolving line of credit bears interest at 3-month EURIBOR plus 7.15% on funded amounts and a commitment fee of 0.75% on unfunded amounts. The funded amounts bear no restrictions on its use.</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Contractual maturities of the Administrators Term Loan and Term Loan as of March 31, 2026, are set out in the table below: </w:t>
      </w:r>
    </w:p>
    <w:tbl>
      <w:tblPr>
        <w:tblW w:w="9517" w:type="dxa"/>
        <w:jc w:val="left"/>
        <w:tblInd w:w="0" w:type="dxa"/>
        <w:tblLayout w:type="fixed"/>
        <w:tblCellMar>
          <w:top w:w="28" w:type="dxa"/>
          <w:left w:w="28" w:type="dxa"/>
          <w:bottom w:w="28" w:type="dxa"/>
          <w:right w:w="28" w:type="dxa"/>
        </w:tblCellMar>
      </w:tblPr>
      <w:tblGrid>
        <w:gridCol w:w="624"/>
        <w:gridCol w:w="548"/>
        <w:gridCol w:w="552"/>
        <w:gridCol w:w="536"/>
        <w:gridCol w:w="1962"/>
        <w:gridCol w:w="262"/>
        <w:gridCol w:w="109"/>
        <w:gridCol w:w="109"/>
        <w:gridCol w:w="109"/>
        <w:gridCol w:w="554"/>
        <w:gridCol w:w="1290"/>
        <w:gridCol w:w="270"/>
        <w:gridCol w:w="109"/>
        <w:gridCol w:w="109"/>
        <w:gridCol w:w="109"/>
        <w:gridCol w:w="424"/>
        <w:gridCol w:w="1552"/>
        <w:gridCol w:w="289"/>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Administrators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Kontora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Aggregate Maturities</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2026</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8,145 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8,391 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2027</w:t>
            </w:r>
          </w:p>
        </w:tc>
        <w:tc>
          <w:tcPr>
            <w:tcW w:w="2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6,365 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6,529 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14,510 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410 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14,920 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160"/>
        <w:jc w:val="both"/>
        <w:rPr>
          <w:rFonts w:ascii="Times New Roman;serif" w:hAnsi="Times New Roman;serif"/>
          <w:b/>
          <w:i/>
          <w:color w:val="000000"/>
          <w:sz w:val="22"/>
        </w:rPr>
      </w:pPr>
      <w:r>
        <w:rPr>
          <w:rFonts w:ascii="Times New Roman;serif" w:hAnsi="Times New Roman;serif"/>
          <w:b/>
          <w:i/>
          <w:color w:val="000000"/>
          <w:sz w:val="22"/>
        </w:rPr>
        <w:t>Allianz Tranche Right</w:t>
      </w:r>
    </w:p>
    <w:p>
      <w:pPr>
        <w:pStyle w:val="TextBody"/>
        <w:bidi w:val="0"/>
        <w:spacing w:lineRule="auto" w:line="288" w:before="0" w:after="0"/>
        <w:jc w:val="both"/>
        <w:rPr/>
      </w:pPr>
      <w:r>
        <w:rPr>
          <w:rFonts w:ascii="Times New Roman;serif" w:hAnsi="Times New Roman;serif"/>
          <w:b w:val="false"/>
          <w:color w:val="000000"/>
          <w:sz w:val="22"/>
        </w:rPr>
        <w:t xml:space="preserve">The Company issued the Allianz Tranche Right in which Allianz, at their option, can purchase up to a total of 50,000 additional shares of Series A Preferred Stock at $1,000 per share. On May 13, 2025, Allianz exercised the Allianz Tranche Right to purchase an additional 18,471 shares of Series A Preferred Stock at the stated price for $18.5 million. As of March 31, 2026 and December 31, 2025, the Allianz Tranche Right of $1.4 million and $2.4 million, respectively, is classified as a liability in accordance with ASC 480, </w:t>
      </w:r>
      <w:r>
        <w:rPr>
          <w:rFonts w:ascii="Times New Roman;serif" w:hAnsi="Times New Roman;serif"/>
          <w:b w:val="false"/>
          <w:i/>
          <w:color w:val="000000"/>
          <w:sz w:val="22"/>
        </w:rPr>
        <w:t>Liabilities</w:t>
      </w:r>
      <w:r>
        <w:rPr>
          <w:rFonts w:ascii="Times New Roman;serif" w:hAnsi="Times New Roman;serif"/>
          <w:b w:val="false"/>
          <w:color w:val="000000"/>
          <w:sz w:val="22"/>
        </w:rPr>
        <w:t xml:space="preserve">, and is recorded in the line item Preferred stock tranche liability on the Company’s Condensed Consolidated Statements of Financial Position. For the three months ended March 31, 2026 and March 31, 2025, the change in fair value of the Allianz Tranche Right is $1.0 million and $2.5 million, respectively, which is recorded in the line item Gain (loss) on preferred stock liability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both"/>
        <w:rPr>
          <w:rFonts w:ascii="Times New Roman;serif" w:hAnsi="Times New Roman;serif"/>
          <w:b/>
          <w:color w:val="000000"/>
          <w:sz w:val="22"/>
        </w:rPr>
      </w:pPr>
      <w:r>
        <w:rPr>
          <w:rFonts w:ascii="Times New Roman;serif" w:hAnsi="Times New Roman;serif"/>
          <w:b/>
          <w:color w:val="000000"/>
          <w:sz w:val="22"/>
        </w:rPr>
        <w:t>(16)    Retirement Plans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are summarized in the following table: </w:t>
      </w:r>
    </w:p>
    <w:tbl>
      <w:tblPr>
        <w:tblW w:w="5486" w:type="dxa"/>
        <w:jc w:val="left"/>
        <w:tblInd w:w="0" w:type="dxa"/>
        <w:tblLayout w:type="fixed"/>
        <w:tblCellMar>
          <w:top w:w="28" w:type="dxa"/>
          <w:left w:w="28" w:type="dxa"/>
          <w:bottom w:w="28" w:type="dxa"/>
          <w:right w:w="28" w:type="dxa"/>
        </w:tblCellMar>
      </w:tblPr>
      <w:tblGrid>
        <w:gridCol w:w="624"/>
        <w:gridCol w:w="548"/>
        <w:gridCol w:w="552"/>
        <w:gridCol w:w="325"/>
        <w:gridCol w:w="949"/>
        <w:gridCol w:w="166"/>
        <w:gridCol w:w="134"/>
        <w:gridCol w:w="134"/>
        <w:gridCol w:w="134"/>
        <w:gridCol w:w="387"/>
        <w:gridCol w:w="854"/>
        <w:gridCol w:w="198"/>
        <w:gridCol w:w="109"/>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Contributions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of March 31, 2026 $1.7 million in contributions was payable, which is included in Accounts payable and accrued expenses on the Condensed Consolidated Statements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 xml:space="preserve">(17)    Related Party Transactions </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Related party transactions include the below:</w:t>
      </w:r>
    </w:p>
    <w:tbl>
      <w:tblPr>
        <w:tblW w:w="10205" w:type="dxa"/>
        <w:jc w:val="left"/>
        <w:tblInd w:w="0" w:type="dxa"/>
        <w:tblLayout w:type="fixed"/>
        <w:tblCellMar>
          <w:top w:w="28" w:type="dxa"/>
          <w:left w:w="28" w:type="dxa"/>
          <w:bottom w:w="28" w:type="dxa"/>
          <w:right w:w="28" w:type="dxa"/>
        </w:tblCellMar>
      </w:tblPr>
      <w:tblGrid>
        <w:gridCol w:w="2072"/>
        <w:gridCol w:w="1440"/>
        <w:gridCol w:w="1449"/>
        <w:gridCol w:w="109"/>
        <w:gridCol w:w="109"/>
        <w:gridCol w:w="109"/>
        <w:gridCol w:w="788"/>
        <w:gridCol w:w="788"/>
        <w:gridCol w:w="789"/>
        <w:gridCol w:w="223"/>
        <w:gridCol w:w="875"/>
        <w:gridCol w:w="115"/>
        <w:gridCol w:w="236"/>
        <w:gridCol w:w="925"/>
        <w:gridCol w:w="178"/>
      </w:tblGrid>
      <w:tr>
        <w:trPr/>
        <w:tc>
          <w:tcPr>
            <w:tcW w:w="207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Condensed Consolidated Balance Sheet Line Item</w:t>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March 31, </w:t>
              <w:br/>
              <w:t>2026</w:t>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December 31, </w:t>
              <w:br/>
              <w:t>2025</w:t>
            </w:r>
          </w:p>
        </w:tc>
      </w:tr>
      <w:tr>
        <w:trPr/>
        <w:tc>
          <w:tcPr>
            <w:tcW w:w="4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Due from Certain TWMH Members, TIG GP Members and TIG MGMT Members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Due from Equity Method Investees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TIG related fee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net</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Related Party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Due to Certain TWMH Members, TIG GP Members and TIG MGMT Members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member distribution payable</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Due to Certain Non-Controlling Interest Holders in Connection with the Tax Receivable Agreements </w:t>
            </w:r>
            <w:r>
              <w:rPr>
                <w:rFonts w:ascii="Times New Roman;serif" w:hAnsi="Times New Roman;serif"/>
                <w:b w:val="false"/>
                <w:color w:val="000000"/>
                <w:sz w:val="13"/>
              </w:rPr>
              <w:t>(4)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Due to certain employees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Due to Certain TWMH Members, TIG GP Members, TIG MGMT Members and Alvarium Shareholders in connection with the Business Combination Earn-out </w:t>
            </w:r>
            <w:r>
              <w:rPr>
                <w:rFonts w:ascii="Times New Roman;serif" w:hAnsi="Times New Roman;serif"/>
                <w:b w:val="false"/>
                <w:color w:val="000000"/>
                <w:sz w:val="13"/>
              </w:rPr>
              <w:t>(4)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EEA earn-out liability </w:t>
            </w:r>
            <w:r>
              <w:rPr>
                <w:rFonts w:ascii="Times New Roman;serif" w:hAnsi="Times New Roman;serif"/>
                <w:b w:val="false"/>
                <w:color w:val="000000"/>
                <w:sz w:val="13"/>
              </w:rPr>
              <w:t>(4)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Envoi earn-out consideration liability </w:t>
            </w:r>
            <w:r>
              <w:rPr>
                <w:rFonts w:ascii="Times New Roman;serif" w:hAnsi="Times New Roman;serif"/>
                <w:b w:val="false"/>
                <w:color w:val="000000"/>
                <w:sz w:val="13"/>
              </w:rPr>
              <w:t>(4)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Envoi earn-out growth consideration liability </w:t>
            </w:r>
            <w:r>
              <w:rPr>
                <w:rFonts w:ascii="Times New Roman;serif" w:hAnsi="Times New Roman;serif"/>
                <w:b w:val="false"/>
                <w:color w:val="000000"/>
                <w:sz w:val="13"/>
              </w:rPr>
              <w:t>(4)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Kontora earn-out liability </w:t>
            </w:r>
            <w:r>
              <w:rPr>
                <w:rFonts w:ascii="Times New Roman;serif" w:hAnsi="Times New Roman;serif"/>
                <w:b w:val="false"/>
                <w:color w:val="000000"/>
                <w:sz w:val="13"/>
              </w:rPr>
              <w:t>(4)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Preferred stock tranche liability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tranche liability</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Office lease liability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Series A Preferred Stock </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Redeemable Cumulative Convertible Preferred Stock</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Series C Preferred Stock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Redeemable Cumulative Convertible Preferred Stock</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Allianz Warrants, net of issuance costs</w:t>
            </w:r>
            <w:r>
              <w:rPr>
                <w:color w:val="000000"/>
              </w:rPr>
              <w:t xml:space="preserve"> </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Constellation Warrants, net of issuance costs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Certain TWMH Members hold promissory notes bearing interest at 3.25% per annum, subject to annual forgiveness provisions contingent on continued employment. For the three months ended March 31, 2026 and March 31, 2025, the Company recognized $53 thousand and $56 thousand, respectively, of forgiveness of principal debt and accrued interest within Compensation and employee benefits expense on the Condensed Consolidated Statements of Operations.</w:t>
      </w:r>
    </w:p>
    <w:p>
      <w:pPr>
        <w:pStyle w:val="TextBody"/>
        <w:bidi w:val="0"/>
        <w:spacing w:lineRule="auto" w:line="276" w:before="0" w:after="8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Represents receivables related to loans, fees, and expenses due from equity method investees. See Note 9 (Equity Method Investments) for further detail on the nature of these relationships.</w:t>
      </w:r>
    </w:p>
    <w:p>
      <w:pPr>
        <w:pStyle w:val="TextBody"/>
        <w:bidi w:val="0"/>
        <w:spacing w:lineRule="auto" w:line="276" w:before="0" w:after="8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Represents accrued member distributions payable to certain TWMH Members, TIG GP Members, and TIG MGMT Members issued in connection with the Business Combination.</w:t>
      </w:r>
    </w:p>
    <w:p>
      <w:pPr>
        <w:pStyle w:val="TextBody"/>
        <w:bidi w:val="0"/>
        <w:spacing w:lineRule="auto" w:line="276" w:before="0" w:after="8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See Note 20 Commitments and Contingencies for a description of the nature and terms of the TRA and each earn-out arrangement.</w:t>
      </w:r>
    </w:p>
    <w:p>
      <w:pPr>
        <w:pStyle w:val="TextBody"/>
        <w:bidi w:val="0"/>
        <w:spacing w:lineRule="auto" w:line="276" w:before="0" w:after="80"/>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See Note 8 Fair Value Disclosures for current period activity, ending balances, and valuation methodologies.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76" w:before="0" w:after="80"/>
        <w:jc w:val="both"/>
        <w:rPr/>
      </w:pP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Represents a Vendor Loan Note issued in connection with a share buyback transaction by a senior executive of the Company. The Company expects the loan to be settled in mid-2026.</w:t>
      </w:r>
    </w:p>
    <w:p>
      <w:pPr>
        <w:pStyle w:val="TextBody"/>
        <w:bidi w:val="0"/>
        <w:spacing w:lineRule="auto" w:line="276" w:before="0" w:after="80"/>
        <w:jc w:val="both"/>
        <w:rPr/>
      </w:pPr>
      <w:r>
        <w:rPr>
          <w:rFonts w:ascii="Times New Roman;serif" w:hAnsi="Times New Roman;serif"/>
          <w:b w:val="false"/>
          <w:color w:val="000000"/>
          <w:sz w:val="12"/>
        </w:rPr>
        <w:t>(7)</w:t>
      </w:r>
      <w:r>
        <w:rPr>
          <w:color w:val="000000"/>
        </w:rPr>
        <w:t xml:space="preserve"> </w:t>
      </w:r>
      <w:r>
        <w:rPr>
          <w:rFonts w:ascii="Times New Roman;serif" w:hAnsi="Times New Roman;serif"/>
          <w:b w:val="false"/>
          <w:color w:val="000000"/>
          <w:sz w:val="18"/>
        </w:rPr>
        <w:t xml:space="preserve">See Note 13 Leases for further detail on the Company’s related party lease arrangement. The Company leases office space in Singapore from a related party. For the three months ended March 31, 2026 and March 31, 2025, the Company recorded lease expense related to this lease of $0.1 million and $0.1 million, respectively. </w:t>
      </w:r>
    </w:p>
    <w:p>
      <w:pPr>
        <w:pStyle w:val="TextBody"/>
        <w:bidi w:val="0"/>
        <w:spacing w:lineRule="auto" w:line="268" w:before="0" w:after="80"/>
        <w:jc w:val="both"/>
        <w:rPr/>
      </w:pPr>
      <w:r>
        <w:rPr>
          <w:rFonts w:ascii="Times New Roman;serif" w:hAnsi="Times New Roman;serif"/>
          <w:b w:val="false"/>
          <w:color w:val="000000"/>
          <w:sz w:val="12"/>
        </w:rPr>
        <w:t>(8)</w:t>
      </w:r>
      <w:r>
        <w:rPr>
          <w:color w:val="000000"/>
        </w:rPr>
        <w:t xml:space="preserve"> </w:t>
      </w:r>
      <w:r>
        <w:rPr>
          <w:rFonts w:ascii="Times New Roman;serif" w:hAnsi="Times New Roman;serif"/>
          <w:b w:val="false"/>
          <w:color w:val="000000"/>
          <w:sz w:val="18"/>
        </w:rPr>
        <w:t>The Company has issued Series A Preferred Stock to Allianz and Series C Preferred Stock to Constellation, each classified as mezzanine equity. As of March 31, 2026, the Series A and Series C Preferred Stock outstanding were 168,934 and 150,000 shares, respectively. See Note 21 Equity for further detail on warrant 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(18)    Segment Reporting</w:t>
      </w:r>
    </w:p>
    <w:p>
      <w:pPr>
        <w:pStyle w:val="TextBody"/>
        <w:bidi w:val="0"/>
        <w:spacing w:lineRule="auto" w:line="268" w:before="200" w:after="80"/>
        <w:jc w:val="both"/>
        <w:rPr>
          <w:rFonts w:ascii="Times New Roman;serif" w:hAnsi="Times New Roman;serif"/>
          <w:b w:val="false"/>
          <w:color w:val="000000"/>
          <w:sz w:val="22"/>
        </w:rPr>
      </w:pPr>
      <w:r>
        <w:rPr>
          <w:rFonts w:ascii="Times New Roman;serif" w:hAnsi="Times New Roman;serif"/>
          <w:b w:val="false"/>
          <w:color w:val="000000"/>
          <w:sz w:val="22"/>
        </w:rPr>
        <w:t>Prior to the third quarter ended September 30, 2025, the Company was organized into two reportable segments: Wealth &amp; Capital Solutions and International Real Estate. On July 11, 2025, the Board approved a plan to appoint administrators over the International Real Estate Businesses. See Note 3 (Discontinued Operations) for further information. As such, during the third quarter ended September 30, 2025, the Company disposed of its International Real Estate segment, and is now organized as one reportable segment as of March 31, 2026.</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Our chief operating decision maker (“CODM”), currently, our Interim Chief Executive Officer, assesses the Company’s performance and allocation of resources based on Net income (loss) from continuing operations, as reported in the Condensed Consolidated Statements of Operations, to assist with the evaluation of strategic business decisions, including potential acquisitions or divestitures and whether to invest in certain products or services, and expense management.</w:t>
      </w:r>
    </w:p>
    <w:p>
      <w:pPr>
        <w:pStyle w:val="TextBody"/>
        <w:bidi w:val="0"/>
        <w:spacing w:lineRule="auto" w:line="268" w:before="200" w:after="160"/>
        <w:jc w:val="both"/>
        <w:rPr>
          <w:rFonts w:ascii="Times New Roman;serif" w:hAnsi="Times New Roman;serif"/>
          <w:b/>
          <w:i/>
          <w:color w:val="000000"/>
          <w:sz w:val="22"/>
        </w:rPr>
      </w:pPr>
      <w:r>
        <w:rPr>
          <w:rFonts w:ascii="Times New Roman;serif" w:hAnsi="Times New Roman;serif"/>
          <w:b/>
          <w:i/>
          <w:color w:val="000000"/>
          <w:sz w:val="22"/>
        </w:rPr>
        <w:t>Expenses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expense categories that are regularly reviewed by the CODM are presented in the Company's Condensed Consolidated Statements of Operations. Items regularly reviewed consist of non-compensation expenses, such as professional fees, sales, distribution and marketing, travel and entertainment, systems, technology and telephone, occupancy costs and general, administrative, and other.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(19)     Earnings Per Share</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table below presents the Company’s treatment for basic and diluted earnings (loss) per share for instruments outstanding of the Company. Potentially dilutive instruments are only considered in the calculation to the extent they would be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3"/>
        <w:gridCol w:w="557"/>
        <w:gridCol w:w="488"/>
        <w:gridCol w:w="109"/>
        <w:gridCol w:w="109"/>
        <w:gridCol w:w="109"/>
        <w:gridCol w:w="366"/>
        <w:gridCol w:w="366"/>
        <w:gridCol w:w="378"/>
        <w:gridCol w:w="119"/>
        <w:gridCol w:w="119"/>
        <w:gridCol w:w="119"/>
        <w:gridCol w:w="728"/>
        <w:gridCol w:w="728"/>
        <w:gridCol w:w="742"/>
        <w:gridCol w:w="112"/>
        <w:gridCol w:w="112"/>
        <w:gridCol w:w="112"/>
        <w:gridCol w:w="366"/>
        <w:gridCol w:w="366"/>
        <w:gridCol w:w="378"/>
        <w:gridCol w:w="118"/>
        <w:gridCol w:w="118"/>
        <w:gridCol w:w="118"/>
        <w:gridCol w:w="653"/>
        <w:gridCol w:w="653"/>
        <w:gridCol w:w="949"/>
      </w:tblGrid>
      <w:tr>
        <w:trPr/>
        <w:tc>
          <w:tcPr>
            <w:tcW w:w="111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Diluted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Diluted</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Class B Common Stock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Series A Preferred Stock</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Series C Preferred Stock</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Allianz Tranche Right</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Allianz Warrants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Constellation Warrants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Earn-Out Shares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PW Deferred Consideration Shares</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Acquisition-Related Awards</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Unvested RSUs</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Unvested PRSUs</w:t>
            </w:r>
            <w:r>
              <w:rPr>
                <w:color w:val="000000"/>
              </w:rPr>
              <w:t xml:space="preserve">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bl>
    <w:p>
      <w:pPr>
        <w:pStyle w:val="TextBody"/>
        <w:bidi w:val="0"/>
        <w:spacing w:lineRule="auto" w:line="268" w:before="24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The if-converted method for instruments related to the Company’s Business Combination and Envoi earn-out liability includes adding back to the numerator any related income or loss allocations to noncontrolling interest, as well as any incremental tax expense had the instruments converted into shares of Class A Common Stock as of the beginning of the period. During the three months ended March 31, 2026 and 2025, Class B shares totaling 3,314,794</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18"/>
        </w:rPr>
        <w:t xml:space="preserve">1,028,652, respectively, were converted into Class A Common Stock. </w:t>
      </w:r>
    </w:p>
    <w:p>
      <w:pPr>
        <w:pStyle w:val="TextBody"/>
        <w:bidi w:val="0"/>
        <w:spacing w:lineRule="auto" w:line="268" w:before="120" w:after="283"/>
        <w:jc w:val="both"/>
        <w:rPr/>
      </w:pPr>
      <w:r>
        <w:rPr>
          <w:rFonts w:ascii="Times New Roman;serif" w:hAnsi="Times New Roman;serif"/>
          <w:b/>
          <w:color w:val="000000"/>
          <w:sz w:val="12"/>
        </w:rPr>
        <w:t>(2)</w:t>
      </w:r>
      <w:r>
        <w:rPr>
          <w:color w:val="000000"/>
        </w:rPr>
        <w:t xml:space="preserve"> </w:t>
      </w:r>
      <w:r>
        <w:rPr>
          <w:rFonts w:ascii="Times New Roman;serif" w:hAnsi="Times New Roman;serif"/>
          <w:b w:val="false"/>
          <w:color w:val="000000"/>
          <w:sz w:val="18"/>
        </w:rPr>
        <w:t xml:space="preserve">The Company issued shares of Series A and C Preferred Stock in addition to warrants for shares of Class A Common Stock. Both Series A and C Preferred Stock are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upon their respective rights to receive dividends as if all income for the period had been distributed. Basic earnings per share is calculated using the proportion of net income available to be distributed to the common shareholders. Dilutive earnings per share is calculated using the more dilutive of the two-class method or the if-converted method. For the three months ended March 31, 2026 and 2025, the shares of Series A and C Preferred Stock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The Allianz Tranche Right grants Allianz the right, but not the obligation, to purchase up to 50,000 additional shares of Series A Preferred Stock at an aggregate purchase price of up to $50 million. Any additional shares of Series A Preferred Stock issued to Allianz will abide under the same conditions and terms as under the Investment. The Allianz Tranche Right is classified as a contingently convertible instrument and will be included in the calculation of diluted earnings per share if the right has been exercised within the reporting period. As of the current quarter ended March 31, 2026, an additional 18,471 shares under the Allianz Tranche Right were issued; however, these shares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 xml:space="preserve">As mentioned in footnotes 2 above, the Company issued shares of Series A and C Preferred Stock in addition to warrants for Class A Shares to Allianz and Constellation. The warrants do not participate in dividends declared on common stock and are excluded from the calculation of basic earnings per share. Since the warrants are classified as a component of equity and can be exercised in exchange for Class A Shares, the treasury stock method is used to calculate diluted earnings per share. For the three months ended March 31, 2026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2025, the warrants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(5) </w:t>
      </w:r>
      <w:r>
        <w:rPr>
          <w:rFonts w:ascii="Times New Roman;serif" w:hAnsi="Times New Roman;serif"/>
          <w:b w:val="false"/>
          <w:color w:val="000000"/>
          <w:sz w:val="18"/>
        </w:rPr>
        <w:t xml:space="preserve">Earn-Out Shares are the portion of estimated contingent consideration related to the Business Combination, EEA earn-out liability, and Envoi growth-consideration liability that could be paid out in Class A Common Stock. Earn-Out shares are excluded from the calculation of basic earnings per share if the contingency has not been resolved as of the current reporting period.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treasury stock method is applied for calculating diluted earnings per share since our Earn-Outs are classified as liabilities and remeasured at fair value each period and includes reversing the income statement effect of the fair value remeasurement for the period. For the three months ended March 31, 2026, all Earn-Out shares were excluded from the calculation of diluted earnings per share as their effects were determined to be anti-dilutive. For the three months ended March 31, 2025, the Earn-Out shares related to EEA and Envoi were included in dilutive earnings per share, while those related to the Business Combination were excluded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(6) </w:t>
      </w:r>
      <w:r>
        <w:rPr>
          <w:rFonts w:ascii="Times New Roman;serif" w:hAnsi="Times New Roman;serif"/>
          <w:b w:val="false"/>
          <w:color w:val="000000"/>
          <w:sz w:val="18"/>
        </w:rPr>
        <w:t xml:space="preserve">PW Deferred Consideration Shares relate to the portion of deferred consideration payable in Class A Common Stock upon meeting certain revenue thresholds related to our PW acquisition. During the quarter ended March 31, 2025, the PW Deferred Consideration Shares were issued to the sellers and are included in the Company’s basic earnings per share. As of March 31, 2025, there were no further contingent shares outstanding related to the PW Deferred Consideration Shares. Refer to Note 4 (Business Combinations) for further details. </w:t>
      </w:r>
    </w:p>
    <w:p>
      <w:pPr>
        <w:pStyle w:val="TextBody"/>
        <w:bidi w:val="0"/>
        <w:spacing w:lineRule="auto" w:line="268" w:before="120" w:after="283"/>
        <w:jc w:val="both"/>
        <w:rPr/>
      </w:pPr>
      <w:r>
        <w:rPr>
          <w:rFonts w:ascii="Times New Roman;serif" w:hAnsi="Times New Roman;serif"/>
          <w:b w:val="false"/>
          <w:color w:val="000000"/>
          <w:sz w:val="12"/>
        </w:rPr>
        <w:t>(7)</w:t>
      </w:r>
      <w:r>
        <w:rPr>
          <w:color w:val="000000"/>
        </w:rPr>
        <w:t xml:space="preserve"> </w:t>
      </w:r>
      <w:r>
        <w:rPr>
          <w:rFonts w:ascii="Times New Roman;serif" w:hAnsi="Times New Roman;serif"/>
          <w:b w:val="false"/>
          <w:color w:val="000000"/>
          <w:sz w:val="18"/>
        </w:rPr>
        <w:t xml:space="preserve">Acquisition-Related Awards include EEA Equity Awards, Envoi Equity Awards, Singapore Equity Awards and Kontora Earn-Ins. Certain compensatory awards related to the PW acquisition (the “PW Equity Awards”) were reclassified to be paid out fully in cash rather than equity during the quarter ended March 31, 2025. As such, the PW Equity Awards were excluded from the Company’s earnings per share calculations.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Service periods related to the Acquisition-Related Awards had not been completed as of the three months ended March 31, 2026 and therefore such shares were excluded from the calculation of basic earnings per share.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For diluted earnings per share, a contingency that is based on solely on service vesting (i.e., the passage of time) is considered resolved in the current reporting, and the shares are included in the calculation of diluted earnings per share in the current reporting period. The Envoi Equity Awards represent a defined percentage of Envoi growth-consideration Earn-Out Shares allocated to certain employees and are therefore initially contingent on the achievement of the Earn-out Share conditions.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For the three months ended March 31, 2026, the Acquisition-Related Awards, excluding Envoi Equity Awards, are included in the diluted earnings. For the three months ended March 31, 2025, the Acquisition-Related Awards were excluded because their effects were determined to be anti-dilutive. These awards included the PW Equity Awards and Holbein Earn-Ins through the quarters ended March 31, 2025 and June 30, 2025, respectively. Refer to Note 6 (Equity-Based Compensation) for additional details for the Acquisition-Related Awards.</w:t>
      </w:r>
    </w:p>
    <w:p>
      <w:pPr>
        <w:pStyle w:val="TextBody"/>
        <w:bidi w:val="0"/>
        <w:spacing w:lineRule="auto" w:line="268" w:before="120" w:after="283"/>
        <w:jc w:val="both"/>
        <w:rPr/>
      </w:pPr>
      <w:r>
        <w:rPr>
          <w:rFonts w:ascii="Times New Roman;serif" w:hAnsi="Times New Roman;serif"/>
          <w:b w:val="false"/>
          <w:color w:val="000000"/>
          <w:sz w:val="12"/>
        </w:rPr>
        <w:t>(8)</w:t>
      </w:r>
      <w:r>
        <w:rPr>
          <w:color w:val="000000"/>
        </w:rPr>
        <w:t xml:space="preserve"> </w:t>
      </w:r>
      <w:r>
        <w:rPr>
          <w:rFonts w:ascii="Times New Roman;serif" w:hAnsi="Times New Roman;serif"/>
          <w:b w:val="false"/>
          <w:color w:val="000000"/>
          <w:sz w:val="18"/>
        </w:rPr>
        <w:t xml:space="preserve">RSUs vest over the required service period, and PRSUs vest based on both a market condition and a required service period. As such, unvested RSUs and PRSUs are excluded from the calculation of basic earnings per share.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The treasury stock method is applied for calculating the dilutive effects of share-based payment awards. For the three months ended March 31, 2026 and March 31, 2025, unvested RSUs and PRSUs were excluded from the Company’s diluted earnings per share calculation as the effects were determined to be anti-dilutive. See Note 6 (Equity-Based Compensation) for additional details.</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Basic earnings per share is computed by dividing net income (loss) available to common shareholders by the weighted average number of shares of Class A Common Stock outstanding during the period. Diluted earnings per common share excludes potentially dilutive instruments which were outstanding during the period but were anti-dilutive. The following table shows the computation of basic and diluted earnings per share based on income attributable to common shareholders:</w:t>
      </w:r>
    </w:p>
    <w:tbl>
      <w:tblPr>
        <w:tblW w:w="10205" w:type="dxa"/>
        <w:jc w:val="left"/>
        <w:tblInd w:w="0" w:type="dxa"/>
        <w:tblLayout w:type="fixed"/>
        <w:tblCellMar>
          <w:top w:w="28" w:type="dxa"/>
          <w:left w:w="28" w:type="dxa"/>
          <w:bottom w:w="28" w:type="dxa"/>
          <w:right w:w="28" w:type="dxa"/>
        </w:tblCellMar>
      </w:tblPr>
      <w:tblGrid>
        <w:gridCol w:w="2519"/>
        <w:gridCol w:w="2015"/>
        <w:gridCol w:w="2030"/>
        <w:gridCol w:w="324"/>
        <w:gridCol w:w="926"/>
        <w:gridCol w:w="152"/>
        <w:gridCol w:w="117"/>
        <w:gridCol w:w="117"/>
        <w:gridCol w:w="117"/>
        <w:gridCol w:w="300"/>
        <w:gridCol w:w="959"/>
        <w:gridCol w:w="142"/>
        <w:gridCol w:w="109"/>
        <w:gridCol w:w="109"/>
        <w:gridCol w:w="109"/>
        <w:gridCol w:w="160"/>
      </w:tblGrid>
      <w:tr>
        <w:trPr/>
        <w:tc>
          <w:tcPr>
            <w:tcW w:w="251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Numerator:</w:t>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 in subsidiaries from continuing operations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AlTi Global Inc</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earnings allocated to participating securities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available to Class A shareholders - basic</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Dilutive effect of Class B Common Stock</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Dilutive effect of Earn-Out Shares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available to Class A shareholders - diluted</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Denominator:</w:t>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basic</w:t>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105,021,861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94,883,803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Dilutive effect of Class B Common Stock</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49,069,963 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Dilutive effect of Earn-Out Shares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3,210,302 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Dilutive effect of Stock Awards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3,778,975 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Dilutive effect of Acquisition-Related Awards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2,077,533 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diluted</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110,878,369 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147,164,068 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per Class A Common Stock - basic</w:t>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per Class A Common Stock - diluted</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securities that were anti-dilutive for the periods presented. As a result, these securities were excluded from the computation of diluted earnings per share for the periods presented: </w:t>
      </w:r>
    </w:p>
    <w:tbl>
      <w:tblPr>
        <w:tblW w:w="7729" w:type="dxa"/>
        <w:jc w:val="left"/>
        <w:tblInd w:w="0" w:type="dxa"/>
        <w:tblLayout w:type="fixed"/>
        <w:tblCellMar>
          <w:top w:w="28" w:type="dxa"/>
          <w:left w:w="28" w:type="dxa"/>
          <w:bottom w:w="28" w:type="dxa"/>
          <w:right w:w="28" w:type="dxa"/>
        </w:tblCellMar>
      </w:tblPr>
      <w:tblGrid>
        <w:gridCol w:w="1275"/>
        <w:gridCol w:w="1121"/>
        <w:gridCol w:w="1129"/>
        <w:gridCol w:w="480"/>
        <w:gridCol w:w="480"/>
        <w:gridCol w:w="480"/>
        <w:gridCol w:w="281"/>
        <w:gridCol w:w="281"/>
        <w:gridCol w:w="281"/>
        <w:gridCol w:w="480"/>
        <w:gridCol w:w="480"/>
        <w:gridCol w:w="480"/>
        <w:gridCol w:w="109"/>
        <w:gridCol w:w="109"/>
        <w:gridCol w:w="109"/>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and Class B Units</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46,256,309</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Allianz and Constellation Warrants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7,000,000</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40,483,820</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35,556,939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15,359,014</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10,825,746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Awards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264,380</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2,418,340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3,624,166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(20)     Commitments and Contingencies</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Tax Receivable Agreement</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As of March 31, 2026 and December 31, 2025, the liability associated with the TRA was approximately $30.6 million and $25.7 million, respectively. Payments under the TRA that are on account of liabilities arising in connection with the Business Combination will be revalued at the end of each reporting period with the gain or loss recognized in earnings. As of March 31, 2026 and December 31, 2025, the Company carried $8.6 million and $8.8 million, respectively, of its TRA liability at fair value, as it is contingent consideration from the Business Combination. The remaining portion of the TRA liability is carried at a value equal to the expected future payments under the TRA.</w:t>
      </w:r>
    </w:p>
    <w:p>
      <w:pPr>
        <w:pStyle w:val="TextBody"/>
        <w:bidi w:val="0"/>
        <w:spacing w:lineRule="auto" w:line="288" w:before="0" w:after="160"/>
        <w:jc w:val="both"/>
        <w:rPr/>
      </w:pPr>
      <w:r>
        <w:rPr>
          <w:rFonts w:ascii="Times New Roman;serif" w:hAnsi="Times New Roman;serif"/>
          <w:b w:val="false"/>
          <w:color w:val="000000"/>
          <w:sz w:val="22"/>
        </w:rPr>
        <w:t xml:space="preserve">In connection with the TRA, certain parties to the Business Combination who received Class B Units in Umbrella have the ability to exchange Class B Units in Umbrella (along with their paired shares of Class B Common Stock)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serif" w:hAnsi="Times New Roman;serif"/>
          <w:b w:val="false"/>
          <w:i/>
          <w:color w:val="000000"/>
          <w:sz w:val="22"/>
        </w:rPr>
        <w:t>Contingencies</w:t>
      </w:r>
      <w:r>
        <w:rPr>
          <w:rFonts w:ascii="Times New Roman;serif" w:hAnsi="Times New Roman;serif"/>
          <w:b w:val="false"/>
          <w:color w:val="000000"/>
          <w:sz w:val="22"/>
        </w:rPr>
        <w:t xml:space="preserve">. </w:t>
      </w:r>
    </w:p>
    <w:p>
      <w:pPr>
        <w:pStyle w:val="TextBody"/>
        <w:bidi w:val="0"/>
        <w:spacing w:lineRule="auto" w:line="288" w:before="0" w:after="160"/>
        <w:jc w:val="both"/>
        <w:rPr/>
      </w:pPr>
      <w:r>
        <w:rPr>
          <w:rFonts w:ascii="Times New Roman;serif" w:hAnsi="Times New Roman;serif"/>
          <w:b w:val="false"/>
          <w:color w:val="000000"/>
          <w:sz w:val="22"/>
        </w:rPr>
        <w:t xml:space="preserve">As of March 31, 2026, </w:t>
      </w:r>
      <w:r>
        <w:rPr>
          <w:rFonts w:ascii="Times New Roman;serif" w:hAnsi="Times New Roman;serif"/>
          <w:b w:val="false"/>
          <w:color w:val="000000"/>
          <w:sz w:val="22"/>
          <w:shd w:fill="FFFFFF" w:val="clear"/>
        </w:rPr>
        <w:t>ho</w:t>
      </w:r>
      <w:r>
        <w:rPr>
          <w:rFonts w:ascii="Times New Roman;serif" w:hAnsi="Times New Roman;serif"/>
          <w:b w:val="false"/>
          <w:color w:val="000000"/>
          <w:sz w:val="22"/>
        </w:rPr>
        <w:t>lders of Class B Units have exchanged a total of 14,159,194 Class B Paired Interests with the Company, for shares of Class A Common Stock on a 1:1 basis totaling an amount equal to the weighted average price of $5.21 multiplied by the total number of shares of Class A Common Stock received at the time of the transactions.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As of March 31, 2026, assuming no material changes in the relevant tax laws and that the Company generates sufficient taxable income to realize the full tax benefit of the increased amortization resulting from the increase in tax basis of certain of AlTi’s assets, we expect to pay approximately $30.6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pStyle w:val="TextBody"/>
        <w:bidi w:val="0"/>
        <w:spacing w:lineRule="auto" w:line="256" w:before="200" w:after="283"/>
        <w:jc w:val="both"/>
        <w:rPr>
          <w:rFonts w:ascii="Times New Roman;serif" w:hAnsi="Times New Roman;serif"/>
          <w:b/>
          <w:i/>
          <w:color w:val="000000"/>
          <w:sz w:val="22"/>
        </w:rPr>
      </w:pPr>
      <w:r>
        <w:rPr>
          <w:rFonts w:ascii="Times New Roman;serif" w:hAnsi="Times New Roman;serif"/>
          <w:b/>
          <w:i/>
          <w:color w:val="000000"/>
          <w:sz w:val="22"/>
        </w:rPr>
        <w:t xml:space="preserve">Business Combination Earn-out Liability </w:t>
      </w:r>
    </w:p>
    <w:p>
      <w:pPr>
        <w:pStyle w:val="TextBody"/>
        <w:bidi w:val="0"/>
        <w:spacing w:lineRule="auto" w:line="288" w:before="16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16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earn-out shares are precluded from being considered indexed to the Company’s own stock and are recognized as a liability at fair value with changes in fair value recognized in earnings.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Business Combination Earn-out Securities, comprised of 3.3 million Class A Shares, 7.1 million shares of Class B Common Stock, and 7.1 million Class B Units (one Class B share and one Class B Unit comprising a Paired Interest), are payable to the Sponsor and the selling shareholders of TWMH, TIG, and Alvarium upon the achievement of certain vesting conditions in accordance with the terms of the Business Combination Agreement. Upon the Company’s Class A Share price meeting a volume-weighted average price threshold of $12.50 for 20 out of 30 trading days within five years of the Closing, fifty percent of the Business Combination Earn-out Securities will vest and be issued in settlement of the Business Combination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Business Combination Earn-out Securities will vest and be issued. If, within five years of the Closing, a change of control event occurs (as defined in the Business Combination Agreement), any Business Combination Earn-out Securities not previously issued will be deemed to have vested and will be issued (or, in the case of the Sponsor, which shares have already been issued, will no longer be subject to forfeiture). As of March 31, 2026 and December 31, 2025, the fair value of the earn-out shares was $5.1 million and $15.3 million, respectively, is reported in Earn-out liabilities, at fair value, in the Consolidated Statements of Financial Position. </w:t>
      </w:r>
    </w:p>
    <w:p>
      <w:pPr>
        <w:pStyle w:val="TextBody"/>
        <w:bidi w:val="0"/>
        <w:spacing w:lineRule="auto" w:line="288" w:before="200" w:after="160"/>
        <w:jc w:val="both"/>
        <w:rPr>
          <w:rFonts w:ascii="Times New Roman;serif" w:hAnsi="Times New Roman;serif"/>
          <w:b/>
          <w:i/>
          <w:color w:val="000000"/>
          <w:sz w:val="22"/>
        </w:rPr>
      </w:pPr>
      <w:r>
        <w:rPr>
          <w:rFonts w:ascii="Times New Roman;serif" w:hAnsi="Times New Roman;serif"/>
          <w:b/>
          <w:i/>
          <w:color w:val="000000"/>
          <w:sz w:val="22"/>
        </w:rPr>
        <w:t>EEA Earn-out Liability</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April 1, 2024, the Company acquired all of the issued and outstanding ownership and membership interests of EEA. The EEA Acquisition was accounted for using the acquisition method of accounting and the fair value of the total purchase consideration transferred was $93.1 million. The total purchase consideration transferred includes estimated contingent consideration of $23.3 million, for which the Company may be required to make additional cash payments contingent on the future EBITDA performance targets between the closing date and the fifth anniversary of the closing date. As of March 31, 2026 and December 31, 2025, the EEA earn-out liability of $26.3 million and $25.3 million, respectively, is reported in Earn-out liabilities, at fair value, in the Condensed Consolidated Statements of Financial Position. </w:t>
      </w:r>
    </w:p>
    <w:p>
      <w:pPr>
        <w:pStyle w:val="TextBody"/>
        <w:bidi w:val="0"/>
        <w:spacing w:lineRule="auto" w:line="288" w:before="200" w:after="160"/>
        <w:jc w:val="left"/>
        <w:rPr>
          <w:rFonts w:ascii="Times New Roman;serif" w:hAnsi="Times New Roman;serif"/>
          <w:b/>
          <w:i/>
          <w:color w:val="000000"/>
          <w:sz w:val="22"/>
        </w:rPr>
      </w:pPr>
      <w:r>
        <w:rPr>
          <w:rFonts w:ascii="Times New Roman;serif" w:hAnsi="Times New Roman;serif"/>
          <w:b/>
          <w:i/>
          <w:color w:val="000000"/>
          <w:sz w:val="22"/>
        </w:rPr>
        <w:t>Pointwise Deferred Consideration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paid during the three months ended March 31, 2025, in cash and equity totaling $3.4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Envoi Earn-out Liability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as of the acquisition date, which is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March 31, 2026 and December 31, 2025, the Envoi earn-out consideration liability of $7.8 million and $8.2 million, respectively, and the Envoi earn-out growth consideration liability of $1.5 million and $1.6 million, respectively, are reported in the Earn-out liabilities, at fair value, in the Condensed Consolidated Statements of Financial Position.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Kontora Earn-out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April 30, 2025, the Company acquired all of the issued and outstanding ownership interests of Kontora. 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which is payable in cash and tied to certain revenue streams acquired in the Kontora Acquisition. Amounts will become payable annually between the closing date and December 31, 2035. The Kontora earn-out liability of $7.0 million and $7.0 million, as of March 31, 2026 and December 31, 2025, respectively, is reported in the Earn-out liabilities, at fair value, in the Condensed Consolidated Statements of Financial Position.</w:t>
      </w:r>
    </w:p>
    <w:p>
      <w:pPr>
        <w:pStyle w:val="TextBody"/>
        <w:bidi w:val="0"/>
        <w:spacing w:lineRule="auto" w:line="288" w:before="200" w:after="160"/>
        <w:jc w:val="left"/>
        <w:rPr>
          <w:rFonts w:ascii="Times New Roman;serif" w:hAnsi="Times New Roman;serif"/>
          <w:b/>
          <w:i/>
          <w:color w:val="000000"/>
          <w:sz w:val="22"/>
        </w:rPr>
      </w:pPr>
      <w:r>
        <w:rPr>
          <w:rFonts w:ascii="Times New Roman;serif" w:hAnsi="Times New Roman;serif"/>
          <w:b/>
          <w:i/>
          <w:color w:val="000000"/>
          <w:sz w:val="22"/>
        </w:rPr>
        <w:t>Letter of Credit</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December 19, 2024, the Company entered into a letter of credit (the “Facility Agreement”) with BMO Harris Bank N.A. for the purpose of issuing instruments under this Facility Agreement through December 19, 2025 (the “Termination Date”). The Company will deposit a cash collateral equal to 102% of the amount of each instrument issued. The aggregate outstanding face amount of all issued instruments shall not exceed $5.0 million and shall have an expiry date of no later than one year from the Termination Date. Upon an issuance, the Company will pay a commitment fee equal to (i) the actual daily amount of the unused commitment, multiplied by (ii) 0.3% (the “Commitment Fee”). The Commitment Fee shall be calculated on the basis of a year of 365 days and shall be payable quarterly in arrears on the last day of each fiscal quarter. As of both March 31, 2026 and December 31, 2025, the Company has existing letters of credit in the amount of $2.6 million and $3.4 million, respectively, under the Facility Agreement. </w:t>
      </w:r>
    </w:p>
    <w:p>
      <w:pPr>
        <w:pStyle w:val="TextBody"/>
        <w:bidi w:val="0"/>
        <w:spacing w:lineRule="auto" w:line="288" w:before="200" w:after="160"/>
        <w:jc w:val="left"/>
        <w:rPr>
          <w:rFonts w:ascii="Times New Roman;serif" w:hAnsi="Times New Roman;serif"/>
          <w:b/>
          <w:i/>
          <w:color w:val="000000"/>
          <w:sz w:val="22"/>
        </w:rPr>
      </w:pPr>
      <w:r>
        <w:rPr>
          <w:rFonts w:ascii="Times New Roman;serif" w:hAnsi="Times New Roman;serif"/>
          <w:b/>
          <w:i/>
          <w:color w:val="000000"/>
          <w:sz w:val="22"/>
        </w:rPr>
        <w:t>Litigation</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 named as a defendant in legal or regulatory actions. Although there can be no assurance of the outcome of such matters, management’s current assessment is that no loss contingency reserve is required to be recorded as of March 31, 2026 for any potential liability related to any current legal or regulatory proceeding or claim that would individually or in the aggregate materially affect our results of operations, financial position, or cash flows.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July 11, 2025, after conducting the previously announced strategic review of the International Real Estate Businesses, the Company approved the appointment of the Administrators for the International Real Estate Businesses. Potential litigation related to that business, including Home REIT and HLIF below, will be dealt with as appropriate by the Administrators.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Home REIT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Home REIT is a real estate investment trust company listed on the London Stock Exchange. AFM UK, a wholly owned subsidiary of the Company, is one of the International Real Estate entities which entered into administration, and was Home REIT’s alternative investment fund manager (“AIFM”) until August 21, 2023 and AHRA was its investment adviser until June 30, 2023. Services are no longer provided by any AlTi companies or any legacy Alvarium companies to Home REIT. AHRA was owned by ARE (another wholly owned subsidiary of the Company, and one of the International Real Estate entities which entered into administration) up until December 30, 2022, when it was sold. AlTi was formed on January 3, 2023, through the Business Combination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 </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6, 2023, pre-action steps were commenced by a law firm acting on behalf of a group of current and former shareholders in Home REIT (in the UK, pre-action correspondence is required under the Practice Direction on Pre-Action Protocols and Conduct contained in the United Kingdom’s Ministry of Justice Civil Procedure Rules prior to a claimant commencing litigation). In the pre-action correspondence, the claimant group alleges that there were misstatements in Home REIT’s offering documents and certain other public filings between 2020 and 2022 and asserts potential claims against AFM UK and ARE (as well as against Home REIT itself and its directors, among others) in connection with such matters and the historic management and advisory services provided to Home REIT by certain legacy Alvarium companies. </w:t>
      </w:r>
    </w:p>
    <w:p>
      <w:pPr>
        <w:pStyle w:val="TextBody"/>
        <w:bidi w:val="0"/>
        <w:spacing w:lineRule="auto" w:line="288" w:before="0" w:after="160"/>
        <w:jc w:val="both"/>
        <w:rPr/>
      </w:pPr>
      <w:r>
        <w:rPr>
          <w:rFonts w:ascii="Times New Roman;serif" w:hAnsi="Times New Roman;serif"/>
          <w:b w:val="false"/>
          <w:color w:val="000000"/>
          <w:sz w:val="22"/>
        </w:rPr>
        <w:t>On April 12, 2024, pre-action steps were commenced by Home REIT and its directors against AFM UK and ARE. This relates to the historic management of Home REIT by certain legacy Alvarium companies. In the pre-action correspondence, Home REIT and its directors assert potential claims against AFM</w:t>
      </w:r>
      <w:r>
        <w:rPr>
          <w:color w:val="000000"/>
        </w:rPr>
        <w:t xml:space="preserve"> </w:t>
      </w:r>
      <w:r>
        <w:rPr>
          <w:rFonts w:ascii="Times New Roman;serif" w:hAnsi="Times New Roman;serif"/>
          <w:b w:val="false"/>
          <w:color w:val="000000"/>
          <w:sz w:val="22"/>
        </w:rPr>
        <w:t xml:space="preserve">UK and ARE and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acts or omissions of AHRA under the UK’s appointed representative regime.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developments in the potential litigation relating to Home REIT since the appointment of administrators on July 11,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76" w:before="0" w:after="160"/>
        <w:jc w:val="both"/>
        <w:rPr>
          <w:rFonts w:ascii="Times New Roman;serif" w:hAnsi="Times New Roman;serif"/>
          <w:b w:val="false"/>
          <w:i/>
          <w:color w:val="000000"/>
          <w:sz w:val="22"/>
        </w:rPr>
      </w:pPr>
      <w:r>
        <w:rPr>
          <w:rFonts w:ascii="Times New Roman;serif" w:hAnsi="Times New Roman;serif"/>
          <w:b w:val="false"/>
          <w:i/>
          <w:color w:val="000000"/>
          <w:sz w:val="22"/>
        </w:rPr>
        <w:t>HLIF</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HLIF is a private fund which pursues a similar investment strategy to Home REIT.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was managed by AFM UK as its AIFM and ‘authorized corporate director’ and was advised by SHIA, (one of the International Real Estate entities which entered into administration), until August 2025, when management of HLIF was transitioned to a third party manager and AFM UK’s and SHIA’s services were terminated. Like AHRA, SHIA was permitted to perform certain limited regulated activities as an “appointed representative” of its regulated principal firm, ARE.</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In February 2024, the UK FCA commenced investigations into the historic performance of certain International Real Estate entities, in their services to Home REIT and/or HLIF, and whether they breached certain civil or criminal regulatory rules and/or principles. The investigations relate to the historic management of Home REIT and/or HLIF by certain legacy Alvarium companies. The investigations are focused primarily on whether any false or misleading statements were made in relation to Home REIT and/or HLIF and/or whether these group entities breached other FCA rules and/or principles. ARE and AFM UK have voluntarily requested the imposition of requirements by the UK FCA which primarily involves the companies agreeing to maintain their current assets and not undertaking any new business without UK FCA consent.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We are not able to estimate how long it might take for the UK FCA to complete such investigations, but it is possible that the investigations may continue for a prolonged period, potentially over several years.</w:t>
      </w:r>
    </w:p>
    <w:p>
      <w:pPr>
        <w:pStyle w:val="TextBody"/>
        <w:bidi w:val="0"/>
        <w:spacing w:lineRule="auto" w:line="268" w:before="0" w:after="160"/>
        <w:jc w:val="both"/>
        <w:rPr>
          <w:rFonts w:ascii="Times New Roman;serif" w:hAnsi="Times New Roman;serif"/>
          <w:b w:val="false"/>
          <w:i/>
          <w:color w:val="000000"/>
          <w:sz w:val="22"/>
        </w:rPr>
      </w:pPr>
      <w:r>
        <w:rPr>
          <w:rFonts w:ascii="Times New Roman;serif" w:hAnsi="Times New Roman;serif"/>
          <w:b w:val="false"/>
          <w:i/>
          <w:color w:val="000000"/>
          <w:sz w:val="22"/>
        </w:rPr>
        <w:t>Potential Redress in Relation to Real Estate Products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As part of ongoing examinations with regulators and our review of client relationships, it has been agreed, that if certain conditions are met, redress will be paid to a limited number of clients in relation to certain Real Estate Products. As of the issuance of these financial statements all impacted clients have been informed of this proposal.</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For the three months ended March 31, 2026, a provision of $3.6 million has been recognized in relation to this potential future liability. The ultimate loss could differ from the accrued amount. </w:t>
      </w:r>
    </w:p>
    <w:p>
      <w:pPr>
        <w:pStyle w:val="TextBody"/>
        <w:bidi w:val="0"/>
        <w:spacing w:lineRule="auto" w:line="276" w:before="0" w:after="160"/>
        <w:jc w:val="both"/>
        <w:rPr>
          <w:rFonts w:ascii="Times New Roman;serif" w:hAnsi="Times New Roman;serif"/>
          <w:b w:val="false"/>
          <w:i/>
          <w:color w:val="000000"/>
          <w:sz w:val="22"/>
        </w:rPr>
      </w:pPr>
      <w:r>
        <w:rPr>
          <w:rFonts w:ascii="Times New Roman;serif" w:hAnsi="Times New Roman;serif"/>
          <w:b w:val="false"/>
          <w:i/>
          <w:color w:val="000000"/>
          <w:sz w:val="22"/>
        </w:rPr>
        <w:t>Tolleson Wealth Management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was involved in a dispute with Tolleson related to alleged improper solicitation of Tolleson’s clients and employees. Certain former Tolleson employees who joined AlTi were party to Tolleson employment agreements which contained a one-year client and employee non-solicit and a lost client fee clause requiring payment for lost revenue.</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 September 2024, despite offers by the Company to pay for the departed clients, Tolleson filed a lawsuit against AlTi and the former Tolleson employees. The parties reached an agreement later in September 2024, dismissing the litigation and agreeing to mediation.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and Tolleson entered a binding settlement agreement on February 19, 2025, memorializing the terms agreed to in mediation and concluding this matter. On March 13, 2025, the settlement amount of $5.1 million was paid by the Company to Tolleson.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68" w:before="0" w:after="160"/>
        <w:jc w:val="left"/>
        <w:rPr>
          <w:rFonts w:ascii="Times New Roman;serif" w:hAnsi="Times New Roman;serif"/>
          <w:b w:val="false"/>
          <w:i/>
          <w:color w:val="000000"/>
          <w:sz w:val="22"/>
        </w:rPr>
      </w:pPr>
      <w:r>
        <w:rPr>
          <w:rFonts w:ascii="Times New Roman;serif" w:hAnsi="Times New Roman;serif"/>
          <w:b w:val="false"/>
          <w:i/>
          <w:color w:val="000000"/>
          <w:sz w:val="22"/>
        </w:rPr>
        <w:t xml:space="preserve">International Real Estate Businesses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In connection with the administration of the International Real Estate Businesses, the Company and the Administrators have negotiated a settlement of outstanding intercompany balances between certain of our affiliates and the International Real Estate Businesses. On March 19, 2026, the Company and certain of our affiliates on the one hand and the International Real Estate Businesses the Administrators on the other hand entered into a binding settlement and intercompany loan deed memorializing the terms of the settlement and concluding this matter. The settlement amount of £11.2 million ($15.0 million) will be paid in installments through November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both"/>
        <w:rPr>
          <w:rFonts w:ascii="Times New Roman;serif" w:hAnsi="Times New Roman;serif"/>
          <w:b/>
          <w:color w:val="000000"/>
          <w:sz w:val="22"/>
        </w:rPr>
      </w:pPr>
      <w:r>
        <w:rPr>
          <w:rFonts w:ascii="Times New Roman;serif" w:hAnsi="Times New Roman;serif"/>
          <w:b/>
          <w:color w:val="000000"/>
          <w:sz w:val="22"/>
        </w:rPr>
        <w:t>(21)    Equity</w:t>
      </w:r>
    </w:p>
    <w:p>
      <w:pPr>
        <w:pStyle w:val="TextBody"/>
        <w:bidi w:val="0"/>
        <w:spacing w:lineRule="auto" w:line="288" w:before="200" w:after="160"/>
        <w:jc w:val="both"/>
        <w:rPr>
          <w:rFonts w:ascii="Times New Roman;serif" w:hAnsi="Times New Roman;serif"/>
          <w:b/>
          <w:color w:val="000000"/>
          <w:sz w:val="22"/>
        </w:rPr>
      </w:pPr>
      <w:r>
        <w:rPr>
          <w:rFonts w:ascii="Times New Roman;serif" w:hAnsi="Times New Roman;serif"/>
          <w:b/>
          <w:color w:val="000000"/>
          <w:sz w:val="22"/>
        </w:rPr>
        <w:t>Class A Common Stock</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As of March 31, 2026 and December 31, 2025, there were 109,799,384 and 103,330,156, respectively, shares of Class A Common Stock outstanding. Of those shares, 754,968 are subject to performance targets under the terms of the Business Combination Earn-out as of both March 31, 2026 and December 31, 2025. The holders of the Class A Common Stock represent the controlling interest of the Company. </w:t>
      </w:r>
    </w:p>
    <w:p>
      <w:pPr>
        <w:pStyle w:val="TextBody"/>
        <w:bidi w:val="0"/>
        <w:spacing w:lineRule="auto" w:line="288" w:before="200" w:after="160"/>
        <w:jc w:val="both"/>
        <w:rPr>
          <w:rFonts w:ascii="Times New Roman;serif" w:hAnsi="Times New Roman;serif"/>
          <w:b/>
          <w:color w:val="000000"/>
          <w:sz w:val="22"/>
        </w:rPr>
      </w:pPr>
      <w:r>
        <w:rPr>
          <w:rFonts w:ascii="Times New Roman;serif" w:hAnsi="Times New Roman;serif"/>
          <w:b/>
          <w:color w:val="000000"/>
          <w:sz w:val="22"/>
        </w:rPr>
        <w:t>Class B Common Stock</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Upon the Closing of the Business Combination, the Company issued shares of Class B Common Stock to the holders of Class B Units. The Class B Common Stock has no economic rights but entitles each holder of at least one such share (regardless of the number of shares so held) to a number of votes that is equal to the aggregate number of Class B Units held by such holders on all matters on which shareholders of the Company are entitled to vote generally. As of March 31, 2026 and December 31, 2025, there were 40,873,767 and 44,188,561, respectively, shares of Class B Common Stock outstanding. </w:t>
      </w:r>
    </w:p>
    <w:p>
      <w:pPr>
        <w:pStyle w:val="TextBody"/>
        <w:bidi w:val="0"/>
        <w:spacing w:lineRule="auto" w:line="288" w:before="200" w:after="160"/>
        <w:jc w:val="left"/>
        <w:rPr>
          <w:rFonts w:ascii="Times New Roman;serif" w:hAnsi="Times New Roman;serif"/>
          <w:b/>
          <w:color w:val="000000"/>
          <w:sz w:val="22"/>
        </w:rPr>
      </w:pPr>
      <w:r>
        <w:rPr>
          <w:rFonts w:ascii="Times New Roman;serif" w:hAnsi="Times New Roman;serif"/>
          <w:b/>
          <w:color w:val="000000"/>
          <w:sz w:val="22"/>
        </w:rPr>
        <w:t>Treasury Stock</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From time to time, the Company may repurchase common shares related to its equity-based compensation award programs. During the first quarter ended March 31, 2026 the Company reissued, from Treasury Stock, 1,300,341 shares of Class A Common Stock which were repurchased and classified as Treasury Stock on the Condensed Consolidated Statements of Financial Position, in the amount of $5.7 million. Treasury Stock was recorded at cost, representing the market price on the repurchase date, and was accounted for as a reduction of Additional Paid-in Capital. </w:t>
      </w:r>
    </w:p>
    <w:p>
      <w:pPr>
        <w:pStyle w:val="TextBody"/>
        <w:bidi w:val="0"/>
        <w:spacing w:lineRule="auto" w:line="288" w:before="200" w:after="160"/>
        <w:jc w:val="both"/>
        <w:rPr>
          <w:rFonts w:ascii="Times New Roman;serif" w:hAnsi="Times New Roman;serif"/>
          <w:b/>
          <w:color w:val="000000"/>
          <w:sz w:val="22"/>
        </w:rPr>
      </w:pPr>
      <w:r>
        <w:rPr>
          <w:rFonts w:ascii="Times New Roman;serif" w:hAnsi="Times New Roman;serif"/>
          <w:b/>
          <w:color w:val="000000"/>
          <w:sz w:val="22"/>
        </w:rPr>
        <w:t>Series A Preferred Stock</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As part of the Allianz Transaction, the Company issued 140,000 shares of Series A Preferred Stock to Allianz, which is classified outside of permanent equity as mezzanine equity in the accompanying Condensed Consolidated Statements of Financial Position as they are not mandatorily redeemable as of March 31, 2026. As of March 31, 2026, the Series A Preferred Stock totals 168,934 shares, which is inclusive of dividends paid in kind. </w:t>
      </w:r>
    </w:p>
    <w:p>
      <w:pPr>
        <w:pStyle w:val="TextBody"/>
        <w:bidi w:val="0"/>
        <w:spacing w:lineRule="auto" w:line="288" w:before="200" w:after="160"/>
        <w:jc w:val="left"/>
        <w:rPr>
          <w:rFonts w:ascii="Times New Roman;serif" w:hAnsi="Times New Roman;serif"/>
          <w:b/>
          <w:color w:val="000000"/>
          <w:sz w:val="22"/>
        </w:rPr>
      </w:pPr>
      <w:r>
        <w:rPr>
          <w:rFonts w:ascii="Times New Roman;serif" w:hAnsi="Times New Roman;serif"/>
          <w:b/>
          <w:color w:val="000000"/>
          <w:sz w:val="22"/>
        </w:rPr>
        <w:t>Series C Preferred Stock</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Constellation Transaction, the Company issued 150,000 shares of Series C Preferred Stock to Constellation. The Series C Preferred Stock is classified outside of permanent equity as mezzanine equity in the accompanying Condensed Consolidated Statements of Financial Position as they are not mandatorily redeemable as of March 31, 2026.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00" w:after="160"/>
        <w:jc w:val="left"/>
        <w:rPr>
          <w:rFonts w:ascii="Times New Roman;serif" w:hAnsi="Times New Roman;serif"/>
          <w:b/>
          <w:color w:val="000000"/>
          <w:sz w:val="22"/>
        </w:rPr>
      </w:pPr>
      <w:r>
        <w:rPr>
          <w:rFonts w:ascii="Times New Roman;serif" w:hAnsi="Times New Roman;serif"/>
          <w:b/>
          <w:color w:val="000000"/>
          <w:sz w:val="22"/>
        </w:rPr>
        <w:t>Allianz and Constellation Warrants</w:t>
      </w:r>
    </w:p>
    <w:p>
      <w:pPr>
        <w:pStyle w:val="TextBody"/>
        <w:bidi w:val="0"/>
        <w:spacing w:lineRule="auto" w:line="288" w:before="0" w:after="160"/>
        <w:jc w:val="both"/>
        <w:rPr/>
      </w:pPr>
      <w:r>
        <w:rPr>
          <w:rFonts w:ascii="Times New Roman;serif" w:hAnsi="Times New Roman;serif"/>
          <w:b w:val="false"/>
          <w:color w:val="000000"/>
          <w:sz w:val="22"/>
        </w:rPr>
        <w:t xml:space="preserve">In connection with the Constellation and Allianz Transactions, the Company evaluated the Constellation and Allianz Warrants in accordance with ASC 815-40, </w:t>
      </w:r>
      <w:r>
        <w:rPr>
          <w:rFonts w:ascii="Times New Roman;serif" w:hAnsi="Times New Roman;serif"/>
          <w:b w:val="false"/>
          <w:i/>
          <w:color w:val="000000"/>
          <w:sz w:val="22"/>
        </w:rPr>
        <w:t>Contracts in an Entity’s Own Equity,</w:t>
      </w:r>
      <w:r>
        <w:rPr>
          <w:color w:val="000000"/>
        </w:rPr>
        <w:t xml:space="preserve"> </w:t>
      </w:r>
      <w:r>
        <w:rPr>
          <w:rFonts w:ascii="Times New Roman;serif" w:hAnsi="Times New Roman;serif"/>
          <w:b w:val="false"/>
          <w:color w:val="000000"/>
          <w:sz w:val="22"/>
        </w:rPr>
        <w:t xml:space="preserve">and concluded that the warrants are derivatives that meet the equity classification criteria. As of both March 31, 2026 and December 31, 2025, the Constellation and Allianz Warrants of $9.6 million are recorded as a component of equity net of issuance costs in the line item Additional paid-in capital on the Company’s Condensed Consolidated Statements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(22)     Subsequent Events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Management evaluated events and transactions through the date of issuance of these financial statements. Based on management’s evaluation there are no events subsequent to March 31, 2026 that require adjustment to or disclosure in the condensed consolidated financial statements, except as noted below.</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MANAGEMENT’S DISCUSSION AND ANALYSIS OF FINANCIAL CONDITION AND RESULTS OF OPERATIONS OF ALTI GLOBAL, INC.</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condensed consolidated unaudited financial statements and the related notes included in this Quarterly Report.</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Amounts and percentages presented throughout our discussion and analysis of the financial condition and results of operations may reflect rounded results in thousands (unless otherwise indicated) and consequently, totals may not appear to sum.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Our Business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AlTi is a global wealth and investment partner to families, foundations and institutions, helping clients activate capital with clarity, bring structure to complexity, and plan with purpose across borders and generations. AlTi combines the breadth of a global firm with the service offering of a family office to deliver solutions designed to meet the full complexity of wealth and capital. We manage or advise approximately $90.1 billion in combined assets as of March 31, 2026. We have approximately 490 professionals operating in 19 cities in 9 countries across three continents as of March 31, 2026. We provide holistic solutions for our UHNW and institutional clients through an array of services, including discretionary investment management services, non-discretionary investment advisory services, estate and wealth planning, trust and fiduciary, governance and education, philanthropy and purposeful giving, and family office services. We also provide our clients with access to alternative investment opportunities, including investments in strategies and asset classes to which they would otherwise likely not be able to gain exposure.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Separately, we have one internally managed fund and stakes in three Externally-Managed Funds in our alternatives platform, with a largely institutional client base.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Fee Structure</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generates a diverse array of revenue streams that fall broadly into four categories: (i) recurring management, advisory, trustee, or administration fees (“management fees”); (ii) performance or incentive fees; (iii) distributions from investments and (iv) other income or fees: </w:t>
      </w:r>
    </w:p>
    <w:p>
      <w:pPr>
        <w:pStyle w:val="TextBody"/>
        <w:bidi w:val="0"/>
        <w:spacing w:lineRule="auto" w:line="268" w:before="0" w:after="160"/>
        <w:ind w:left="0" w:right="0" w:hanging="360"/>
        <w:jc w:val="both"/>
        <w:rPr/>
      </w:pPr>
      <w:r>
        <w:rPr>
          <w:color w:val="000000"/>
        </w:rPr>
        <w:t>•</w:t>
      </w:r>
      <w:r>
        <w:rPr>
          <w:rFonts w:ascii="Times New Roman;serif" w:hAnsi="Times New Roman;serif"/>
          <w:b w:val="false"/>
          <w:i/>
          <w:color w:val="000000"/>
          <w:sz w:val="22"/>
        </w:rPr>
        <w:t>Management Fees</w:t>
      </w:r>
    </w:p>
    <w:p>
      <w:pPr>
        <w:pStyle w:val="TextBody"/>
        <w:bidi w:val="0"/>
        <w:spacing w:lineRule="auto" w:line="256"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advisory, trustee, and administration fees are the Company’s primary source of revenue, and are historically more predictable across market conditions than our other revenue sources. These fees are recurring in nature (usually being annual or quarterly fees) and are earned from investment management, investment advisory, trusts, and family office services. The recurring nature of these fees is underpinned by the client retention rate of wealth management services which means that these fees are also relatively stable. </w:t>
      </w:r>
    </w:p>
    <w:p>
      <w:pPr>
        <w:pStyle w:val="TextBody"/>
        <w:bidi w:val="0"/>
        <w:spacing w:lineRule="auto" w:line="256" w:before="0" w:after="160"/>
        <w:jc w:val="both"/>
        <w:rPr>
          <w:rFonts w:ascii="Times New Roman;serif" w:hAnsi="Times New Roman;serif"/>
          <w:b w:val="false"/>
          <w:color w:val="000000"/>
          <w:sz w:val="22"/>
        </w:rPr>
      </w:pPr>
      <w:r>
        <w:rPr>
          <w:rFonts w:ascii="Times New Roman;serif" w:hAnsi="Times New Roman;serif"/>
          <w:b w:val="false"/>
          <w:color w:val="000000"/>
          <w:sz w:val="22"/>
        </w:rPr>
        <w:t>These fees are generally calculated on the basis of a percentage of the value of each client’s assets (AUM or AUA) and are charged using either an average daily balance or ending balance, quarterly in arrears. Fees from internal fund management and advisory services related to our capital solutions platform are approximately 0.75% to 1.5% of the net asset value of the underlying investments.</w:t>
      </w:r>
    </w:p>
    <w:p>
      <w:pPr>
        <w:pStyle w:val="TextBody"/>
        <w:bidi w:val="0"/>
        <w:spacing w:lineRule="auto" w:line="256" w:before="0" w:after="160"/>
        <w:jc w:val="both"/>
        <w:rPr>
          <w:rFonts w:ascii="Times New Roman;serif" w:hAnsi="Times New Roman;serif"/>
          <w:b w:val="false"/>
          <w:color w:val="000000"/>
          <w:sz w:val="22"/>
        </w:rPr>
      </w:pPr>
      <w:r>
        <w:rPr>
          <w:rFonts w:ascii="Times New Roman;serif" w:hAnsi="Times New Roman;serif"/>
          <w:b w:val="false"/>
          <w:color w:val="000000"/>
          <w:sz w:val="22"/>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 agreements with certain clients under which we do not bill on certain securities or cash and cash equivalents held within their portfolios). AUM includes the value of all assets managed or supervised by operating partner subsidiaries, affiliates, and joint ventures in which the Company holds either a majority or minority stake.</w:t>
      </w:r>
    </w:p>
    <w:p>
      <w:pPr>
        <w:pStyle w:val="TextBody"/>
        <w:bidi w:val="0"/>
        <w:spacing w:lineRule="auto" w:line="256"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AUA consists of all assets we are responsible for overseeing and reporting on, but we do not necessarily charge fees on all such assets. Billable assets represent the portion of our assets on which we charge fees. Non-billable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160"/>
        <w:jc w:val="both"/>
        <w:rPr>
          <w:rFonts w:ascii="Times New Roman;serif" w:hAnsi="Times New Roman;serif"/>
          <w:b w:val="false"/>
          <w:color w:val="000000"/>
          <w:sz w:val="22"/>
        </w:rPr>
      </w:pPr>
      <w:r>
        <w:rPr>
          <w:rFonts w:ascii="Times New Roman;serif" w:hAnsi="Times New Roman;serif"/>
          <w:b w:val="false"/>
          <w:color w:val="000000"/>
          <w:sz w:val="22"/>
        </w:rPr>
        <w:t>assets are exempt from fees and consist of assets such as cash and cash equivalents in certain agreed upon situations, personally owned real estate, and other designated assets. Our calculations of AUM and AUA may differ from the calculation methodologies of other wealth managers and, as a result, this measure may not be comparable to similar measures presented by other wealth managers.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fees vary depending upon the level and complexity of client assets and the services being provided. The fee typically covers investment advisory services and basic estate and wealth planning services. The more complex estate and wealth planning services, as well as our Trustee service, and certain extended family office services, are typically billed separately, as a fixed or time-based amount.</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Incentive Fees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Incentive or performance fees are comprised primarily of annual performance or incentive fees which may be earned by providing investment management and advisory as well as fund management activities. It also includes carried interest payments we earn on co-investment. These fees, being performance related, are variable in nature and more susceptible to impact from exogenous factors. As a result, performance and incentive fees provide potential upside to our revenues in the future and, in our view, can be highly accretive to our profitability.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Our internally managed TIG Arbitrage fund is entitled to receive incentive fees from the assets it manages if certain performance returns have been achieved. These incentive fees range from 15% to 20% of net profits. In compliance with ASC 606, we recognize these fees only when it is probable that a significant revenue reversal will not occur. Our incentive fees are not subject to clawback provisions.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Wealth and institutional clients in certain jurisdictions may also pay performance or incentive fees if their portfolio achieves returns in excess of an agreed benchmark or hurdle rate. Typically, such fees are paid annually upon crystallization and are not accrued prior to being earned. </w:t>
      </w:r>
    </w:p>
    <w:p>
      <w:pPr>
        <w:pStyle w:val="TextBody"/>
        <w:bidi w:val="0"/>
        <w:spacing w:lineRule="auto" w:line="268" w:before="0" w:after="160"/>
        <w:jc w:val="both"/>
        <w:rPr>
          <w:rFonts w:ascii="Times New Roman;serif" w:hAnsi="Times New Roman;serif"/>
          <w:b w:val="false"/>
          <w:i/>
          <w:color w:val="000000"/>
          <w:sz w:val="22"/>
        </w:rPr>
      </w:pPr>
      <w:r>
        <w:rPr>
          <w:rFonts w:ascii="Times New Roman;serif" w:hAnsi="Times New Roman;serif"/>
          <w:b w:val="false"/>
          <w:i/>
          <w:color w:val="000000"/>
          <w:sz w:val="22"/>
        </w:rPr>
        <w:t xml:space="preserve">Distributions from Investments </w:t>
      </w:r>
    </w:p>
    <w:p>
      <w:pPr>
        <w:pStyle w:val="TextBody"/>
        <w:bidi w:val="0"/>
        <w:spacing w:lineRule="auto" w:line="268" w:before="0" w:after="160"/>
        <w:jc w:val="both"/>
        <w:rPr/>
      </w:pPr>
      <w:r>
        <w:rPr>
          <w:rFonts w:ascii="Times New Roman;serif" w:hAnsi="Times New Roman;serif"/>
          <w:b w:val="false"/>
          <w:color w:val="000000"/>
          <w:sz w:val="22"/>
        </w:rPr>
        <w:t>Distributions from investments are generated from the equity interests we have in three external managers. Distributions from each external manager are recorded upon receipt of the distribution.</w:t>
      </w:r>
      <w:r>
        <w:rPr>
          <w:color w:val="000000"/>
        </w:rPr>
        <w:t xml:space="preserve"> </w:t>
      </w:r>
      <w:r>
        <w:rPr>
          <w:rFonts w:ascii="Times New Roman;serif" w:hAnsi="Times New Roman;serif"/>
          <w:b w:val="false"/>
          <w:color w:val="000000"/>
          <w:sz w:val="22"/>
        </w:rPr>
        <w:t>These distributions are generated through our equity interest in the external manager’s management fees and incentive fees.</w:t>
      </w:r>
      <w:r>
        <w:rPr>
          <w:color w:val="000000"/>
        </w:rPr>
        <w:t xml:space="preserve"> </w:t>
      </w:r>
      <w:r>
        <w:rPr>
          <w:rFonts w:ascii="Times New Roman;serif" w:hAnsi="Times New Roman;serif"/>
          <w:b w:val="false"/>
          <w:color w:val="000000"/>
          <w:sz w:val="22"/>
        </w:rPr>
        <w:t>The management fee component of the distributions is recurring in nature, while the incentive portion, which is performance based, is more susceptible to impact from exogenous factors. Our economic interests in the External Strategic Managers are as follows:</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Real Estate Bridge Lending Strategy—21% profit share;</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European Equities—25% revenue share; and</w:t>
      </w:r>
    </w:p>
    <w:p>
      <w:pPr>
        <w:pStyle w:val="TextBody"/>
        <w:bidi w:val="0"/>
        <w:spacing w:lineRule="auto" w:line="268" w:before="120" w:after="160"/>
        <w:ind w:left="0" w:right="0" w:hanging="360"/>
        <w:jc w:val="both"/>
        <w:rPr/>
      </w:pPr>
      <w:r>
        <w:rPr>
          <w:color w:val="000000"/>
        </w:rPr>
        <w:t>◦</w:t>
      </w:r>
      <w:r>
        <w:rPr>
          <w:rFonts w:ascii="Times New Roman;serif" w:hAnsi="Times New Roman;serif"/>
          <w:b w:val="false"/>
          <w:color w:val="000000"/>
          <w:sz w:val="22"/>
        </w:rPr>
        <w:t>Asian Credit and Special Situations—12% revenue share</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External Strategic Managers distributions from investments are all driven by a management fee component while the distributions from European equities and Asian credit and special situations also have an incentive fee component depending on performance. Depending on the fund, the incentive fee component can range from 15% to 35% of the net profit/income, in excess of a 10% return hurdle.</w:t>
      </w:r>
    </w:p>
    <w:p>
      <w:pPr>
        <w:pStyle w:val="TextBody"/>
        <w:bidi w:val="0"/>
        <w:spacing w:lineRule="auto" w:line="268" w:before="0" w:after="160"/>
        <w:jc w:val="both"/>
        <w:rPr>
          <w:rFonts w:ascii="Times New Roman;serif" w:hAnsi="Times New Roman;serif"/>
          <w:b w:val="false"/>
          <w:i/>
          <w:color w:val="000000"/>
          <w:sz w:val="22"/>
        </w:rPr>
      </w:pPr>
      <w:r>
        <w:rPr>
          <w:rFonts w:ascii="Times New Roman;serif" w:hAnsi="Times New Roman;serif"/>
          <w:b w:val="false"/>
          <w:i/>
          <w:color w:val="000000"/>
          <w:sz w:val="22"/>
        </w:rPr>
        <w:t>Other income/fees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Other income or fees primarily include transaction fees, which are generally non-recurring in nature, are typically commission based, and are received upon the successful completion of a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Market Trends and Business Environment</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Our business performance is directly and indirectly influenced by U.S. and to a lesser extent, global financial market and macroeconomic conditions including economic growth, interest rates and inflation. These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shape market behavior and client decision-making, which in turn impact the demand for our wealth management services and the composition of assets under management.</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first quarter of 2026, global equity markets were marked by elevated volatility and changing performance patterns across asset classes, following a strong start to the year. Major equity indices reached or approached highs in January, but sentiment deteriorated later in the quarter amid rising geopolitical tensions and higher energy prices. In the U.S., equity markets ended modestly lower, with the S&amp;P 500 declining approximately 4% and the Nasdaq Composite posting similar losses, largely driven by weakness in large-cap technology stocks. In contrast, international and value-oriented markets demonstrated relative resilience, aided by commodity exposure and rotation away from growth, with emerging markets outperforming developed markets during the period.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U.S. economic backdrop showed signs of deceleration toward the end of 2025. According to the updated estimate from the Bureau of Economic Analysis, the relevant data remains pending.</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Inflation remained above the Federal Reserve’s long</w:t>
        <w:noBreakHyphen/>
        <w:t>term target and showed renewed persistence early in 2026. The core PCE price index increased 3.1% year</w:t>
        <w:noBreakHyphen/>
        <w:t>over</w:t>
        <w:noBreakHyphen/>
        <w:t>year in January and moderated slightly to 3% in February, reflecting continued pressure in services inflation despite some easing in goods prices. Energy price increases related to geopolitical disruptions are expected to put additional upward pressure on near</w:t>
        <w:noBreakHyphen/>
        <w:t>term inflation readings.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Our operations are also affected by movements in interest rates, which influence the value of our clients’ portfolios and, in turn, our revenue. Following three quarter</w:t>
        <w:noBreakHyphen/>
        <w:t>point rate reductions in late 2025, the Federal Reserve held the federal funds rate steady at a target range of 3.50%–3.75% at both its January and March 2026 meetings. Policymakers emphasized a data</w:t>
        <w:noBreakHyphen/>
        <w:t>dependent stance, citing heightened inflation uncertainty and geopolitical risks, and signaled a willingness to remain on hold until there is greater clarity on the trajectory of inflation and economic growth.</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We continue to monitor developments related to these macroeconomic factors and assess their potential impact on both financial markets and our business. A slowdown in inflows or sustained market declines could negatively affect our future results, potentially leading to reduced management fees. At this time, the full impact of these events on financial markets, the broader economy, and our financial statements remains uncertain. For more information, please refer to Part I, Item 1A. “Risk Factors” of our Annual Report for previously disclosed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Managing Business Performance and Key Financial Measures</w:t>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Non-US GAAP Financial Measures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We use Adjusted Net Income and Adjusted EBITDA as non-US GAAP financial measures, which do not have uniform definitions. Adjusted EBITDA is derived from and reconciled to, but not equivalent to, its most directly comparable US GAAP measure of net income (loss). Adjusted Net Income represents net income (loss) before taxes adjusted for the components outlined in the following table which presents the non-US GAAP financial measures for the periods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51"/>
        <w:gridCol w:w="1505"/>
        <w:gridCol w:w="1399"/>
        <w:gridCol w:w="271"/>
        <w:gridCol w:w="993"/>
        <w:gridCol w:w="130"/>
        <w:gridCol w:w="114"/>
        <w:gridCol w:w="114"/>
        <w:gridCol w:w="114"/>
        <w:gridCol w:w="271"/>
        <w:gridCol w:w="993"/>
        <w:gridCol w:w="130"/>
        <w:gridCol w:w="109"/>
        <w:gridCol w:w="109"/>
        <w:gridCol w:w="109"/>
        <w:gridCol w:w="411"/>
        <w:gridCol w:w="1290"/>
        <w:gridCol w:w="292"/>
      </w:tblGrid>
      <w:tr>
        <w:trPr/>
        <w:tc>
          <w:tcPr>
            <w:tcW w:w="185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Favorable (Unfavorable)</w:t>
            </w:r>
          </w:p>
        </w:tc>
      </w:tr>
      <w:tr>
        <w:trPr/>
        <w:tc>
          <w:tcPr>
            <w:tcW w:w="4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March 31,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Change</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Revenues</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Management/advisory fees</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51,895 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44,775 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7,120 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Incentive fees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Distributions from investments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21,268 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12,210 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9,058 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income/fees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Revenues</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73,105 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57,087 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16,018 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4,353 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(income) expense</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benefit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(1,623)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1,582 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&amp; Amortization</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EBITDA Reported</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12,731 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6,914 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5,817 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Stock based compensation </w:t>
            </w:r>
            <w:r>
              <w:rPr>
                <w:rFonts w:ascii="Times New Roman;serif" w:hAnsi="Times New Roman;serif"/>
                <w:b w:val="false"/>
                <w:color w:val="000000"/>
                <w:sz w:val="14"/>
              </w:rPr>
              <w:t>(a)</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13,649 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6,638 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Transaction expenses </w:t>
            </w:r>
            <w:r>
              <w:rPr>
                <w:rFonts w:ascii="Times New Roman;serif" w:hAnsi="Times New Roman;serif"/>
                <w:b w:val="false"/>
                <w:color w:val="000000"/>
                <w:sz w:val="14"/>
              </w:rPr>
              <w:t>(b)</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(3,881)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shd w:fill="FFFFFF" w:val="clear"/>
              </w:rPr>
              <w:t xml:space="preserve">Change in fair value on investments and non-recurring unrealized gain/losses on sales </w:t>
            </w:r>
            <w:r>
              <w:rPr>
                <w:rFonts w:ascii="Times New Roman;serif" w:hAnsi="Times New Roman;serif"/>
                <w:b w:val="false"/>
                <w:color w:val="000000"/>
                <w:sz w:val="14"/>
                <w:shd w:fill="FFFFFF" w:val="clear"/>
              </w:rPr>
              <w:t>(c)</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(5,605)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(9,939)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Change in fair value of earnout liabilities </w:t>
            </w:r>
            <w:r>
              <w:rPr>
                <w:rFonts w:ascii="Times New Roman;serif" w:hAnsi="Times New Roman;serif"/>
                <w:b w:val="false"/>
                <w:color w:val="000000"/>
                <w:sz w:val="14"/>
              </w:rPr>
              <w:t>(d)</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(9,581)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(12,583)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Change in fair value of TRA liability </w:t>
            </w:r>
            <w:r>
              <w:rPr>
                <w:rFonts w:ascii="Times New Roman;serif" w:hAnsi="Times New Roman;serif"/>
                <w:b w:val="false"/>
                <w:color w:val="000000"/>
                <w:sz w:val="14"/>
              </w:rPr>
              <w:t>(e)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Organization streamlining cost </w:t>
            </w:r>
            <w:r>
              <w:rPr>
                <w:rFonts w:ascii="Times New Roman;serif" w:hAnsi="Times New Roman;serif"/>
                <w:b w:val="false"/>
                <w:color w:val="000000"/>
                <w:sz w:val="14"/>
              </w:rPr>
              <w:t>(f)</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Change in fair value of Preferred stock tranche liability</w:t>
            </w:r>
            <w:r>
              <w:rPr>
                <w:color w:val="000000"/>
              </w:rPr>
              <w:t xml:space="preserve"> </w:t>
            </w:r>
            <w:r>
              <w:rPr>
                <w:rFonts w:ascii="Times New Roman;serif" w:hAnsi="Times New Roman;serif"/>
                <w:b w:val="false"/>
                <w:color w:val="000000"/>
                <w:sz w:val="14"/>
              </w:rPr>
              <w:t>(g)</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1,540 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Adjusted EBITDA</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14,881 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12,294 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2,587 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(a)Add-back of non-cash expense related to awards of Class A Common stock (approved post-Business Combination).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(b)Add-back of transaction expenses related to acquisitions or divestitures, including compensation arrangements, legal fees, accounting advisory fees, litigation settlements, and M&amp;A related audit fees among others.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(c)Add-back of the change in unrealized gains/losses related to Investments held at fair value.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(d)Add-back of the change in fair value of the earnout liabilities.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(e)Add-back of the change in unrealized gains/losses related primarily to the TRA liability.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(f)Add-back of cost to implement organization change to derive cost synergy, including consulting fees, severance charges, technology implementation costs, and bad debt expense related to strategic realignment.</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(g)Add-back of the change in fair value of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Reconciliation of Consolidated US GAAP Financial Measures to Certain Non-US GAAP Measures</w:t>
      </w:r>
    </w:p>
    <w:p>
      <w:pPr>
        <w:pStyle w:val="TextBody"/>
        <w:bidi w:val="0"/>
        <w:spacing w:lineRule="auto" w:line="288" w:before="0" w:after="160"/>
        <w:jc w:val="both"/>
        <w:rPr/>
      </w:pPr>
      <w:r>
        <w:rPr>
          <w:rFonts w:ascii="Times New Roman;serif" w:hAnsi="Times New Roman;serif"/>
          <w:b w:val="false"/>
          <w:color w:val="000000"/>
          <w:sz w:val="22"/>
          <w:shd w:fill="FFFFFF" w:val="clear"/>
        </w:rPr>
        <w:t xml:space="preserve">We use </w:t>
      </w:r>
      <w:r>
        <w:rPr>
          <w:rFonts w:ascii="Times New Roman;serif" w:hAnsi="Times New Roman;serif"/>
          <w:b w:val="false"/>
          <w:color w:val="000000"/>
          <w:sz w:val="22"/>
        </w:rPr>
        <w:t>Adjusted Net Income and Adjusted</w:t>
      </w:r>
      <w:r>
        <w:rPr>
          <w:color w:val="000000"/>
          <w:shd w:fill="FFFFFF" w:val="clear"/>
        </w:rPr>
        <w:t xml:space="preserve"> </w:t>
      </w:r>
      <w:r>
        <w:rPr>
          <w:rFonts w:ascii="Times New Roman;serif" w:hAnsi="Times New Roman;serif"/>
          <w:b w:val="false"/>
          <w:color w:val="000000"/>
          <w:sz w:val="22"/>
          <w:shd w:fill="FFFFFF" w:val="clear"/>
        </w:rPr>
        <w:t xml:space="preserve">EBITDA as non-US GAAP measures to assess and track our performance. </w:t>
      </w:r>
      <w:r>
        <w:rPr>
          <w:rFonts w:ascii="Times New Roman;serif" w:hAnsi="Times New Roman;serif"/>
          <w:b w:val="false"/>
          <w:color w:val="000000"/>
          <w:sz w:val="22"/>
        </w:rPr>
        <w:t>Adjusted Net Income and Adjusted</w:t>
      </w:r>
      <w:r>
        <w:rPr>
          <w:color w:val="000000"/>
          <w:shd w:fill="FFFFFF" w:val="clear"/>
        </w:rPr>
        <w:t xml:space="preserve"> </w:t>
      </w:r>
      <w:r>
        <w:rPr>
          <w:rFonts w:ascii="Times New Roman;serif" w:hAnsi="Times New Roman;serif"/>
          <w:b w:val="false"/>
          <w:color w:val="000000"/>
          <w:sz w:val="22"/>
          <w:shd w:fill="FFFFFF" w:val="clear"/>
        </w:rPr>
        <w:t xml:space="preserve">EBITDA as presented in this Quarterly Report are supplemental measures of our performance that are not required by, or presented in accordance with, US GAAP. </w:t>
      </w:r>
    </w:p>
    <w:p>
      <w:pPr>
        <w:pStyle w:val="TextBody"/>
        <w:bidi w:val="0"/>
        <w:spacing w:lineRule="auto" w:line="288" w:before="0" w:after="160"/>
        <w:jc w:val="both"/>
        <w:rPr/>
      </w:pPr>
      <w:r>
        <w:rPr>
          <w:rFonts w:ascii="Times New Roman;serif" w:hAnsi="Times New Roman;serif"/>
          <w:b w:val="false"/>
          <w:color w:val="000000"/>
          <w:sz w:val="22"/>
          <w:shd w:fill="FFFFFF" w:val="clear"/>
        </w:rPr>
        <w:t xml:space="preserve">The following table presents the reconciliation of net income as reported in our Condensed Consolidated Statements of Operations to </w:t>
      </w:r>
      <w:r>
        <w:rPr>
          <w:rFonts w:ascii="Times New Roman;serif" w:hAnsi="Times New Roman;serif"/>
          <w:b w:val="false"/>
          <w:color w:val="000000"/>
          <w:sz w:val="22"/>
        </w:rPr>
        <w:t>Adjusted Net Income and Adjusted</w:t>
      </w:r>
      <w:r>
        <w:rPr>
          <w:color w:val="000000"/>
          <w:shd w:fill="FFFFFF" w:val="clear"/>
        </w:rPr>
        <w:t xml:space="preserve"> </w:t>
      </w:r>
      <w:r>
        <w:rPr>
          <w:rFonts w:ascii="Times New Roman;serif" w:hAnsi="Times New Roman;serif"/>
          <w:b w:val="false"/>
          <w:color w:val="000000"/>
          <w:sz w:val="22"/>
          <w:shd w:fill="FFFFFF" w:val="clear"/>
        </w:rPr>
        <w:t>EBITDA for the periods indicated:</w:t>
      </w:r>
    </w:p>
    <w:tbl>
      <w:tblPr>
        <w:tblW w:w="10205" w:type="dxa"/>
        <w:jc w:val="left"/>
        <w:tblInd w:w="0" w:type="dxa"/>
        <w:tblLayout w:type="fixed"/>
        <w:tblCellMar>
          <w:top w:w="28" w:type="dxa"/>
          <w:left w:w="28" w:type="dxa"/>
          <w:bottom w:w="28" w:type="dxa"/>
          <w:right w:w="28" w:type="dxa"/>
        </w:tblCellMar>
      </w:tblPr>
      <w:tblGrid>
        <w:gridCol w:w="2377"/>
        <w:gridCol w:w="1958"/>
        <w:gridCol w:w="1971"/>
        <w:gridCol w:w="297"/>
        <w:gridCol w:w="1090"/>
        <w:gridCol w:w="143"/>
        <w:gridCol w:w="117"/>
        <w:gridCol w:w="117"/>
        <w:gridCol w:w="117"/>
        <w:gridCol w:w="297"/>
        <w:gridCol w:w="1090"/>
        <w:gridCol w:w="143"/>
        <w:gridCol w:w="109"/>
        <w:gridCol w:w="109"/>
        <w:gridCol w:w="109"/>
        <w:gridCol w:w="161"/>
      </w:tblGrid>
      <w:tr>
        <w:trPr/>
        <w:tc>
          <w:tcPr>
            <w:tcW w:w="2377"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March 31,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Adjusted Net Income and Adjusted EBITDA</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Net income before taxes from continuing operations</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Stock-based compensation </w:t>
            </w:r>
            <w:r>
              <w:rPr>
                <w:rFonts w:ascii="Times New Roman;serif" w:hAnsi="Times New Roman;serif"/>
                <w:b w:val="false"/>
                <w:color w:val="000000"/>
                <w:sz w:val="14"/>
              </w:rPr>
              <w:t>(a)</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13,649 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Transaction expenses</w:t>
            </w:r>
            <w:r>
              <w:rPr>
                <w:color w:val="000000"/>
              </w:rPr>
              <w:t xml:space="preserve"> </w:t>
            </w:r>
            <w:r>
              <w:rPr>
                <w:rFonts w:ascii="Times New Roman;serif" w:hAnsi="Times New Roman;serif"/>
                <w:b w:val="false"/>
                <w:color w:val="000000"/>
                <w:sz w:val="14"/>
              </w:rPr>
              <w:t>(b)</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2,692 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Change in fair value of TRA liability </w:t>
            </w:r>
            <w:r>
              <w:rPr>
                <w:rFonts w:ascii="Times New Roman;serif" w:hAnsi="Times New Roman;serif"/>
                <w:b w:val="false"/>
                <w:color w:val="000000"/>
                <w:sz w:val="14"/>
              </w:rPr>
              <w:t>(c)</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Change in fair value of investments and non-recurring realized (gain)/loss on sales </w:t>
            </w:r>
            <w:r>
              <w:rPr>
                <w:rFonts w:ascii="Times New Roman;serif" w:hAnsi="Times New Roman;serif"/>
                <w:b w:val="false"/>
                <w:color w:val="000000"/>
                <w:sz w:val="14"/>
              </w:rPr>
              <w:t>(d)</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(5,605)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Change in fair value of earnout liabilities </w:t>
            </w:r>
            <w:r>
              <w:rPr>
                <w:rFonts w:ascii="Times New Roman;serif" w:hAnsi="Times New Roman;serif"/>
                <w:b w:val="false"/>
                <w:color w:val="000000"/>
                <w:sz w:val="14"/>
              </w:rPr>
              <w:t>(e)</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(9,581)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(12,583)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Organization streamlining cost </w:t>
            </w:r>
            <w:r>
              <w:rPr>
                <w:rFonts w:ascii="Times New Roman;serif" w:hAnsi="Times New Roman;serif"/>
                <w:b w:val="false"/>
                <w:color w:val="000000"/>
                <w:sz w:val="14"/>
              </w:rPr>
              <w:t>(f)</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Change in fair value of preferred stock tranche liability </w:t>
            </w:r>
            <w:r>
              <w:rPr>
                <w:rFonts w:ascii="Times New Roman;serif" w:hAnsi="Times New Roman;serif"/>
                <w:b w:val="false"/>
                <w:color w:val="000000"/>
                <w:sz w:val="14"/>
              </w:rPr>
              <w:t>(g)</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(2,540)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income before taxes</w:t>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10,499 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7,794 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income tax expense</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(2,573)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Adjusted Net Income</w:t>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5,221 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(income) expense</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benefit</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(1,623)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tax adjustments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Adjusted EBITDA</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14,881 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12,294 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(a)Add-back of non-cash expense related to awards of Class A Common stock (approved post-Business Combination).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(b)Add-back of transaction expenses related to acquisitions or divestitures, including compensation arrangements, legal fees, accounting advisory fees, litigation settlements, and M&amp;A related audit fees among others.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(c)Add-back of the change in unrealized gains/losses related to Investments held at fair value.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(d)Add-back of the change in fair value of the earnout liabilities.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(e)Add-back of the change in unrealized gains/losses related primarily to the TRA liability.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(f)Add-back of cost to implement organization change to derive cost synergy, including consulting fees, severance charges, technology implementation costs, and bad debt expense related to strategic realignment.</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(g)Add-back of the change in fair value of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Operating Metrics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We monitor certain operating metrics that are common to the wealth and asset management industry, as of March 31, 2026, which are discussed below.</w:t>
      </w:r>
    </w:p>
    <w:tbl>
      <w:tblPr>
        <w:tblW w:w="2466"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354"/>
        <w:gridCol w:w="354"/>
        <w:gridCol w:w="506"/>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466" w:type="dxa"/>
            <w:gridSpan w:val="9"/>
            <w:tcBorders>
              <w:top w:val="single" w:sz="8" w:space="0" w:color="000000"/>
              <w:left w:val="single" w:sz="8" w:space="0" w:color="000000"/>
              <w:right w:val="single" w:sz="8" w:space="0" w:color="000000"/>
            </w:tcBorders>
            <w:shd w:fill="2F5496" w:val="clear"/>
            <w:tcMar>
              <w:top w:w="30" w:type="dxa"/>
              <w:bottom w:w="0" w:type="dxa"/>
            </w:tcMar>
            <w:vAlign w:val="center"/>
          </w:tcPr>
          <w:p>
            <w:pPr>
              <w:pStyle w:val="TableContents"/>
              <w:bidi w:val="0"/>
              <w:spacing w:lineRule="auto" w:line="288" w:before="0" w:after="0"/>
              <w:jc w:val="center"/>
              <w:rPr>
                <w:color w:val="FFFFFF"/>
              </w:rPr>
            </w:pPr>
            <w:r>
              <w:rPr>
                <w:color w:val="FFFFFF"/>
              </w:rPr>
              <w:t>      </w:t>
            </w:r>
            <w:r>
              <w:rPr>
                <w:rFonts w:ascii="Times New Roman;serif" w:hAnsi="Times New Roman;serif"/>
                <w:b/>
                <w:color w:val="FFFFFF"/>
                <w:sz w:val="20"/>
              </w:rPr>
              <w:t>AlTi Global, Inc.</w:t>
            </w:r>
          </w:p>
        </w:tc>
      </w:tr>
      <w:tr>
        <w:trPr/>
        <w:tc>
          <w:tcPr>
            <w:tcW w:w="640" w:type="dxa"/>
            <w:gridSpan w:val="3"/>
            <w:tcBorders>
              <w:top w:val="single" w:sz="8" w:space="0" w:color="000000"/>
              <w:left w:val="single" w:sz="8" w:space="0" w:color="000000"/>
            </w:tcBorders>
            <w:shd w:fill="2F5496"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color w:val="FFFFFF"/>
                <w:sz w:val="20"/>
              </w:rPr>
            </w:pPr>
            <w:r>
              <w:rPr>
                <w:rFonts w:ascii="Times New Roman;serif" w:hAnsi="Times New Roman;serif"/>
                <w:b/>
                <w:color w:val="FFFFFF"/>
                <w:sz w:val="20"/>
              </w:rPr>
              <w:t>AUM:</w:t>
            </w:r>
          </w:p>
        </w:tc>
        <w:tc>
          <w:tcPr>
            <w:tcW w:w="612" w:type="dxa"/>
            <w:gridSpan w:val="3"/>
            <w:tcBorders>
              <w:top w:val="single" w:sz="8" w:space="0" w:color="000000"/>
            </w:tcBorders>
            <w:shd w:fill="2F549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right w:val="single" w:sz="8" w:space="0" w:color="000000"/>
            </w:tcBorders>
            <w:shd w:fill="2F5496" w:val="clear"/>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color w:val="FFFFFF"/>
                <w:sz w:val="20"/>
              </w:rPr>
            </w:pPr>
            <w:r>
              <w:rPr>
                <w:rFonts w:ascii="Times New Roman;serif" w:hAnsi="Times New Roman;serif"/>
                <w:b/>
                <w:color w:val="FFFFFF"/>
                <w:sz w:val="20"/>
              </w:rPr>
              <w:t>$48.7 billion</w:t>
            </w:r>
          </w:p>
        </w:tc>
      </w:tr>
      <w:tr>
        <w:trPr/>
        <w:tc>
          <w:tcPr>
            <w:tcW w:w="640" w:type="dxa"/>
            <w:gridSpan w:val="3"/>
            <w:tcBorders>
              <w:top w:val="single" w:sz="8" w:space="0" w:color="000000"/>
              <w:left w:val="single" w:sz="8" w:space="0" w:color="000000"/>
              <w:bottom w:val="single" w:sz="8" w:space="0" w:color="000000"/>
            </w:tcBorders>
            <w:shd w:fill="2F5496" w:val="clear"/>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color w:val="FFFFFF"/>
                <w:sz w:val="20"/>
              </w:rPr>
            </w:pPr>
            <w:r>
              <w:rPr>
                <w:rFonts w:ascii="Times New Roman;serif" w:hAnsi="Times New Roman;serif"/>
                <w:b/>
                <w:color w:val="FFFFFF"/>
                <w:sz w:val="20"/>
              </w:rPr>
              <w:t xml:space="preserve">AUA: </w:t>
            </w:r>
          </w:p>
        </w:tc>
        <w:tc>
          <w:tcPr>
            <w:tcW w:w="612" w:type="dxa"/>
            <w:gridSpan w:val="3"/>
            <w:tcBorders>
              <w:top w:val="single" w:sz="8" w:space="0" w:color="000000"/>
              <w:bottom w:val="single" w:sz="8" w:space="0" w:color="000000"/>
            </w:tcBorders>
            <w:shd w:fill="2F5496" w:val="clear"/>
            <w:tcMar>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right w:val="single" w:sz="8" w:space="0" w:color="000000"/>
            </w:tcBorders>
            <w:shd w:fill="2F5496" w:val="clear"/>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color w:val="FFFFFF"/>
                <w:sz w:val="20"/>
              </w:rPr>
            </w:pPr>
            <w:r>
              <w:rPr>
                <w:rFonts w:ascii="Times New Roman;serif" w:hAnsi="Times New Roman;serif"/>
                <w:b/>
                <w:color w:val="FFFFFF"/>
                <w:sz w:val="20"/>
              </w:rPr>
              <w:t>$90.1 billion</w:t>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200" w:after="200"/>
        <w:jc w:val="left"/>
        <w:rPr>
          <w:rFonts w:ascii="Times New Roman;serif" w:hAnsi="Times New Roman;serif"/>
          <w:b/>
          <w:color w:val="000000"/>
          <w:sz w:val="22"/>
        </w:rPr>
      </w:pPr>
      <w:r>
        <w:rPr>
          <w:rFonts w:ascii="Times New Roman;serif" w:hAnsi="Times New Roman;serif"/>
          <w:b/>
          <w:color w:val="000000"/>
          <w:sz w:val="22"/>
        </w:rPr>
        <w:t>AUM</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 agreements 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may differ from the calculation methodologies of other wealth managers and, as a result, this measure may not be comparable to similar measures presented by other wealth managers.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table below presents the change in our total AUM for our operating segment for the periods indicated:</w:t>
      </w:r>
    </w:p>
    <w:tbl>
      <w:tblPr>
        <w:tblW w:w="6604" w:type="dxa"/>
        <w:jc w:val="left"/>
        <w:tblInd w:w="0" w:type="dxa"/>
        <w:tblLayout w:type="fixed"/>
        <w:tblCellMar>
          <w:top w:w="28" w:type="dxa"/>
          <w:left w:w="28" w:type="dxa"/>
          <w:bottom w:w="28" w:type="dxa"/>
          <w:right w:w="28" w:type="dxa"/>
        </w:tblCellMar>
      </w:tblPr>
      <w:tblGrid>
        <w:gridCol w:w="879"/>
        <w:gridCol w:w="774"/>
        <w:gridCol w:w="777"/>
        <w:gridCol w:w="323"/>
        <w:gridCol w:w="1186"/>
        <w:gridCol w:w="156"/>
        <w:gridCol w:w="121"/>
        <w:gridCol w:w="121"/>
        <w:gridCol w:w="121"/>
        <w:gridCol w:w="323"/>
        <w:gridCol w:w="1186"/>
        <w:gridCol w:w="156"/>
        <w:gridCol w:w="109"/>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6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AUM</w:t>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March 31, 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Beginning Balance:</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47,941 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43,091 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client change</w:t>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Flow, net</w:t>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Market Performance, net</w:t>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Ending Balance:</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46,890 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42,877 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Average AUM</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47,416 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42,984 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200"/>
        <w:jc w:val="both"/>
        <w:rPr>
          <w:rFonts w:ascii="Times New Roman;serif" w:hAnsi="Times New Roman;serif"/>
          <w:b/>
          <w:color w:val="000000"/>
          <w:sz w:val="22"/>
        </w:rPr>
      </w:pPr>
      <w:r>
        <w:rPr>
          <w:rFonts w:ascii="Times New Roman;serif" w:hAnsi="Times New Roman;serif"/>
          <w:b/>
          <w:color w:val="000000"/>
          <w:sz w:val="22"/>
        </w:rPr>
        <w:t>AUA</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AUA includes all assets we manage as defined above, oversee, and report on. We view AUA as a core metric to measure our investment and fundraising performance as it includes non-financial assets (e.g., real estate) that are not included in AUM, investment consulting assets (not included in AUM but revenue generating) and other assets that we do not charge fees upon and do not have responsibility for investment execution responsibility, but the reporting of which is valued by our clients. AUA includes the value of all assets 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 managers.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table below presents the change in our total AUA for our operating segment for the periods indicated:</w:t>
      </w:r>
    </w:p>
    <w:tbl>
      <w:tblPr>
        <w:tblW w:w="6184" w:type="dxa"/>
        <w:jc w:val="left"/>
        <w:tblInd w:w="0" w:type="dxa"/>
        <w:tblLayout w:type="fixed"/>
        <w:tblCellMar>
          <w:top w:w="28" w:type="dxa"/>
          <w:left w:w="28" w:type="dxa"/>
          <w:bottom w:w="28" w:type="dxa"/>
          <w:right w:w="28" w:type="dxa"/>
        </w:tblCellMar>
      </w:tblPr>
      <w:tblGrid>
        <w:gridCol w:w="727"/>
        <w:gridCol w:w="640"/>
        <w:gridCol w:w="643"/>
        <w:gridCol w:w="323"/>
        <w:gridCol w:w="1186"/>
        <w:gridCol w:w="156"/>
        <w:gridCol w:w="121"/>
        <w:gridCol w:w="121"/>
        <w:gridCol w:w="121"/>
        <w:gridCol w:w="323"/>
        <w:gridCol w:w="1186"/>
        <w:gridCol w:w="156"/>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6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AUA</w:t>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March 31, 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Beginning Balance:</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85,816 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60,473 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w:t>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Ending Balance:</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83,003 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60,611 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Average AUA</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84,410 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60,542 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Investments in Alternative Platforms - AUM/AUA</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Within the Alternatives platform, assets consist of assets managed by TIG Arbitrage (AUM $1.8 billion and $1.8 billion as of March 31, 2026 and December 31, 2025, respectively), and the External Strategic Managers (AUA $5.3 billion and $5.5 billion as of March 31, 2026 and December 31, 2025, respectively).</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tables below present the change in our total AUM/AUA by strategy and product for our alternatives platform for the three months ended March 31, 2026 and March 31, 2025:</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Alternatives Platform</w:t>
      </w:r>
    </w:p>
    <w:tbl>
      <w:tblPr>
        <w:tblW w:w="10205" w:type="dxa"/>
        <w:jc w:val="left"/>
        <w:tblInd w:w="0" w:type="dxa"/>
        <w:tblLayout w:type="fixed"/>
        <w:tblCellMar>
          <w:top w:w="28" w:type="dxa"/>
          <w:left w:w="28" w:type="dxa"/>
          <w:bottom w:w="28" w:type="dxa"/>
          <w:right w:w="28" w:type="dxa"/>
        </w:tblCellMar>
      </w:tblPr>
      <w:tblGrid>
        <w:gridCol w:w="473"/>
        <w:gridCol w:w="340"/>
        <w:gridCol w:w="341"/>
        <w:gridCol w:w="256"/>
        <w:gridCol w:w="726"/>
        <w:gridCol w:w="142"/>
        <w:gridCol w:w="340"/>
        <w:gridCol w:w="602"/>
        <w:gridCol w:w="190"/>
        <w:gridCol w:w="109"/>
        <w:gridCol w:w="287"/>
        <w:gridCol w:w="618"/>
        <w:gridCol w:w="161"/>
        <w:gridCol w:w="274"/>
        <w:gridCol w:w="609"/>
        <w:gridCol w:w="153"/>
        <w:gridCol w:w="368"/>
        <w:gridCol w:w="819"/>
        <w:gridCol w:w="206"/>
        <w:gridCol w:w="311"/>
        <w:gridCol w:w="550"/>
        <w:gridCol w:w="175"/>
        <w:gridCol w:w="254"/>
        <w:gridCol w:w="721"/>
        <w:gridCol w:w="141"/>
        <w:gridCol w:w="223"/>
        <w:gridCol w:w="632"/>
        <w:gridCol w:w="184"/>
      </w:tblGrid>
      <w:tr>
        <w:trPr/>
        <w:tc>
          <w:tcPr>
            <w:tcW w:w="47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January 1, 2026</w:t>
            </w:r>
          </w:p>
        </w:tc>
        <w:tc>
          <w:tcPr>
            <w:tcW w:w="11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Appreciation</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Redemptions</w:t>
            </w:r>
          </w:p>
        </w:tc>
        <w:tc>
          <w:tcPr>
            <w:tcW w:w="13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Closed-end Fund - Scheduled Return of Capital</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March 31, 2026</w:t>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AUM/AUA</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TIG Arbitrage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Real Estate Bridge Lending Strategy</w:t>
            </w:r>
            <w:r>
              <w:rPr>
                <w:color w:val="000000"/>
              </w:rPr>
              <w:t xml:space="preserve"> </w:t>
            </w:r>
            <w:r>
              <w:rPr>
                <w:rFonts w:ascii="Times New Roman;serif" w:hAnsi="Times New Roman;serif"/>
                <w:b/>
                <w:color w:val="000000"/>
                <w:sz w:val="10"/>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European Equities</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Asian Credit and Special Situation</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 Subtotal</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7,082 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2"/>
        <w:gridCol w:w="482"/>
        <w:gridCol w:w="484"/>
        <w:gridCol w:w="327"/>
        <w:gridCol w:w="928"/>
        <w:gridCol w:w="182"/>
        <w:gridCol w:w="370"/>
        <w:gridCol w:w="654"/>
        <w:gridCol w:w="207"/>
        <w:gridCol w:w="109"/>
        <w:gridCol w:w="287"/>
        <w:gridCol w:w="618"/>
        <w:gridCol w:w="161"/>
        <w:gridCol w:w="274"/>
        <w:gridCol w:w="609"/>
        <w:gridCol w:w="153"/>
        <w:gridCol w:w="109"/>
        <w:gridCol w:w="311"/>
        <w:gridCol w:w="550"/>
        <w:gridCol w:w="175"/>
        <w:gridCol w:w="323"/>
        <w:gridCol w:w="917"/>
        <w:gridCol w:w="179"/>
        <w:gridCol w:w="254"/>
        <w:gridCol w:w="723"/>
        <w:gridCol w:w="207"/>
      </w:tblGrid>
      <w:tr>
        <w:trPr/>
        <w:tc>
          <w:tcPr>
            <w:tcW w:w="61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14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January 1, 2025</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Appreciation</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Redemptions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1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March 31, 2025</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AUM/AUA</w:t>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TIG Arbitrage</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w:t>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Real Estate Bridge Lending Strategy</w:t>
            </w:r>
            <w:r>
              <w:rPr>
                <w:color w:val="000000"/>
              </w:rPr>
              <w:t xml:space="preserve"> </w:t>
            </w:r>
            <w:r>
              <w:rPr>
                <w:rFonts w:ascii="Times New Roman;serif" w:hAnsi="Times New Roman;serif"/>
                <w:b/>
                <w:color w:val="000000"/>
                <w:sz w:val="10"/>
              </w:rPr>
              <w:t>(1)</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European Equities</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Asian Credit and Special Situation</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 Subtotal</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5,063 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6,585 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The fair value of this investment is reported on a one-month lag from the fund financial statements due to timing of the information provided by the fund and third-party entity unless information is available on a more timely basis. As a result, any changes in the markets in which our managed funds operate, and the impact market conditions have on underlying asset valuations, may not yet be reflected in reported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Components of Consolidated Results of Income</w:t>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Revenues</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Management/Advisory Fees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NAV. For those assets for which valuations are not available on a daily basis, the most recent valuation provided to the Company is used as the fair value for the purpose of calculating the quarterly fee.</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Incentive Fees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Incentive or performance fees are comprised primarily of annual performance or incentive fees which may be earned by providing investment management and advisory as well as fund management activities to our Capital Solutions and international wealth management businesses. 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Distributions from Investments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has equity interests in External Strategic Managers pursuant to which it is entitled to distributions based on the terms of the respective arrangements. Distributions from each investment will be recorded upon receipt of the distribution. The Company receives distributions from External Strategic Managers through profit or revenue sharing arrangements that are generated through recurring management fees and non-recurring incentive fees based on performance of the underlying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Other Fees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Other income or fees primarily include transaction fees, which are generally non-recurring in nature, are typically commission based, and are received upon the successful completion of a transaction. </w:t>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lineRule="auto" w:line="288" w:before="0" w:after="160"/>
        <w:jc w:val="both"/>
        <w:rPr/>
      </w:pPr>
      <w:r>
        <w:rPr>
          <w:rFonts w:ascii="Times New Roman;serif" w:hAnsi="Times New Roman;serif"/>
          <w:b w:val="false"/>
          <w:i/>
          <w:color w:val="000000"/>
          <w:sz w:val="22"/>
        </w:rPr>
        <w:t xml:space="preserve">Compensation and Employee Benefits: </w:t>
      </w:r>
      <w:r>
        <w:rPr>
          <w:rFonts w:ascii="Times New Roman;serif" w:hAnsi="Times New Roman;serif"/>
          <w:b w:val="false"/>
          <w:color w:val="000000"/>
          <w:sz w:val="22"/>
        </w:rPr>
        <w:t>Compensation generally includes salaries, bonuses, other performance-based compensation such as commissions, long-term deferral programs, benefits, and payroll taxes. Compensation is accrued over the related service period and long-term deferral program awards are paid out based on the various vesting dates.</w:t>
      </w:r>
    </w:p>
    <w:p>
      <w:pPr>
        <w:pStyle w:val="TextBody"/>
        <w:bidi w:val="0"/>
        <w:spacing w:lineRule="auto" w:line="288" w:before="0" w:after="160"/>
        <w:jc w:val="both"/>
        <w:rPr/>
      </w:pPr>
      <w:r>
        <w:rPr>
          <w:rFonts w:ascii="Times New Roman;serif" w:hAnsi="Times New Roman;serif"/>
          <w:b w:val="false"/>
          <w:i/>
          <w:color w:val="000000"/>
          <w:sz w:val="22"/>
        </w:rPr>
        <w:t xml:space="preserve">General, Administrative and Other Expenses: </w:t>
      </w:r>
      <w:r>
        <w:rPr>
          <w:rFonts w:ascii="Times New Roman;serif" w:hAnsi="Times New Roman;serif"/>
          <w:b w:val="false"/>
          <w:color w:val="000000"/>
          <w:sz w:val="22"/>
        </w:rPr>
        <w:t xml:space="preserve">General, administrative and other expenses include costs primarily related to professional services, occupancy, travel, communication and information services, distribution costs, and other general operating items. </w:t>
      </w:r>
    </w:p>
    <w:p>
      <w:pPr>
        <w:pStyle w:val="TextBody"/>
        <w:bidi w:val="0"/>
        <w:spacing w:lineRule="auto" w:line="288" w:before="0" w:after="160"/>
        <w:jc w:val="both"/>
        <w:rPr/>
      </w:pPr>
      <w:r>
        <w:rPr>
          <w:rFonts w:ascii="Times New Roman;serif" w:hAnsi="Times New Roman;serif"/>
          <w:b w:val="false"/>
          <w:i/>
          <w:color w:val="000000"/>
          <w:sz w:val="22"/>
        </w:rPr>
        <w:t xml:space="preserve">Depreciation and Amortization Expenses: </w:t>
      </w:r>
      <w:r>
        <w:rPr>
          <w:rFonts w:ascii="Times New Roman;serif" w:hAnsi="Times New Roman;serif"/>
          <w:b w:val="false"/>
          <w:color w:val="000000"/>
          <w:sz w:val="22"/>
        </w:rPr>
        <w:t>Fixed assets and intangible assets are depreciated and amortized on a straight-line basis, with the corresponding depreciation and amortization expense included within depreciation and amortization in the Company’s Condensed Consolidated Statements of Operations. The estimated useful life for leasehold improvements is the lesser of the remaining lease term or the life of the asset, while other fixed assets are generally depreciated over a period of three to fifteen years.</w:t>
      </w:r>
    </w:p>
    <w:p>
      <w:pPr>
        <w:pStyle w:val="TextBody"/>
        <w:bidi w:val="0"/>
        <w:spacing w:lineRule="auto" w:line="288" w:before="0" w:after="160"/>
        <w:jc w:val="both"/>
        <w:rPr/>
      </w:pPr>
      <w:r>
        <w:rPr>
          <w:rFonts w:ascii="Times New Roman;serif" w:hAnsi="Times New Roman;serif"/>
          <w:b w:val="false"/>
          <w:i/>
          <w:color w:val="000000"/>
          <w:sz w:val="22"/>
        </w:rPr>
        <w:t xml:space="preserve">Interest Expense: </w:t>
      </w:r>
      <w:r>
        <w:rPr>
          <w:rFonts w:ascii="Times New Roman;serif" w:hAnsi="Times New Roman;serif"/>
          <w:b w:val="false"/>
          <w:color w:val="000000"/>
          <w:sz w:val="22"/>
          <w:shd w:fill="FFFFFF" w:val="clear"/>
        </w:rPr>
        <w:t>I</w:t>
      </w:r>
      <w:r>
        <w:rPr>
          <w:rFonts w:ascii="Times New Roman;serif" w:hAnsi="Times New Roman;serif"/>
          <w:b w:val="false"/>
          <w:color w:val="000000"/>
          <w:sz w:val="22"/>
        </w:rPr>
        <w:t>nterest expense consists of the interest expense on our outstanding debt, amortization of deferred financing costs, and amortization of original issue discount.</w:t>
      </w:r>
    </w:p>
    <w:p>
      <w:pPr>
        <w:pStyle w:val="TextBody"/>
        <w:bidi w:val="0"/>
        <w:spacing w:lineRule="auto" w:line="288" w:before="0" w:after="160"/>
        <w:jc w:val="both"/>
        <w:rPr/>
      </w:pPr>
      <w:r>
        <w:rPr>
          <w:rFonts w:ascii="Times New Roman;serif" w:hAnsi="Times New Roman;serif"/>
          <w:b w:val="false"/>
          <w:i/>
          <w:color w:val="000000"/>
          <w:sz w:val="22"/>
        </w:rPr>
        <w:t xml:space="preserve">Income Tax Expense: </w:t>
      </w:r>
      <w:r>
        <w:rPr>
          <w:rFonts w:ascii="Times New Roman;serif" w:hAnsi="Times New Roman;serif"/>
          <w:b w:val="false"/>
          <w:color w:val="000000"/>
          <w:sz w:val="22"/>
        </w:rPr>
        <w:t>Income tax expense consists of taxes paid or payable by our consolidated operating subsidiaries. Certain of our subsidiaries are treated as flow-through entities for federal income tax purposes and, accordingly, are not subject to federal and state income taxes, as such taxes are the responsibility of certain direct and indirect owners of the flow-through entities. However, the flow-through entities are subjected to UBT and certain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2"/>
        </w:rPr>
      </w:pPr>
      <w:r>
        <w:rPr>
          <w:rFonts w:ascii="Times New Roman;serif" w:hAnsi="Times New Roman;serif"/>
          <w:b/>
          <w:color w:val="000000"/>
          <w:sz w:val="22"/>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Consolidated Results of Operations – For the Three Months Ended March 31, 2026 Compared to the Three Months Ended March 31, 2025</w:t>
      </w:r>
    </w:p>
    <w:tbl>
      <w:tblPr>
        <w:tblW w:w="10205" w:type="dxa"/>
        <w:jc w:val="left"/>
        <w:tblInd w:w="0" w:type="dxa"/>
        <w:tblLayout w:type="fixed"/>
        <w:tblCellMar>
          <w:top w:w="28" w:type="dxa"/>
          <w:left w:w="28" w:type="dxa"/>
          <w:bottom w:w="28" w:type="dxa"/>
          <w:right w:w="28" w:type="dxa"/>
        </w:tblCellMar>
      </w:tblPr>
      <w:tblGrid>
        <w:gridCol w:w="1382"/>
        <w:gridCol w:w="929"/>
        <w:gridCol w:w="902"/>
        <w:gridCol w:w="251"/>
        <w:gridCol w:w="860"/>
        <w:gridCol w:w="129"/>
        <w:gridCol w:w="111"/>
        <w:gridCol w:w="111"/>
        <w:gridCol w:w="111"/>
        <w:gridCol w:w="251"/>
        <w:gridCol w:w="860"/>
        <w:gridCol w:w="129"/>
        <w:gridCol w:w="109"/>
        <w:gridCol w:w="109"/>
        <w:gridCol w:w="109"/>
        <w:gridCol w:w="388"/>
        <w:gridCol w:w="1138"/>
        <w:gridCol w:w="20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3"/>
      </w:tblGrid>
      <w:tr>
        <w:trPr/>
        <w:tc>
          <w:tcPr>
            <w:tcW w:w="138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Favorable (Unfavorable)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2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Management/advisory fees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investments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income/fees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73,105 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57,087 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expenses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83,769 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65,497 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18,272 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taxes from continuing operations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(expense)/benefit from continuing operations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 from continuing operations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Revenue</w:t>
      </w:r>
    </w:p>
    <w:p>
      <w:pPr>
        <w:pStyle w:val="TextBody"/>
        <w:bidi w:val="0"/>
        <w:spacing w:lineRule="auto" w:line="288" w:before="0" w:after="160"/>
        <w:jc w:val="both"/>
        <w:rPr/>
      </w:pPr>
      <w:r>
        <w:rPr>
          <w:rFonts w:ascii="Times New Roman;serif" w:hAnsi="Times New Roman;serif"/>
          <w:b w:val="false"/>
          <w:i/>
          <w:color w:val="000000"/>
          <w:sz w:val="22"/>
        </w:rPr>
        <w:t xml:space="preserve">Management / advisory fees. </w:t>
      </w:r>
      <w:r>
        <w:rPr>
          <w:rFonts w:ascii="Times New Roman;serif" w:hAnsi="Times New Roman;serif"/>
          <w:b w:val="false"/>
          <w:color w:val="000000"/>
          <w:sz w:val="22"/>
        </w:rPr>
        <w:t>Management and advisory fees for the three months ended March 31, 2026, increased by $7.1 million compared to the three months ended March 31, 2025. This increase was driven by higher fees due to increases in our AUM largely attributable to our acquisition of Kontora in Q2 of 2025 and strong portfolio performance. These gains were partially offset by lower management fees in the TIG Arbitrage strategy due to fund outflows.</w:t>
      </w:r>
    </w:p>
    <w:p>
      <w:pPr>
        <w:pStyle w:val="TextBody"/>
        <w:bidi w:val="0"/>
        <w:spacing w:lineRule="auto" w:line="288" w:before="0" w:after="160"/>
        <w:jc w:val="both"/>
        <w:rPr/>
      </w:pPr>
      <w:r>
        <w:rPr>
          <w:rFonts w:ascii="Times New Roman;serif" w:hAnsi="Times New Roman;serif"/>
          <w:b w:val="false"/>
          <w:i/>
          <w:color w:val="000000"/>
          <w:sz w:val="22"/>
        </w:rPr>
        <w:t xml:space="preserve">Incentive fees. </w:t>
      </w:r>
      <w:r>
        <w:rPr>
          <w:rFonts w:ascii="Times New Roman;serif" w:hAnsi="Times New Roman;serif"/>
          <w:b w:val="false"/>
          <w:color w:val="000000"/>
          <w:sz w:val="22"/>
        </w:rPr>
        <w:t>For the three months ended March 31, 2026, incentive fees decreased by $0.2 million compared to the three months ended March 31, 2025. This decrease is attributable to less fund redemptions resulting in lower crystallized incentive fees in the TIG Arbitrage strategy for the current year as well as fee true-ups occurring in the first quarter, which led to lower crystallized incentive fees in the current period.</w:t>
      </w:r>
    </w:p>
    <w:p>
      <w:pPr>
        <w:pStyle w:val="TextBody"/>
        <w:bidi w:val="0"/>
        <w:spacing w:lineRule="auto" w:line="288" w:before="0" w:after="160"/>
        <w:jc w:val="both"/>
        <w:rPr/>
      </w:pPr>
      <w:r>
        <w:rPr>
          <w:rFonts w:ascii="Times New Roman;serif" w:hAnsi="Times New Roman;serif"/>
          <w:b w:val="false"/>
          <w:i/>
          <w:color w:val="000000"/>
          <w:sz w:val="22"/>
        </w:rPr>
        <w:t xml:space="preserve">Distributions from investments. </w:t>
      </w:r>
      <w:r>
        <w:rPr>
          <w:rFonts w:ascii="Times New Roman;serif" w:hAnsi="Times New Roman;serif"/>
          <w:b w:val="false"/>
          <w:color w:val="000000"/>
          <w:sz w:val="22"/>
        </w:rPr>
        <w:t>Distributions from investments for the three months ended March 31, 2026 increased by $9.1 million compared to the three months ended March 31, 2025. This increase was primarily due to higher distributions related to incentive fees in the European Equities strategy and partially offset by lower distributions from the Real Estate Bridge Lending Strategy and Asian Credit and Special Situations strategies.</w:t>
      </w:r>
    </w:p>
    <w:p>
      <w:pPr>
        <w:pStyle w:val="TextBody"/>
        <w:bidi w:val="0"/>
        <w:spacing w:lineRule="auto" w:line="288" w:before="0" w:after="160"/>
        <w:jc w:val="both"/>
        <w:rPr/>
      </w:pPr>
      <w:r>
        <w:rPr>
          <w:rFonts w:ascii="Times New Roman;serif" w:hAnsi="Times New Roman;serif"/>
          <w:b w:val="false"/>
          <w:i/>
          <w:color w:val="000000"/>
          <w:sz w:val="22"/>
        </w:rPr>
        <w:t xml:space="preserve">Other fees / income. </w:t>
      </w:r>
      <w:r>
        <w:rPr>
          <w:rFonts w:ascii="Times New Roman;serif" w:hAnsi="Times New Roman;serif"/>
          <w:b w:val="false"/>
          <w:color w:val="000000"/>
          <w:sz w:val="22"/>
        </w:rPr>
        <w:t>Other fees and income for the three months ended March 31, 2026 was relatively flat compared to the three months ended March 31, 2025 with a slight increase of $25.0 thousand related to higher fees related to one-off arrangements.</w:t>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lineRule="auto" w:line="288" w:before="0" w:after="160"/>
        <w:jc w:val="both"/>
        <w:rPr/>
      </w:pPr>
      <w:r>
        <w:rPr>
          <w:rFonts w:ascii="Times New Roman;serif" w:hAnsi="Times New Roman;serif"/>
          <w:b w:val="false"/>
          <w:i/>
          <w:color w:val="000000"/>
          <w:sz w:val="22"/>
        </w:rPr>
        <w:t xml:space="preserve">Compensation expense. </w:t>
      </w:r>
      <w:r>
        <w:rPr>
          <w:rFonts w:ascii="Times New Roman;serif" w:hAnsi="Times New Roman;serif"/>
          <w:b w:val="false"/>
          <w:color w:val="000000"/>
          <w:sz w:val="22"/>
        </w:rPr>
        <w:t xml:space="preserve">Compensation expense for the three months ended March 31, 2026 increased by $15.9 million compared to the three months ended March 31, 2025. This increase was primarily due to higher compensation costs tied to acquisition driven compensation and benefits, acquisition-related earn-outs, new equity grants, management restructuring expenses, and organizational streamlining initiatives that continue to be undertaken in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pPr>
      <w:r>
        <w:rPr>
          <w:rFonts w:ascii="Times New Roman;serif" w:hAnsi="Times New Roman;serif"/>
          <w:b w:val="false"/>
          <w:i/>
          <w:color w:val="000000"/>
          <w:sz w:val="22"/>
        </w:rPr>
        <w:t xml:space="preserve">Non-compensation expense. </w:t>
      </w:r>
      <w:r>
        <w:rPr>
          <w:rFonts w:ascii="Times New Roman;serif" w:hAnsi="Times New Roman;serif"/>
          <w:b w:val="false"/>
          <w:color w:val="000000"/>
          <w:sz w:val="22"/>
        </w:rPr>
        <w:t>Non-compensation expenses for the three months ended March 31, 2026 increased by $2.4 million as compared to the three months ended March 31, 2025, primarily driven by a $3.3 million increase in general, administrative and other costs primarily due to negative FX adjustments, higher directors’ fees, and other miscellaneous expenses. This was partially offset by lower bad debt expenses when compared to the prior year.</w:t>
      </w:r>
    </w:p>
    <w:p>
      <w:pPr>
        <w:pStyle w:val="TextBody"/>
        <w:bidi w:val="0"/>
        <w:spacing w:lineRule="auto" w:line="256" w:before="200" w:after="200"/>
        <w:jc w:val="both"/>
        <w:rPr>
          <w:rFonts w:ascii="Times New Roman;serif" w:hAnsi="Times New Roman;serif"/>
          <w:b/>
          <w:color w:val="000000"/>
          <w:sz w:val="22"/>
        </w:rPr>
      </w:pPr>
      <w:r>
        <w:rPr>
          <w:rFonts w:ascii="Times New Roman;serif" w:hAnsi="Times New Roman;serif"/>
          <w:b/>
          <w:color w:val="000000"/>
          <w:sz w:val="22"/>
        </w:rPr>
        <w:t>Other income</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Other income for the three months ended March 31, 2026 increased by $8.2 million compared to the three months ended March 31, 2025. During the three months ended March 31, 2026, due to the gains on the write-off of third party payables related to the administration of International Real Estate and higher unrealized gains on investments carried at fair value. These were partially offset by lower gains on the fair value of earn-out liabilities and the preferred tranche right liability.</w:t>
      </w:r>
    </w:p>
    <w:p>
      <w:pPr>
        <w:pStyle w:val="TextBody"/>
        <w:bidi w:val="0"/>
        <w:spacing w:lineRule="auto" w:line="256" w:before="200" w:after="200"/>
        <w:jc w:val="both"/>
        <w:rPr>
          <w:rFonts w:ascii="Times New Roman;serif" w:hAnsi="Times New Roman;serif"/>
          <w:b/>
          <w:color w:val="000000"/>
          <w:sz w:val="22"/>
        </w:rPr>
      </w:pPr>
      <w:r>
        <w:rPr>
          <w:rFonts w:ascii="Times New Roman;serif" w:hAnsi="Times New Roman;serif"/>
          <w:b/>
          <w:color w:val="000000"/>
          <w:sz w:val="22"/>
        </w:rPr>
        <w:t xml:space="preserve">Taxes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Company’s effective tax rate was (0.5)% for the three months ended March 31, 2026 compared to 35.9% for three months ended March 31, 2025. The effective tax rate for the three months ended March 31, 2025 differed from the statutory U.S. corporate tax rate primarily due to the tax impact of mark-to-market losses associated with contingent liabilities, equity consideration in the Business Combination, and nondeductible professional fees incurred in connection with the Business Combination. The effective tax rate for the three months ended March 31, 2026 differed from the statutory U.S. corporate tax rate primarily due to the portion of income allocated to noncontrolling interest, state and local taxes, and the impact of a full valuation allowance on many of the Company’s deferred tax assets, including those generated at the Company, in certain of the Company’s U.S. and non-U.S. subsidiaries and its investment in Umbrella.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assesses liquidity in terms of our ability to generate cash to fund operating, investing, and financing activities. Management takes a prudent approach to ensure the Company’s liquidity will continue to be sufficient for its foreseeable working capital needs, contractual obligations, distribution payments and strategic initiatives.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Over the next 12 months from the time of this filing and the foreseeable future, we believe our cash and cash equivalents are sufficient to meet all of our normal operational and liquidity needs. However, to fund new initiatives and accelerate our growth, we may be required to obtain additional funds. This is because periods of low cash balances, caused by potential mismatches between projected revenue and the timing of receipts, could specifically impact the capital available for expansion and/or business initiative efforts to grow or scale the business. </w:t>
      </w:r>
    </w:p>
    <w:p>
      <w:pPr>
        <w:pStyle w:val="TextBody"/>
        <w:bidi w:val="0"/>
        <w:spacing w:lineRule="auto" w:line="288" w:before="0" w:after="160"/>
        <w:jc w:val="left"/>
        <w:rPr>
          <w:rFonts w:ascii="Times New Roman;serif" w:hAnsi="Times New Roman;serif"/>
          <w:b w:val="false"/>
          <w:i/>
          <w:color w:val="000000"/>
          <w:sz w:val="22"/>
          <w:u w:val="single"/>
        </w:rPr>
      </w:pPr>
      <w:r>
        <w:rPr>
          <w:rFonts w:ascii="Times New Roman;serif" w:hAnsi="Times New Roman;serif"/>
          <w:b w:val="false"/>
          <w:i/>
          <w:color w:val="000000"/>
          <w:sz w:val="22"/>
          <w:u w:val="single"/>
        </w:rPr>
        <w:t>Administrators Term Loan</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On March 19, 2026, the Company and certain of its affiliates on the one hand and the International Real Estate Businesses and the Administrators on the other hand entered into a binding settlement and intercompany loan deed memorializing the terms of the settlement. The settlement amount of £11.2 million ($15.0 million) is noninterest bearing and paid in installments through November 2027. As of March 31, 2026, the outstanding balance of the settlement was $14.5 million.</w:t>
      </w:r>
    </w:p>
    <w:p>
      <w:pPr>
        <w:pStyle w:val="TextBody"/>
        <w:bidi w:val="0"/>
        <w:spacing w:lineRule="auto" w:line="276" w:before="0" w:after="16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Kontora Credit Facility</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April 30, 2025, the Company acquired Kontora. See Note 4 (Business Combinations) in our accompanying condensed consolidated financial statements. Kontora has a term loan with HypoVereinsbank. Throughout the period of the term loan Kontora Family Office GmbH, as a standalone entity, is required to maintain economic equity of the higher of $1.8 million or 30% of the total assets of this standalone entity. At March 31, 2026, the term loan had an outstanding principal amount of $0.4 million. In addition, Kontora has a revolving line of credit, with an aggregate borrowing facility of $0.9 million with HypoVereinsbank, which expires on July 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2029. The funded amounts under this revolving line of credit bear no restrictions on its use. At March 31, 2026, there was no outstanding borrowings under the revolving line of credit.</w:t>
      </w:r>
    </w:p>
    <w:p>
      <w:pPr>
        <w:pStyle w:val="TextBody"/>
        <w:bidi w:val="0"/>
        <w:spacing w:lineRule="auto" w:line="276" w:before="0" w:after="16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Allianz and Constellation Investment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February 22, 2024, the Company entered into an Investment Agreement (the “Allianz Investment Agreement”) with Allianz, pursuant to which, among other things, at the closing of the transaction, and based on the terms and subject to the conditions set forth therein: (i) Allianz purchased in the aggregate $250 million of the Company’s capital securities, consisting of (a) 140,000 shares of a newly created class of Series A Preferred Stock, with a liquidation preference of $1,000 per share and (b) 19,318,580.96 shares of the Company’s Class A Common Stock, and (ii) the Company issued to Allianz warrants to purchase 5,000,000 shares of Class A Common Stock at an exercise price of $7.40 per share of Class A Common Stock, subject to customary adjustments (the “Allianz Warrants”). As of March 31, 2026, none of the Allianz Warrants have been exercised.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In addition, on February 22, 2024, the Company entered into a Supplemental Series A Preferred Stock Investment Agreement with Allianz, pursuant to which, for purposes of funding one or more strategic international acquisitions by the Company or its subsidiaries, Allianz is permitted, at its option, to purchase up to 50,000 additional shares of Series A Preferred Stock up to an aggregate amount equal to $50.0 million.</w:t>
      </w:r>
    </w:p>
    <w:p>
      <w:pPr>
        <w:pStyle w:val="TextBody"/>
        <w:bidi w:val="0"/>
        <w:spacing w:lineRule="auto" w:line="268" w:before="0" w:after="160"/>
        <w:jc w:val="both"/>
        <w:rPr/>
      </w:pPr>
      <w:r>
        <w:rPr>
          <w:rFonts w:ascii="Times New Roman;serif" w:hAnsi="Times New Roman;serif"/>
          <w:b w:val="false"/>
          <w:color w:val="000000"/>
          <w:sz w:val="22"/>
        </w:rPr>
        <w:t xml:space="preserve">On May 13, 2025, Allianz exercised the Allianz Tranche Right (as defined above) to purchase an additional 18,471 shares of Series A Preferred Stock </w:t>
      </w:r>
      <w:r>
        <w:rPr>
          <w:rFonts w:ascii="Times New Roman;serif" w:hAnsi="Times New Roman;serif"/>
          <w:b w:val="false"/>
          <w:color w:val="000000"/>
          <w:sz w:val="24"/>
        </w:rPr>
        <w:t>at $1,000 per share</w:t>
      </w:r>
      <w:r>
        <w:rPr>
          <w:color w:val="000000"/>
        </w:rPr>
        <w:t xml:space="preserve"> </w:t>
      </w:r>
      <w:r>
        <w:rPr>
          <w:rFonts w:ascii="Times New Roman;serif" w:hAnsi="Times New Roman;serif"/>
          <w:b w:val="false"/>
          <w:color w:val="000000"/>
          <w:sz w:val="22"/>
        </w:rPr>
        <w:t>for $18.5 million</w:t>
      </w:r>
      <w:r>
        <w:rPr>
          <w:rFonts w:ascii="Times New Roman;serif" w:hAnsi="Times New Roman;serif"/>
          <w:b w:val="false"/>
          <w:color w:val="000000"/>
          <w:sz w:val="24"/>
        </w:rPr>
        <w: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Concurrently with the Company’s execution of the Allianz Investment Agreement, the Company entered into an Investment Agreement with Constellation (the “Constellation Investment Agreement”). On March 27, 2024, the Company completed the sale to Constellation of 115,000 shares of a newly created class of preferred stock designated Series C Preferred Stock for a purchase price equal to $115.0 million and issued to Constellation warrants to purchase 1,533,333 shares of the Company’s Class A Common Stock at an exercise price of $7.40 per share (the “Constellation Warrants”) in each case on terms consistent with the Constellation Investment Agreement.</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On May 15, 2024, in accordance with the Constellation Investment Agreement, the Company completed the sale to Constellation of 35,000 additional shares of Series C Preferred Stock for a purchase price equal to $35 million and issued additional Constellation Warrants to purchase 466,667 shares of the Company’s Class A Common Stock. As of March 31, 2026, none of the Constellation Warrants have been exercised.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Cash Flows</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For the Three Months Ended March 31, 2026 Compared to the Three Months Ended March 31, 2025</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tables and discussion summarize our Condensed Consolidated Statements of Cash Flows by activity attributable to AlTi for the periods indicated. Negative amounts represent an outflow or use of cash.</w:t>
      </w:r>
    </w:p>
    <w:tbl>
      <w:tblPr>
        <w:tblW w:w="10205" w:type="dxa"/>
        <w:jc w:val="left"/>
        <w:tblInd w:w="0" w:type="dxa"/>
        <w:tblLayout w:type="fixed"/>
        <w:tblCellMar>
          <w:top w:w="28" w:type="dxa"/>
          <w:left w:w="28" w:type="dxa"/>
          <w:bottom w:w="28" w:type="dxa"/>
          <w:right w:w="28" w:type="dxa"/>
        </w:tblCellMar>
      </w:tblPr>
      <w:tblGrid>
        <w:gridCol w:w="1524"/>
        <w:gridCol w:w="1339"/>
        <w:gridCol w:w="1348"/>
        <w:gridCol w:w="299"/>
        <w:gridCol w:w="984"/>
        <w:gridCol w:w="153"/>
        <w:gridCol w:w="111"/>
        <w:gridCol w:w="111"/>
        <w:gridCol w:w="111"/>
        <w:gridCol w:w="271"/>
        <w:gridCol w:w="1027"/>
        <w:gridCol w:w="139"/>
        <w:gridCol w:w="109"/>
        <w:gridCol w:w="109"/>
        <w:gridCol w:w="109"/>
        <w:gridCol w:w="442"/>
        <w:gridCol w:w="1515"/>
        <w:gridCol w:w="230"/>
        <w:gridCol w:w="109"/>
        <w:gridCol w:w="165"/>
      </w:tblGrid>
      <w:tr>
        <w:trPr/>
        <w:tc>
          <w:tcPr>
            <w:tcW w:w="1524"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Favorable (unfavorable)</w:t>
            </w:r>
          </w:p>
        </w:tc>
        <w:tc>
          <w:tcPr>
            <w:tcW w:w="274" w:type="dxa"/>
            <w:gridSpan w:val="2"/>
            <w:tcBorders/>
          </w:tcPr>
          <w:p>
            <w:pPr>
              <w:pStyle w:val="TableContents"/>
              <w:bidi w:val="0"/>
              <w:spacing w:before="0" w:after="283"/>
              <w:jc w:val="left"/>
              <w:rPr>
                <w:sz w:val="4"/>
                <w:szCs w:val="4"/>
              </w:rPr>
            </w:pPr>
            <w:r>
              <w:rPr>
                <w:sz w:val="4"/>
                <w:szCs w:val="4"/>
              </w:rPr>
            </w:r>
          </w:p>
        </w:tc>
      </w:tr>
      <w:tr>
        <w:trPr/>
        <w:tc>
          <w:tcPr>
            <w:tcW w:w="4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(30,356)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35,667 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(19,802)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cash balances</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(12,956)</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11,513 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Cash and cash equivalents decreased by $1.4 million during the three months ended March 31, 2026 primarily due to the Company’s net financing activities during the period, partially offset by the Company’s net operating activities during the period. </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 xml:space="preserve">Operating Activities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cash inflows from operating activities are comprised of cash collected through management and advisory fees, incentive fees, distributions from investments, and other income/fees. Cash outflows primarily include operating expenses, with the most significant components being compensation and benefits and professional fees. Our net operating cash inflow of $5.3 million for the three months ended March 31, 2026, was primarily driven by a decrease in Fees receivable of $31.1 million and partially offset by a decrease in Accrued compensation and profit sharing of $25.6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net operating cash outflow of $30.4 million for the three months ended March 31, 2025, was primarily driven by the Company’s net operating loss from continuing operations for the period, as operating expenses exceeded revenues, as well as a decrease in Accrued compensation and profit sharing of $22.7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Investing Activities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There was no movement in cash provided by or used by investing activities during the three months ended March 31,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Net cash provided by investing activities of $19.8 million during the three months ended March 31, 2025, was driven primarily by the proceeds received of $20.4 million from the sale of an equity method investment.</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 xml:space="preserve">Financing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cash used by financing activities of $6.5 million during the three months ended March 31, 2026, primarily resulted from the repurchase of Class A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Net cash used by financing activities of $2.8 million for the three months ended March 31, 2025, primarily resulted from the repurchase of Class A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 xml:space="preserve">Contractual Obligations </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Tax Receivable Agreement</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As of March 31, 2026 and December 31, 2025, the liability associated with the TRA was approximately $30.6 million and $25.7 million, respectively. Payments under the TRA that are on account of liabilities arising in connection with the Business Combination will be revalued at the end of each reporting period with the gain or loss recognized in earnings. As of March 31, 2026 and December 31, 2025, the Company carried $8.6 million and $8.8 million, respectively, of its TRA liability at fair value, as it is contingent consideration from the Business Combination. The remaining portion of the TRA liability is carried at a value equal to the expected future payments under the TRA.</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As of March 31, 2026, holders of Class B Units have exchanged a total of 14,159,194 Class B Paired Interests with the Company, for shares of Class A Common Stock on a 1:1 basis totaling an amount equal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weighted average price of $5.21 multiplied by the total number of shares of Class A Common Stock received at the time of the transactions.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As of March 31, 2026, assuming no material changes in the relevant tax laws and that the Company generates sufficient taxable income to realize the full tax benefit of the increased amortization resulting from the increase in tax basis of certain of AlTi’s assets, we expect to pay approximately $30.6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Warrants</w:t>
      </w:r>
    </w:p>
    <w:p>
      <w:pPr>
        <w:pStyle w:val="TextBody"/>
        <w:bidi w:val="0"/>
        <w:spacing w:lineRule="auto" w:line="264" w:before="200" w:after="283"/>
        <w:jc w:val="both"/>
        <w:rPr>
          <w:rFonts w:ascii="Times New Roman;serif" w:hAnsi="Times New Roman;serif"/>
          <w:b w:val="false"/>
          <w:color w:val="000000"/>
          <w:sz w:val="22"/>
        </w:rPr>
      </w:pPr>
      <w:r>
        <w:rPr>
          <w:rFonts w:ascii="Times New Roman;serif" w:hAnsi="Times New Roman;serif"/>
          <w:b w:val="false"/>
          <w:color w:val="000000"/>
          <w:sz w:val="22"/>
        </w:rPr>
        <w:t>On March 27, 2024, the Company completed the initial issuance of Constellation Warrants to purchase 1,533,333 shares of the Company’s Class A Common Stock. On May 15, 2024, the Company completed the issuance of an additional tranche of Constellation Warrants to purchase 466,667 shares of the Company’s Class A Common Stock. As of March 31, 2026, none of the Constellation Warrants have been exercised.</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On July 31, 2024, the Company issued the Allianz Warrants to purchase 5,000,000 shares of the Company’s Class A Common Stock. As of March 31, 2026, none of the Allianz Warrants have been exercised.</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 xml:space="preserve">Business Combination Earn-out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March 31, 2026 and December 31, 2025, the fair value of the earn-out share liability was $5.1 million and $15.3 million, respectively, which is included in Earn-out liabilities, at fair value presented on the Condensed Consolidated Statements of Financial Position. </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East End Advisors Contingent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As of March 31, 2026 and December 31, 2025, the fair value of the earn-out share liability was $26.3 million and $25.3 million, respectively, which is included in Earn-out liabilities, at fair value presented on the Condensed Consolidated Statements of Financial Position.</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2"/>
        </w:rPr>
      </w:pPr>
      <w:r>
        <w:rPr>
          <w:rFonts w:ascii="Times New Roman;serif" w:hAnsi="Times New Roman;serif"/>
          <w:b/>
          <w:i/>
          <w:color w:val="000000"/>
          <w:sz w:val="22"/>
        </w:rPr>
        <w:t>Pointwise Deferred Consideration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May 9, 2024, the Company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estimated deferred consideration of $3.3 million. The deferred consideration was paid during the quarter ended March 31, 2025, in cash and equity totaling $3.4 million.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Envoi Earn-out Liability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July 1, 2024, the Company acquired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March 31, 2026 and December 31, 2025, the Envoi earn-out consideration liability of $7.8 million and $8.2 million, respectively, and the Envoi earn-out growth consideration liability of $1.5 million and $1.6 million, respectively, are included in Earn-out liabilities, at fair value presented on the Condensed Consolidated Statements of Financial Position.</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Kontora Earn-out Consideration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April 30, 2025, the Company acquired all of the issued and outstanding ownership interests of Kontora. 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tied to certain revenue streams acquired in the Kontora Acquisition between the Closing Date and December 31, 2035. As of March 31, 2026 and December 31, 2025, the Kontora earn-out liability of $7.0 million is reported in the Earn-out liabilities, at fair value, in the Condensed Consolidated Statements of Financial Position.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Indemnification Arrangements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Condensed Consolidated Statements of Financial Position. As of March 31, 2026, the Company has not had prior claims or losses pursuant to these contracts and expects the risk of material loss to be remote. </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2"/>
        </w:rPr>
      </w:pPr>
      <w:r>
        <w:rPr>
          <w:rFonts w:ascii="Times New Roman;serif" w:hAnsi="Times New Roman;serif"/>
          <w:b/>
          <w:color w:val="000000"/>
          <w:sz w:val="22"/>
        </w:rPr>
        <w:t>Litigation</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 named as a defendant in legal or regulatory actions. Although there can be no assurance of the outcome of such matters, management’s current assessment is that no loss contingency reserve is required to be recorded as of March 31, 2026 for any potential liability related to any current legal or regulatory proceeding or claim that would individually or in the aggregate materially affect our results of operations, financial position, or cash flows.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11, 2025, after conducting the previously announced strategic review of the International Real Estate Businesses, the Company approved the appointment of the Administrators for the International Real Estate Businesses. Potential litigation related to that business, including Home REIT and HLIF below, will be dealt with as appropriate by the Administrators.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Home REIT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Home REIT is a real estate investment trust company listed on the London Stock Exchange. AFM UK, a wholly owned subsidiary of the Company, is one of the International Real Estate entities which entered into administration, and was Home REIT’s alternative investment fund manager (“AIFM”) until August 21, 2023 and AHRA was its investment adviser until June 30, 2023. Services are no longer provided by any AlTi companies or any legacy Alvarium companies to Home REIT. AHRA was owned by ARE (another wholly owned subsidiary of the Company, and one of the International Real Estate entities which entered into administration) up until December 30, 2022, when it was sold. AlTi was formed on January 3, 2023, through the Business Combination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6, 2023, pre-action steps were commenced by a law firm acting on behalf of a group of current and former shareholders in Home REIT (in the UK, pre-action correspondence is required under the Practice Direction on Pre-Action Protocols and Conduct contained in the United Kingdom’s Ministry of Justice Civil Procedure Rules prior to a claimant commencing litigation). In the pre-action correspondence, the claimant group alleges that there were misstatements in Home REIT’s offering documents and certain other public filings between 2020 and 2022 and asserts potential claims against AFM UK and ARE (as well as against Home REIT itself and its directors, among others) in connection with such matters and the historic management and advisory services provided to Home REIT by certain legacy Alvarium companies. </w:t>
      </w:r>
    </w:p>
    <w:p>
      <w:pPr>
        <w:pStyle w:val="TextBody"/>
        <w:bidi w:val="0"/>
        <w:spacing w:lineRule="auto" w:line="288" w:before="0" w:after="160"/>
        <w:jc w:val="both"/>
        <w:rPr/>
      </w:pPr>
      <w:r>
        <w:rPr>
          <w:rFonts w:ascii="Times New Roman;serif" w:hAnsi="Times New Roman;serif"/>
          <w:b w:val="false"/>
          <w:color w:val="000000"/>
          <w:sz w:val="22"/>
        </w:rPr>
        <w:t>On April 12, 2024, pre-action steps were commenced by Home REIT and its directors against AFM UK and ARE. This relates to the historic management of Home REIT by certain legacy Alvarium companies. In the pre-action correspondence, Home REIT and its directors assert potential claims against AFM</w:t>
      </w:r>
      <w:r>
        <w:rPr>
          <w:color w:val="000000"/>
        </w:rPr>
        <w:t xml:space="preserve"> </w:t>
      </w:r>
      <w:r>
        <w:rPr>
          <w:rFonts w:ascii="Times New Roman;serif" w:hAnsi="Times New Roman;serif"/>
          <w:b w:val="false"/>
          <w:color w:val="000000"/>
          <w:sz w:val="22"/>
        </w:rPr>
        <w:t xml:space="preserve">UK and ARE and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acts or omissions of AHRA under the UK’s appointed representative regime.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developments in the potential litigation relating to Home REIT since the appointment of administrators on July 11, 2025.</w:t>
      </w:r>
    </w:p>
    <w:p>
      <w:pPr>
        <w:pStyle w:val="TextBody"/>
        <w:bidi w:val="0"/>
        <w:spacing w:lineRule="auto" w:line="276" w:before="0" w:after="160"/>
        <w:jc w:val="both"/>
        <w:rPr>
          <w:rFonts w:ascii="Times New Roman;serif" w:hAnsi="Times New Roman;serif"/>
          <w:b w:val="false"/>
          <w:i/>
          <w:color w:val="000000"/>
          <w:sz w:val="22"/>
        </w:rPr>
      </w:pPr>
      <w:r>
        <w:rPr>
          <w:rFonts w:ascii="Times New Roman;serif" w:hAnsi="Times New Roman;serif"/>
          <w:b w:val="false"/>
          <w:i/>
          <w:color w:val="000000"/>
          <w:sz w:val="22"/>
        </w:rPr>
        <w:t>HLIF</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HLIF is a private fund which pursues a similar investment strategy to Home REIT.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was managed by AFM UK as its AIFM and ‘authorized corporate director’ and was advised by SHIA, (one of the International Real Estate entities which entered into administration), until August 2025, when management of HLIF was transitioned to a third party manager and AFM UK’s and SHIA’s services were terminated. Like AHRA, SHIA was permitted to perform certain limited regulated activities as an “appointed representative” of its regulated principal firm, ARE.</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 February 2024, the UK FCA commenced investigations into the historic performance of certain International Real Estate entities, in their services to Home REIT and/or HLIF, and whether they breached certain civil or criminal regulatory rules and/or principles. The investigations relate to the historic management of Home REIT and/or HLIF by certain legacy Alvarium companies. The investigations are focused primarily on whether any false or misleading statements were made in relation to Home REIT and/or HLIF and/or whether these group entities breached other FCA rules and/or principles. ARE and AFM UK have voluntarily requested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imposition of requirements by the UK FCA which primarily involves the companies agreeing to maintain their current assets and not undertaking any new business without UK FCA consent.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We are not able to estimate how long it might take for the UK FCA to complete such investigations, but it is possible that the investigations may continue for a prolonged period, potentially over several years.</w:t>
      </w:r>
    </w:p>
    <w:p>
      <w:pPr>
        <w:pStyle w:val="TextBody"/>
        <w:bidi w:val="0"/>
        <w:spacing w:lineRule="auto" w:line="268" w:before="0" w:after="160"/>
        <w:jc w:val="both"/>
        <w:rPr>
          <w:rFonts w:ascii="Times New Roman;serif" w:hAnsi="Times New Roman;serif"/>
          <w:b w:val="false"/>
          <w:i/>
          <w:color w:val="000000"/>
          <w:sz w:val="22"/>
        </w:rPr>
      </w:pPr>
      <w:r>
        <w:rPr>
          <w:rFonts w:ascii="Times New Roman;serif" w:hAnsi="Times New Roman;serif"/>
          <w:b w:val="false"/>
          <w:i/>
          <w:color w:val="000000"/>
          <w:sz w:val="22"/>
        </w:rPr>
        <w:t>Potential Redress in Relation to Real Estate Products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As part of ongoing examinations with regulators and our review of client relationships, it has been agreed, that if certain conditions are met, redress will be paid to a limited number of clients in relation to certain Real Estate Products. As of the issuance of these financial statements all impacted clients have been informed of this proposal.</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As of the three months ended March 31, 2026, a provision of $3.6 million has been recognized in relation to this potential future liability. The ultimate loss could differ from the accrued amount. </w:t>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Tolleson Wealth Management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was involved in a dispute with Tolleson related to alleged improper solicitation of Tolleson’s clients and employees. Certain former Tolleson employees who joined AlTi were party to Tolleson employment agreements which contained a one-year client and employee non-solicit and a lost client fee clause requiring payment for lost revenue.</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 September 2024, despite offers by the Company to pay for the departed clients, Tolleson filed a lawsuit against AlTi and the former Tolleson employees. The parties reached an agreement later in September 2024, dismissing the litigation and agreeing to mediation.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and Tolleson entered a binding settlement agreement on February 19, 2025, memorializing the terms agreed to in mediation and concluding this matter. On March 13, 2025, the settlement amount of $5.1 million was paid by the Company to Tolleson.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Critical Accounting Estimates</w:t>
      </w:r>
    </w:p>
    <w:p>
      <w:pPr>
        <w:pStyle w:val="TextBody"/>
        <w:bidi w:val="0"/>
        <w:spacing w:lineRule="auto" w:line="288" w:before="200" w:after="160"/>
        <w:jc w:val="both"/>
        <w:rPr/>
      </w:pPr>
      <w:r>
        <w:rPr>
          <w:rFonts w:ascii="Times New Roman;serif" w:hAnsi="Times New Roman;serif"/>
          <w:b w:val="false"/>
          <w:color w:val="000000"/>
          <w:sz w:val="22"/>
        </w:rPr>
        <w:t>We prepare our condensed consolidated financial statements in accordance with US GAAP. In applying many of these accounting principles, we need to make assumptions, estimates, and/or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and/or judgments, however, are both subjective and subject to 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 factors.</w:t>
      </w:r>
      <w:r>
        <w:rPr>
          <w:color w:val="FF0000"/>
        </w:rPr>
        <w:t xml:space="preserve"> </w:t>
      </w:r>
      <w:r>
        <w:rPr>
          <w:rFonts w:ascii="Times New Roman;serif" w:hAnsi="Times New Roman;serif"/>
          <w:b w:val="false"/>
          <w:color w:val="000000"/>
          <w:sz w:val="22"/>
        </w:rPr>
        <w:t>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consolidated financial statements included in the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60"/>
        <w:jc w:val="both"/>
        <w:rPr>
          <w:rFonts w:ascii="Times New Roman;serif" w:hAnsi="Times New Roman;serif"/>
          <w:b/>
          <w:color w:val="000000"/>
          <w:sz w:val="22"/>
        </w:rPr>
      </w:pPr>
      <w:r>
        <w:rPr>
          <w:rFonts w:ascii="Times New Roman;serif" w:hAnsi="Times New Roman;serif"/>
          <w:b/>
          <w:color w:val="000000"/>
          <w:sz w:val="22"/>
        </w:rPr>
        <w:t>Impact of Changes in Accounting on Recent and Future Trends</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We believe that none of the changes to US GAAP that went into effect during the period ended March 31, 2026 have substantively impacted our recent trends or are expected to substantively impact our future trends. The Company is currently evaluating the impact of new accounting pronouncements not yet adopted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160"/>
        <w:jc w:val="both"/>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 the normal course of business as a wealth management advisor, we are exposed to a broad range of risks inherent in the financial markets in which we participate, including market risk, credit and counterparty risk, liquidity risk, and exchange rate risk. </w:t>
      </w:r>
    </w:p>
    <w:p>
      <w:pPr>
        <w:pStyle w:val="TextBody"/>
        <w:bidi w:val="0"/>
        <w:spacing w:lineRule="auto" w:line="268" w:before="0" w:after="160"/>
        <w:jc w:val="left"/>
        <w:rPr>
          <w:rFonts w:ascii="Times New Roman;serif" w:hAnsi="Times New Roman;serif"/>
          <w:b/>
          <w:i/>
          <w:color w:val="000000"/>
          <w:sz w:val="22"/>
        </w:rPr>
      </w:pPr>
      <w:r>
        <w:rPr>
          <w:rFonts w:ascii="Times New Roman;serif" w:hAnsi="Times New Roman;serif"/>
          <w:b/>
          <w:i/>
          <w:color w:val="000000"/>
          <w:sz w:val="22"/>
        </w:rPr>
        <w:t>Market Risk</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Our revenue is predominantly derived from investment management or advisory fees, incentive fees, and distributions from investments. Management fees are generally calculated based on a percentage of the value of billable AUM or AUA (as applicable), while incentive fees are driven by the underlying performance of managed portfolios. The market price of investments may significantly fluctuate during the period of investment and should their value decline, our fees may decline accordingly. Investments may decline in value due to factors affecting securities markets generally or particular industries represented in the securities markets. The value of an investment may decline due to general market conditions, which are not specifically related to such investment, such as real or perceived adverse economic conditions, changes in the general outlook for corporate earnings, changes in interest or currency rates, or adverse investor sentiment generally. It may also decline due to factors that affect a particular industry or industries, such as labor shortages or increased production costs and competitive conditions within an industry. The impact of changes in market risk on client specific liquidity or overall financial position may result in clients changing their asset holdings, including increasing or decreasing the non-billable portion of their asset portfolios. Such changes will also impact our fees.</w:t>
      </w:r>
    </w:p>
    <w:p>
      <w:pPr>
        <w:pStyle w:val="TextBody"/>
        <w:bidi w:val="0"/>
        <w:spacing w:lineRule="auto" w:line="288" w:before="200" w:after="160"/>
        <w:jc w:val="left"/>
        <w:rPr>
          <w:rFonts w:ascii="Times New Roman;serif" w:hAnsi="Times New Roman;serif"/>
          <w:b/>
          <w:i/>
          <w:color w:val="000000"/>
          <w:sz w:val="22"/>
        </w:rPr>
      </w:pPr>
      <w:r>
        <w:rPr>
          <w:rFonts w:ascii="Times New Roman;serif" w:hAnsi="Times New Roman;serif"/>
          <w:b/>
          <w:i/>
          <w:color w:val="000000"/>
          <w:sz w:val="22"/>
        </w:rPr>
        <w:t>Credit Risk and Counterparty Risk</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We are party to agreements where we provide services, and such transactions contain an element of risk in the event that the counterparties are unable to meet the terms of such agreements. In such agreements, we depend on the counterparty to make payment or otherwise perform. We generally endeavor to minimize our risk of exposure through reviews of the financial position of new clients and through collection of fees directly from client portfolios. For clients that generate fees from carried interest and/or preferred return, we periodically review the receivables for collectability and will make appropriate provision for credit losses, should circumstances warrant. Additionally, our ability to secure credit from financial institutions and other lenders may be uncertain due to market conditions, and under certain circumstances we may not be able to access financing.</w:t>
      </w:r>
    </w:p>
    <w:p>
      <w:pPr>
        <w:pStyle w:val="TextBody"/>
        <w:bidi w:val="0"/>
        <w:spacing w:lineRule="auto" w:line="288" w:before="200" w:after="160"/>
        <w:jc w:val="both"/>
        <w:rPr>
          <w:rFonts w:ascii="Times New Roman;serif" w:hAnsi="Times New Roman;serif"/>
          <w:b/>
          <w:i/>
          <w:color w:val="000000"/>
          <w:sz w:val="22"/>
        </w:rPr>
      </w:pPr>
      <w:r>
        <w:rPr>
          <w:rFonts w:ascii="Times New Roman;serif" w:hAnsi="Times New Roman;serif"/>
          <w:b/>
          <w:i/>
          <w:color w:val="000000"/>
          <w:sz w:val="22"/>
        </w:rPr>
        <w:t>Liquidity Risk</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See the disclosures contained in “Management’s Discussion and Analysis of Financial Condition and Results of Operations of AlTi Global, Inc. – Liquidity and Capital Resources” for a discussion of our liquidity risk.</w:t>
      </w:r>
    </w:p>
    <w:p>
      <w:pPr>
        <w:pStyle w:val="TextBody"/>
        <w:bidi w:val="0"/>
        <w:spacing w:lineRule="auto" w:line="268" w:before="200" w:after="160"/>
        <w:jc w:val="both"/>
        <w:rPr>
          <w:rFonts w:ascii="Times New Roman;serif" w:hAnsi="Times New Roman;serif"/>
          <w:b/>
          <w:i/>
          <w:color w:val="000000"/>
          <w:sz w:val="22"/>
        </w:rPr>
      </w:pPr>
      <w:r>
        <w:rPr>
          <w:rFonts w:ascii="Times New Roman;serif" w:hAnsi="Times New Roman;serif"/>
          <w:b/>
          <w:i/>
          <w:color w:val="000000"/>
          <w:sz w:val="22"/>
        </w:rPr>
        <w:t>Exchange Rate Risk</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We and our funds hold investments that are denominated in foreign currencies that may be affected by movements in the rate of exchange between those currencies and the U.S. dollar. Movements in the exchange rate between currencies impact the management fees and incentive fees earned by funds with fee paying AUM denominated in foreign currencies as well as by funds with fee paying 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We monitor our exposure to exchange rate risks in the course of our regular operating activities, wherein we utilize payments received in foreign currencies to fulfill obligations in foreign currencies. When appropriate, we will use derivative financial instruments to hedge the net foreign currency exposure from certain direct investments denominated in foreign currencies and the cash flow exposure from our foreign based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Securities Exchange Act of 1934 (the “Exchange Act”)) as of March 31, 2026. Disclosure controls and procedures are designed to provide reasonable assurance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as of March 31, 2026, our disclosure controls and procedures were not fully effective due to remaining material weaknesses in internal control over financial reporting, as further described below in Management’s Report on Internal Control Over Financial Reporting.</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Based on its assessment of the Company’s internal control over financial reporting, including the progress during 2025 to remediate control weaknesses previously identified, the following updates to remediating material weaknesses in our internal control over financial reporting remain as of March 31, 2026, are discussed below.</w:t>
      </w:r>
    </w:p>
    <w:p>
      <w:pPr>
        <w:pStyle w:val="TextBody"/>
        <w:bidi w:val="0"/>
        <w:spacing w:lineRule="auto" w:line="264" w:before="0" w:after="160"/>
        <w:jc w:val="left"/>
        <w:rPr>
          <w:rFonts w:ascii="Times New Roman;serif" w:hAnsi="Times New Roman;serif"/>
          <w:b/>
          <w:color w:val="000000"/>
          <w:sz w:val="22"/>
        </w:rPr>
      </w:pPr>
      <w:r>
        <w:rPr>
          <w:rFonts w:ascii="Times New Roman;serif" w:hAnsi="Times New Roman;serif"/>
          <w:b/>
          <w:color w:val="000000"/>
          <w:sz w:val="22"/>
        </w:rPr>
        <w:t>Management’s Report on Internal Control Over Financial Reporting</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Our management, including our Chief Executive Officer and Chief Financial Officer,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reporting purposes in accordance with US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the transactions are recorded as necessary to permit preparation of financial statements in accordance with US GAAP, and that the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Our management (with the supervision and participation of our Chief Executive Officer and Chief Financial Officer) conducted an evaluation of the effectiveness of our internal control over financial reporting based on the framework in Internal Control - Integrated Framework issued in 2013 by the Committee of Sponsoring Organizations of the Treadway Commission. Based on this evaluation, management concluded that our internal control over financial reporting was not effective as of December 31, 2025.</w:t>
      </w:r>
    </w:p>
    <w:p>
      <w:pPr>
        <w:pStyle w:val="TextBody"/>
        <w:bidi w:val="0"/>
        <w:spacing w:lineRule="auto" w:line="288" w:before="0" w:after="160"/>
        <w:jc w:val="both"/>
        <w:rPr/>
      </w:pPr>
      <w:r>
        <w:rPr>
          <w:rFonts w:ascii="Times New Roman;serif" w:hAnsi="Times New Roman;serif"/>
          <w:b w:val="false"/>
          <w:color w:val="000000"/>
          <w:sz w:val="22"/>
        </w:rPr>
        <w:t xml:space="preserve">As previously disclosed in Part II, Item 9A of our Annual Report on Form 10-K, management identified one of the three remaining material weaknesses in internal control over financial reporting relating to </w:t>
      </w:r>
      <w:r>
        <w:rPr>
          <w:rFonts w:ascii="Times New Roman;serif" w:hAnsi="Times New Roman;serif"/>
          <w:b w:val="false"/>
          <w:color w:val="0D0D0D"/>
          <w:sz w:val="22"/>
        </w:rPr>
        <w:t>insufficiently documented process-level controls</w:t>
      </w:r>
      <w:r>
        <w:rPr>
          <w:color w:val="000000"/>
        </w:rPr>
        <w:t xml:space="preserve"> </w:t>
      </w:r>
      <w:r>
        <w:rPr>
          <w:rFonts w:ascii="Times New Roman;serif" w:hAnsi="Times New Roman;serif"/>
          <w:b w:val="false"/>
          <w:color w:val="000000"/>
          <w:sz w:val="22"/>
        </w:rPr>
        <w:t xml:space="preserve">that support our financial statements and reporting. Further, management has commenced extensive remediation efforts, but as of March 31, 2026, has partially completed its testing plan to determine the effectiveness of controls that support our financial statements and reporting.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has implemented a remediation plan to address the material weaknesses in our internal control over financial reporting, including, among other things, completing its efforts to design and implement process level and management review controls and sufficiently documenting and implementing policies to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reasonable assurance that financial statement disclosures are complete and accurate and identify and address emerging risks.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March 31, 2026, management continued to focus on enhancing its internal control over financial reporting. These actions includes the following:</w:t>
      </w:r>
    </w:p>
    <w:p>
      <w:pPr>
        <w:pStyle w:val="TextBody"/>
        <w:bidi w:val="0"/>
        <w:spacing w:before="0" w:after="0"/>
        <w:jc w:val="both"/>
        <w:rPr/>
      </w:pPr>
      <w:r>
        <w:rPr/>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2"/>
        </w:rPr>
        <w:t>Management has designed and implemented risk assessment review processes (risk assessment and gap analysis) that are intended to identify risks that could result, if not detected timely, in material misstatements in our consolidated financial statements. Management believes that such review risk assessment processes have been effectively implemented as of December 31, 2024 but the design has been an ongoing calibration to maintain operational sustainability.</w:t>
      </w:r>
    </w:p>
    <w:p>
      <w:pPr>
        <w:pStyle w:val="TextBody"/>
        <w:bidi w:val="0"/>
        <w:spacing w:lineRule="auto" w:line="268" w:before="0" w:after="160"/>
        <w:ind w:left="0" w:right="0" w:hanging="360"/>
        <w:jc w:val="both"/>
        <w:rPr/>
      </w:pPr>
      <w:r>
        <w:rPr>
          <w:color w:val="000000"/>
        </w:rPr>
        <w:t>•</w:t>
      </w:r>
      <w:r>
        <w:rPr>
          <w:rFonts w:ascii="Times New Roman;serif" w:hAnsi="Times New Roman;serif"/>
          <w:b w:val="false"/>
          <w:color w:val="000000"/>
          <w:sz w:val="22"/>
        </w:rPr>
        <w:t>Management has identified and documented processes supporting the recording of balances and transactions in the Company’s consolidated financial statements. The Company completed the exercise of documenting controls during the first fiscal quarter of 2025 and began tests of design and operating effectiveness of certain controls for the second and third quarter of 2025. The Company intends to continue tests of design and operating effectiveness of certain controls during 2026. However, these controls are not operating effectively as of March 31, 2026.</w:t>
      </w:r>
    </w:p>
    <w:p>
      <w:pPr>
        <w:pStyle w:val="TextBody"/>
        <w:bidi w:val="0"/>
        <w:spacing w:lineRule="auto" w:line="268" w:before="0" w:after="160"/>
        <w:ind w:left="0" w:right="0" w:hanging="360"/>
        <w:jc w:val="both"/>
        <w:rPr/>
      </w:pPr>
      <w:r>
        <w:rPr>
          <w:color w:val="000000"/>
        </w:rPr>
        <w:t>•</w:t>
      </w:r>
      <w:r>
        <w:rPr>
          <w:rFonts w:ascii="Times New Roman;serif" w:hAnsi="Times New Roman;serif"/>
          <w:b w:val="false"/>
          <w:color w:val="000000"/>
          <w:sz w:val="22"/>
        </w:rPr>
        <w:t>Management has identified and documented information technology controls related to the Company’s general information technology control environment that mitigates risks associated with items including systems development and change management, appropriate access to systems, and management of the Company’s internal financial and third-party customer data. The Company completed the exercise of documenting controls during the second and third fiscal quarters of 2025 and completed tests of design and operating effectiveness of certain controls. The Company’s objective is that such testing of operating effectiveness of controls were maintained throughout 2026 and beyond to allow the Company to sustain remediation of previously identified material weaknesses in its internal control over financial reporting specifically related to information technology controls.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As we will no longer be an emerging growth company effective December 31, 2026, we expect to incur additional material costs to complete the remediation plan, including costs incurred by our external auditor to assess whether all material weaknesses have been remediated. We can give no assurance that such efforts will remediate these deficiencies in internal control over financial reporting or that additional material weaknesses in our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our reporting obligations, any of which could diminish investor confidence, cause a decline in the price of the Class A Common Stock, and limit our ability to access capital markets.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The material weaknesses, if not remediated, could result in misstatements of accounts or disclosures that would result in a material misstatement to the annual consolidated financial statements or the interim consolidated financial statements that would not be prevented or detected.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management anticipates that our internal control over financial reporting will not be fully effective until the above material weaknesses are remediated. If our remediation of these material weaknesses is not effective, or 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6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Board of Directors appointed Nancy Curtin as Interim Chief Executive Officer, effective March 30, 2026. Other than the hiring of our new Interim Chief Executive Officer and the information discussed above, there were no changes in our internal control over financial reporting that occurred during the quarter ended March 31, 2026, covered by this Quarterly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2"/>
        </w:rPr>
      </w:pPr>
      <w:r>
        <w:rPr>
          <w:rFonts w:ascii="Times New Roman;serif" w:hAnsi="Times New Roman;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From time to time, we may be involved in various legal proceedings, lawsuits, and claims incidental to the conduct of its business, some of which may be material. Our businesses are also subject to extensive regulation, which may result in regulatory proceedings against us. To our knowledge, other than what we disclosed in the Litigation sections in Note 20 (Commitments and Contingencies) there are no material legal or regulatory proceedings currently pending or threatened against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changes in the risk factors described in Part I, Item 1A “Risk Factors”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31F20"/>
          <w:sz w:val="22"/>
        </w:rPr>
      </w:pPr>
      <w:r>
        <w:rPr>
          <w:rFonts w:ascii="Times New Roman;serif" w:hAnsi="Times New Roman;serif"/>
          <w:b w:val="false"/>
          <w:color w:val="231F2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both"/>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a) None.</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b) None.</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 During the quarter ended March 31, 2026, no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exhibits are filed or furnished herewith:</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47"/>
        <w:gridCol w:w="392"/>
        <w:gridCol w:w="395"/>
        <w:gridCol w:w="2620"/>
        <w:gridCol w:w="2620"/>
        <w:gridCol w:w="3731"/>
      </w:tblGrid>
      <w:tr>
        <w:trPr/>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Exhibit Number</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Description</w:t>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31.1*</w:t>
            </w:r>
          </w:p>
        </w:tc>
        <w:tc>
          <w:tcPr>
            <w:tcW w:w="8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alti-33126x10xkexhibit311.htm">
              <w:r>
                <w:rPr>
                  <w:rStyle w:val="InternetLink"/>
                  <w:rFonts w:ascii="Times New Roman;serif" w:hAnsi="Times New Roman;serif"/>
                  <w:b w:val="false"/>
                  <w:color w:val="0000FF"/>
                  <w:sz w:val="22"/>
                  <w:u w:val="single"/>
                </w:rPr>
                <w:t>Certification of Principal Executive Officer Pursuant to Rules 13a-14(a) and 15d-14(a) under the Securities Exchange Act of 1934, as Adopted Pursuant to Section 302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31.2*</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33126x10xkexhibit312.htm">
              <w:r>
                <w:rPr>
                  <w:rStyle w:val="InternetLink"/>
                  <w:rFonts w:ascii="Times New Roman;serif" w:hAnsi="Times New Roman;serif"/>
                  <w:b w:val="false"/>
                  <w:color w:val="0000FF"/>
                  <w:sz w:val="22"/>
                  <w:u w:val="single"/>
                </w:rPr>
                <w:t>Certification of Principal Financial Officer Pursuant to Rules 13a-14(a) and 15d-14(a) under the Securities Exchange Act of 1934, as Adopted Pursuant to Section 302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32.1**</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33126x10xkexhibit321.htm">
              <w:r>
                <w:rPr>
                  <w:rStyle w:val="InternetLink"/>
                  <w:rFonts w:ascii="Times New Roman;serif" w:hAnsi="Times New Roman;serif"/>
                  <w:b w:val="false"/>
                  <w:color w:val="0000FF"/>
                  <w:sz w:val="22"/>
                  <w:u w:val="single"/>
                </w:rPr>
                <w:t>Certification of Principal Executive Officer Pursuant to 18 U.S.C. Section 1350, as Adopted Pursuant to Section 906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32.2**</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33126x10xkexhibit322.htm">
              <w:r>
                <w:rPr>
                  <w:rStyle w:val="InternetLink"/>
                  <w:rFonts w:ascii="Times New Roman;serif" w:hAnsi="Times New Roman;serif"/>
                  <w:b w:val="false"/>
                  <w:color w:val="0000FF"/>
                  <w:sz w:val="22"/>
                  <w:u w:val="single"/>
                </w:rPr>
                <w:t>Certification of Principal Financial Officer Pursuant to 18 U.S.C. Section 1350, as Adopted Pursuant to Section 906 of the Sarbanes-Oxley Act of 2002.</w:t>
              </w:r>
            </w:hyperlink>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Furnished herewith.</w:t>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Indicates a management contract or compensatory plan.</w:t>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68" w:before="36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as amended, the registrant has duly caused this report to be signed on its behalf by the undersigned thereunto duly authorized. </w:t>
      </w:r>
    </w:p>
    <w:tbl>
      <w:tblPr>
        <w:tblW w:w="5536"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1019"/>
        <w:gridCol w:w="1019"/>
        <w:gridCol w:w="1022"/>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ALTI GLOBAL,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Nancy Curtin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Nancy Curtin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Interim Chief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W. Harrington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Michael W. Harrington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Patrick Keenan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Patrick Keenan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Accounting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(Principal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pStyle w:val="TextBody"/>
        <w:bidi w:val="0"/>
        <w:spacing w:before="360" w:after="283"/>
        <w:jc w:val="both"/>
        <w:rPr/>
      </w:pPr>
      <w:r>
        <w:rPr/>
      </w:r>
    </w:p>
    <w:p>
      <w:pPr>
        <w:pStyle w:val="TextBody"/>
        <w:bidi w:val="0"/>
        <w:spacing w:before="360" w:after="283"/>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31.1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OF CHIEF EXECUTIVE OFFICER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Nancy Curtin,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May 11, 2026</w:t>
      </w:r>
    </w:p>
    <w:tbl>
      <w:tblPr>
        <w:tblW w:w="2715" w:type="dxa"/>
        <w:jc w:val="left"/>
        <w:tblInd w:w="0" w:type="dxa"/>
        <w:tblLayout w:type="fixed"/>
        <w:tblCellMar>
          <w:top w:w="28" w:type="dxa"/>
          <w:left w:w="28" w:type="dxa"/>
          <w:bottom w:w="28" w:type="dxa"/>
          <w:right w:w="28" w:type="dxa"/>
        </w:tblCellMar>
      </w:tblPr>
      <w:tblGrid>
        <w:gridCol w:w="869"/>
        <w:gridCol w:w="762"/>
        <w:gridCol w:w="108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Nancy Curtin</w:t>
            </w:r>
          </w:p>
        </w:tc>
      </w:tr>
      <w:tr>
        <w:trPr/>
        <w:tc>
          <w:tcPr>
            <w:tcW w:w="27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Nancy Curtin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31.2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OF CHIEF FINANCIAL OFFICER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Michael W. Harrington,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May 11, 2026</w:t>
      </w:r>
    </w:p>
    <w:tbl>
      <w:tblPr>
        <w:tblW w:w="2430" w:type="dxa"/>
        <w:jc w:val="left"/>
        <w:tblInd w:w="0" w:type="dxa"/>
        <w:tblLayout w:type="fixed"/>
        <w:tblCellMar>
          <w:top w:w="28" w:type="dxa"/>
          <w:left w:w="28" w:type="dxa"/>
          <w:bottom w:w="28" w:type="dxa"/>
          <w:right w:w="28" w:type="dxa"/>
        </w:tblCellMar>
      </w:tblPr>
      <w:tblGrid>
        <w:gridCol w:w="777"/>
        <w:gridCol w:w="684"/>
        <w:gridCol w:w="969"/>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W. Harrington</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Michael W. Harrington</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32.1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18 U.S.C. SECTION 1350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906 OF THE SARBANES-OXLEY ACT OF 2002 </w:t>
      </w:r>
    </w:p>
    <w:p>
      <w:pPr>
        <w:pStyle w:val="TextBody"/>
        <w:bidi w:val="0"/>
        <w:spacing w:lineRule="auto" w:line="240"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Quarterly Report of AlTi Global, Inc. (the “Company”) on Form 10-Q for the quarterly period ended March 31, 2026, as filed with the Securities and Exchange Commission (the “Report”), I, Nancy Curtin, Interim Chief Executive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Dated: May 11, 2026</w:t>
      </w:r>
    </w:p>
    <w:tbl>
      <w:tblPr>
        <w:tblW w:w="2715" w:type="dxa"/>
        <w:jc w:val="left"/>
        <w:tblInd w:w="0" w:type="dxa"/>
        <w:tblLayout w:type="fixed"/>
        <w:tblCellMar>
          <w:top w:w="28" w:type="dxa"/>
          <w:left w:w="28" w:type="dxa"/>
          <w:bottom w:w="28" w:type="dxa"/>
          <w:right w:w="28" w:type="dxa"/>
        </w:tblCellMar>
      </w:tblPr>
      <w:tblGrid>
        <w:gridCol w:w="869"/>
        <w:gridCol w:w="762"/>
        <w:gridCol w:w="108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Nancy Curtin</w:t>
            </w:r>
          </w:p>
        </w:tc>
      </w:tr>
      <w:tr>
        <w:trPr/>
        <w:tc>
          <w:tcPr>
            <w:tcW w:w="27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Nancy Curtin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32.2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18 U.S.C. SECTION 1350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906 OF THE SARBANES-OXLEY ACT OF 2002 </w:t>
      </w:r>
    </w:p>
    <w:p>
      <w:pPr>
        <w:pStyle w:val="TextBody"/>
        <w:bidi w:val="0"/>
        <w:spacing w:lineRule="auto" w:line="240"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Quarterly Report of AlTi Global, Inc. (the “Company”) on Form 10-Q for the quarterly period ended March 31, 2026, as filed with the Securities and Exchange Commission (the “Report”), I, Michael W. Harrington, Chief Financial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Dated: May 11, 2026</w:t>
      </w:r>
    </w:p>
    <w:tbl>
      <w:tblPr>
        <w:tblW w:w="2430" w:type="dxa"/>
        <w:jc w:val="left"/>
        <w:tblInd w:w="0" w:type="dxa"/>
        <w:tblLayout w:type="fixed"/>
        <w:tblCellMar>
          <w:top w:w="28" w:type="dxa"/>
          <w:left w:w="28" w:type="dxa"/>
          <w:bottom w:w="28" w:type="dxa"/>
          <w:right w:w="28" w:type="dxa"/>
        </w:tblCellMar>
      </w:tblPr>
      <w:tblGrid>
        <w:gridCol w:w="777"/>
        <w:gridCol w:w="684"/>
        <w:gridCol w:w="969"/>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W. Harrington</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Michael W. Harrington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31072</Words>
  <Characters>174104</Characters>
  <CharactersWithSpaces>203170</CharactersWithSpaces>
  <Paragraphs>3912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