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AlTi Global,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160" w:type="dxa"/>
        <w:tblCellMar>
          <w:top w:w="0" w:type="dxa"/>
          <w:left w:w="0" w:type="dxa"/>
          <w:bottom w:w="0" w:type="dxa"/>
          <w:right w:w="0" w:type="dxa"/>
        </w:tblCellMar>
      </w:tblPr>
      <w:tr>
        <w:trPr>
          <w:trHeight w:val="221"/>
        </w:trPr>
        <w:tc>
          <w:tcPr>
            <w:tcW w:w="434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001-40103</w:t>
            </w:r>
          </w:p>
        </w:tc>
        <w:tc>
          <w:tcPr>
            <w:tcW w:w="1100" w:type="dxa"/>
            <w:vAlign w:val="bottom"/>
          </w:tcPr>
          <w:p>
            <w:pPr>
              <w:spacing w:after="0"/>
              <w:rPr>
                <w:sz w:val="19"/>
                <w:szCs w:val="19"/>
                <w:color w:val="auto"/>
              </w:rPr>
            </w:pPr>
          </w:p>
        </w:tc>
        <w:tc>
          <w:tcPr>
            <w:tcW w:w="29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92-1552220</w:t>
            </w:r>
          </w:p>
        </w:tc>
        <w:tc>
          <w:tcPr>
            <w:tcW w:w="0" w:type="dxa"/>
            <w:vAlign w:val="bottom"/>
          </w:tcPr>
          <w:p>
            <w:pPr>
              <w:spacing w:after="0"/>
              <w:rPr>
                <w:sz w:val="1"/>
                <w:szCs w:val="1"/>
                <w:color w:val="auto"/>
              </w:rPr>
            </w:pPr>
          </w:p>
        </w:tc>
      </w:tr>
      <w:tr>
        <w:trPr>
          <w:trHeight w:val="238"/>
        </w:trPr>
        <w:tc>
          <w:tcPr>
            <w:tcW w:w="43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3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261"/>
        </w:trPr>
        <w:tc>
          <w:tcPr>
            <w:tcW w:w="43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22 Vanderbilt Ave, 27th Floor</w:t>
            </w:r>
          </w:p>
        </w:tc>
        <w:tc>
          <w:tcPr>
            <w:tcW w:w="2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4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20" w:type="dxa"/>
            <w:vAlign w:val="bottom"/>
          </w:tcPr>
          <w:p>
            <w:pPr>
              <w:jc w:val="right"/>
              <w:ind w:right="1950"/>
              <w:spacing w:after="0"/>
              <w:rPr>
                <w:sz w:val="20"/>
                <w:szCs w:val="20"/>
                <w:color w:val="auto"/>
              </w:rPr>
            </w:pPr>
            <w:r>
              <w:rPr>
                <w:rFonts w:ascii="Times New Roman" w:cs="Times New Roman" w:eastAsia="Times New Roman" w:hAnsi="Times New Roman"/>
                <w:sz w:val="18"/>
                <w:szCs w:val="18"/>
                <w:b w:val="1"/>
                <w:bCs w:val="1"/>
                <w:color w:val="auto"/>
              </w:rPr>
              <w:t>10017</w:t>
            </w:r>
          </w:p>
        </w:tc>
        <w:tc>
          <w:tcPr>
            <w:tcW w:w="0" w:type="dxa"/>
            <w:vAlign w:val="bottom"/>
          </w:tcPr>
          <w:p>
            <w:pPr>
              <w:spacing w:after="0"/>
              <w:rPr>
                <w:sz w:val="1"/>
                <w:szCs w:val="1"/>
                <w:color w:val="auto"/>
              </w:rPr>
            </w:pPr>
          </w:p>
        </w:tc>
      </w:tr>
      <w:tr>
        <w:trPr>
          <w:trHeight w:val="238"/>
        </w:trPr>
        <w:tc>
          <w:tcPr>
            <w:tcW w:w="43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396-5900</w:t>
            </w:r>
          </w:p>
        </w:tc>
        <w:tc>
          <w:tcPr>
            <w:tcW w:w="1100" w:type="dxa"/>
            <w:vAlign w:val="bottom"/>
          </w:tcPr>
          <w:p>
            <w:pPr>
              <w:spacing w:after="0"/>
              <w:rPr>
                <w:sz w:val="20"/>
                <w:szCs w:val="20"/>
                <w:color w:val="auto"/>
              </w:rPr>
            </w:pPr>
          </w:p>
        </w:tc>
        <w:tc>
          <w:tcPr>
            <w:tcW w:w="292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680" w:type="dxa"/>
            <w:vAlign w:val="bottom"/>
            <w:gridSpan w:val="3"/>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0"/>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6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6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ALTI</w:t>
            </w:r>
          </w:p>
        </w:tc>
        <w:tc>
          <w:tcPr>
            <w:tcW w:w="10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ind w:left="820" w:right="60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Executive Officer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30, 2026, AlTi Global, Inc. (the “Company”) announced that the Board of Directors of the Company (the “Board”) and Michael Tiedemann, Chief Executive Officer of the Company, agreed that Mr. Tiedemann will step down as the Company’s Chief Executive Officer, effective March 30, 2026. Mr. Tiedemann’s departure is the result of a termination without “Cause” (as defined in that certain Amended and Restated Executive Employment and Restrictive Covenant Agreement, dated as of January 3, 2023, by and between the Company, Alvarium Tiedemann Holdings, Inc. and Mr. Tiedemann (the “Tiedemann Employment Agreement”)) and is not due to any disagreement with the Company. Mr. Tiedemann will be entitled to receive the severance payments and benefits, including certain equity award acceleration and vesting, set forth in the previously disclosed Tiedemann Employment Agreement, subject to the terms and conditions set forth therein.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his departure, effective March 30, 2026, Mr. Tiedemann resigned from the Board and from all officer, director and similar capacities with the Company and its 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Interim Chief Executive Officer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30, 2026, the Board appointed Nancy Curtin as the Company’s Interim Chief Executive Officer, effective March 30, 2026. Ms. Curtin currently serves, and will continue to serve, as the Global Chief Investment Officer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Board appointed Ms. Curtin to serve as a director to fill the vacancy created by Mr. Tiedemann’s departure.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Curtin, age 68, has served as the Company’s Global Chief Investment Officer since 2023. Prior to this role, Ms. Curtin served as the Chief Investment Officer and Head of Investments at Alvarium Investments from 2020 until it merged with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Curtin’s qualifications to serve on the Board include her extensive experience in investment management and her service as a director and chairperson of a U.S.-listed public company. Her role as our Interim Chief Executive Officer and prior service on our Board provide valuable familiarity with our business and strategy.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Ms. Curtin’s experience and service on other boards of directors is incorporated herein by reference to the Company’s definitive proxy statement filed with the Securities and Exchange Commission on May 10,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family relationship exists between Ms. Curtin and any of the Company’s directors, executive officers or persons nominated or chosen to become a director or executive officer. There are no arrangements or understandings between Ms. Curtin and any other person pursuant to which Ms. Curtin was selected as an officer of the Company, nor are there any transactions to which the Company is or was a participant and in which Ms. Curtin had or will have a direct or indirect material interest subject to disclosure under Item 404(a) of Regulation S-K.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Ms. Curtin’s appointment as the Company’s Interim Chief Executive Officer, the Board approved certain compensation terms to be reflected in a new employment agreement by and between the Company and Ms. Curtin expected to have a term of one year (the “Curtin Employment Agreement”), including the following:</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annual base salary to $600,000, effective immediately;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guaranteed cash bonus for fiscal year 2026 equal to $740,000;</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cash compensation of up to $1,300,000, payable as follows: (a) $700,000 payable immediately upon assuming the role of Interim Chief Executive Officer, as compensation for the first six months of service as the Company’s Interim Chief Executive Officer; and (b) $100,000 payable for each monthly period after the first six months of service as the Company’s Interim Chief Executive Officer, until the one-year anniversary of Ms. Curtin’s appointment as Interim Chief Executive Officer, for a total of $600,000 (the “Delayed Monthly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left="660" w:hanging="328"/>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amounts as follows: (a) in the event the Company appoints a successor Chief Executive Officer on or before the six-month anniversary of Ms. Curtin’s appointment as Interim Chief Executive Officer, to the extent Ms. Curtin continues to provide transitional services in addition to her role as Global Chief Investment Officer of the Company, Ms. Curtin shall be entitled to receive all Delayed Monthly Payments; and (b) in the event Ms. Curtin is terminated without cause or resigns for good reason as a result of a diminution of responsibilities related to her role as Global Chief Investment Officer of the Company, Ms. Curtin shall be entitled to receive severance payments equal to one year of base salary and cash bonus, in the amounts set forth above. Additionally, if such termination occurs following the six-month anniversary of Ms. Curtin’s appointment as Interim Chief Executive Officer, Ms. Curtin shall also be entitled to receive the Delayed Monthly Payments; and</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housing allowance of up to $12,000 per month.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Chief Operating Officer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these changes, on March 30, 2026, the Board approved the following compensation terms to be reflected in an Amendment to the Executive Employment and Restrictive Covenant Agreement (the “Amended Moran Employment Agreement”) of Kevin Moran, the Company’s Chief Operating Officer and President:</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annual base salary to $600,000, effective immediately;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target annual bonus to $1,600,000.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changes will be made to the terms of Mr. Moran’s previous employment agreement, as described in the Company’s 2025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31, 2026, Robert Weeber will no longer serve as President, International Wealth Management.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2026, the Company issued a press release announcing the departure of Mr. Tiedemann and the appointment of Ms. Curtin as Interim Chief Executive Officer. A copy of the press release is attached hereto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99.1 and the information set forth therein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(the “Securities Act”),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520" w:type="dxa"/>
            <w:vAlign w:val="bottom"/>
          </w:tcPr>
          <w:p>
            <w:pPr>
              <w:spacing w:after="0"/>
              <w:rPr>
                <w:sz w:val="20"/>
                <w:szCs w:val="20"/>
                <w:color w:val="auto"/>
              </w:rPr>
            </w:pPr>
          </w:p>
        </w:tc>
      </w:tr>
      <w:tr>
        <w:trPr>
          <w:trHeight w:val="453"/>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5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00" w:type="dxa"/>
            <w:vAlign w:val="bottom"/>
          </w:tcPr>
          <w:p>
            <w:pPr>
              <w:spacing w:after="0"/>
              <w:rPr>
                <w:sz w:val="15"/>
                <w:szCs w:val="15"/>
                <w:color w:val="auto"/>
              </w:rPr>
            </w:pPr>
          </w:p>
        </w:tc>
        <w:tc>
          <w:tcPr>
            <w:tcW w:w="95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dated March 31,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ALTI GLOBAL, INC.</w:t>
            </w:r>
          </w:p>
        </w:tc>
      </w:tr>
      <w:tr>
        <w:trPr>
          <w:trHeight w:val="234"/>
        </w:trPr>
        <w:tc>
          <w:tcPr>
            <w:tcW w:w="480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53"/>
        </w:trPr>
        <w:tc>
          <w:tcPr>
            <w:tcW w:w="4800" w:type="dxa"/>
            <w:vAlign w:val="bottom"/>
          </w:tcPr>
          <w:p>
            <w:pPr>
              <w:spacing w:after="0"/>
              <w:rPr>
                <w:sz w:val="24"/>
                <w:szCs w:val="24"/>
                <w:color w:val="auto"/>
              </w:rPr>
            </w:pPr>
          </w:p>
        </w:tc>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Graham</w:t>
            </w:r>
          </w:p>
        </w:tc>
      </w:tr>
      <w:tr>
        <w:trPr>
          <w:trHeight w:val="198"/>
        </w:trPr>
        <w:tc>
          <w:tcPr>
            <w:tcW w:w="4800" w:type="dxa"/>
            <w:vAlign w:val="bottom"/>
          </w:tcPr>
          <w:p>
            <w:pPr>
              <w:spacing w:after="0"/>
              <w:rPr>
                <w:sz w:val="17"/>
                <w:szCs w:val="17"/>
                <w:color w:val="auto"/>
              </w:rPr>
            </w:pPr>
          </w:p>
        </w:tc>
        <w:tc>
          <w:tcPr>
            <w:tcW w:w="6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Colleen Graham</w:t>
            </w:r>
          </w:p>
        </w:tc>
      </w:tr>
      <w:tr>
        <w:trPr>
          <w:trHeight w:val="234"/>
        </w:trPr>
        <w:tc>
          <w:tcPr>
            <w:tcW w:w="480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Compliance &amp; Risk Officer</w:t>
            </w:r>
          </w:p>
        </w:tc>
      </w:tr>
      <w:tr>
        <w:trPr>
          <w:trHeight w:val="533"/>
        </w:trPr>
        <w:tc>
          <w:tcPr>
            <w:tcW w:w="48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 Global, Inc. Announces CEO Transition, Appoints Nancy Curtin as Interim Chief Executive Officer</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NEW YORK—(BUSINESS WIRE)—Mar. 31, 2026—</w:t>
      </w:r>
      <w:r>
        <w:rPr>
          <w:rFonts w:ascii="Times New Roman" w:cs="Times New Roman" w:eastAsia="Times New Roman" w:hAnsi="Times New Roman"/>
          <w:sz w:val="18"/>
          <w:szCs w:val="18"/>
          <w:color w:val="auto"/>
        </w:rPr>
        <w:t>AlTi Global, Inc. (NASDAQ: ALTI) (“AlTi” or the “Company”), a leading independent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wealth manager with $93 billion in assets, today announced that Nancy Curtin has been appointed Interim Chief Executive Officer of AlTi and to its Board of Directors, effective immediately. Ms. Curtin is a member of the executive leadership team and serves as Global Chief Investment Officer of AlTi. She succeeds Michael Tiedemann, who will remain available in an advisory capacity to support the transition.</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behalf of the Board, I want to thank Mike for his many years of dedicated leadership,” said Timothy Keaney, Chair of the Board. “Mike’s vision and commitment have been instrumental in building the collaborative culture and relentless focus on delivering excellence for clients. This truly sets AlTi apart.”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the Company continues to build a leading global wealth and investment platform for ultra-high-net-worth families, foundations, and endowments, the Board believes it is an appropriate moment to identify an executive to lead AlTi in its next phase of growth. We are confident that under Nancy’s leadership we will build on the strong foundation established under Mike’s tenure, as we continue to strengthen our platform and expand the opportunities we bring to clients.”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“It has been my immense privilege to lead this Company since its inception,” said Mr. Tiedemann. “I am incredibly proud of what this team has built and grateful to the clients and partners who have been critical to our success.”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 am honored to step into the role of Interim CEO at this important juncture in AlTi’s growth trajectory,” said Ms. Curtin. “Over the past several years, AlTi has sharpened its strategic focus while maintaining a relentless commitment to excellence within the ultra-high-net-worth space. Given the strength of our institutional-quality platform, we will also continue to expand our offering to foundations and endowments globally. Our core business remains highly differentiated for the clients we serve, and I look forward to partnering with our tremendous team globally to build on this momentum.”</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Ms. Curtin brings decades of leadership experience in the wealth management industry. Since AlTi’s inception, she has served as Global Chief Investment Officer, delivering strong returns for clients and leading a global team of more than 50 investment professionals. Prior to that role, Ms. Curtin was CIO and Head of Investments at Alvarium Investments from 2020 until it merged to create AlTi, and held similar leadership positions at Close Brothers Asset Management and Fortune Asset Management, where she led the building of businesses in the wealth and institutional space. Her early career included senior executive and investment roles at Schroders and Barings Asset Management. Ms. Curtin currently serves as Chairperson of the Board of Directors of Digital Bridge Group Inc., a global digital infrastructure private equity, private credit, and alternatives firm.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AlTi Global, Inc.</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AlTi is a global wealth and investment partner to families, foundations and institutions, helping clients activate capital with clarity, bring structure to complexity, and plan with purpose across borders and generations. AlTi combines the breadth of a global firm with the service offering of a family office to deliver solutions designed to meet the full complexity of wealth and capital. We currently manage or advise on over $93 billion in combined assets and have an expansive network of more than 450 professionals globally. For more information, please visit www.alti-global.com.</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Lily Arteaga,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investor@alti-global.com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Emily Roy, Prosek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Pro-AlTi@prosek.com</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2026-03-31T06:09:33Z</dcterms:created>
  <dcterms:modified xsi:type="dcterms:W3CDTF">2026-03-31T06:09:33Z</dcterms:modified>
</cp:coreProperties>
</file>