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200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20014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Curtin Nancy Ann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60" w:type="dxa"/>
            <w:vAlign w:val="bottom"/>
            <w:tcBorders>
              <w:top w:val="single" w:sz="8" w:color="0000EE"/>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03/30/2026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AlTi Global,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ALTI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ALTI GLOBAL,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22 VANDERBILT AVE, 27TH</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FLOOR</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10017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63"/>
        <w:spacing w:after="0"/>
        <w:rPr>
          <w:sz w:val="20"/>
          <w:szCs w:val="20"/>
          <w:color w:val="auto"/>
        </w:rPr>
      </w:pPr>
      <w:r>
        <w:rPr>
          <w:rFonts w:ascii="Times New Roman" w:cs="Times New Roman" w:eastAsia="Times New Roman" w:hAnsi="Times New Roman"/>
          <w:sz w:val="20"/>
          <w:szCs w:val="20"/>
          <w:color w:val="0000FF"/>
        </w:rPr>
        <w:t>Interim CEO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1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9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90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0" w:type="dxa"/>
            <w:vAlign w:val="bottom"/>
          </w:tcPr>
          <w:p>
            <w:pPr>
              <w:ind w:left="10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2"/>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60" w:type="dxa"/>
            <w:vAlign w:val="bottom"/>
            <w:gridSpan w:val="3"/>
          </w:tcPr>
          <w:p>
            <w:pPr>
              <w:ind w:left="10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14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9"/>
              </w:rPr>
              <w:t>Ownership (Instr. 5)</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60" w:type="dxa"/>
            <w:vAlign w:val="bottom"/>
            <w:gridSpan w:val="2"/>
          </w:tcPr>
          <w:p>
            <w:pPr>
              <w:ind w:left="380"/>
              <w:spacing w:after="0"/>
              <w:rPr>
                <w:sz w:val="20"/>
                <w:szCs w:val="20"/>
                <w:color w:val="auto"/>
              </w:rPr>
            </w:pPr>
            <w:r>
              <w:rPr>
                <w:rFonts w:ascii="Arial" w:cs="Arial" w:eastAsia="Arial" w:hAnsi="Arial"/>
                <w:sz w:val="15"/>
                <w:szCs w:val="15"/>
                <w:b w:val="1"/>
                <w:bCs w:val="1"/>
                <w:color w:val="auto"/>
              </w:rPr>
              <w:t>(I) (Instr. 5)</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149,921.11</w:t>
            </w:r>
          </w:p>
        </w:tc>
        <w:tc>
          <w:tcPr>
            <w:tcW w:w="1000" w:type="dxa"/>
            <w:vAlign w:val="bottom"/>
          </w:tcPr>
          <w:p>
            <w:pPr>
              <w:ind w:left="820"/>
              <w:spacing w:after="0"/>
              <w:rPr>
                <w:sz w:val="20"/>
                <w:szCs w:val="20"/>
                <w:color w:val="auto"/>
              </w:rPr>
            </w:pPr>
            <w:r>
              <w:rPr>
                <w:rFonts w:ascii="Times New Roman" w:cs="Times New Roman" w:eastAsia="Times New Roman" w:hAnsi="Times New Roman"/>
                <w:sz w:val="20"/>
                <w:szCs w:val="20"/>
                <w:color w:val="0000FF"/>
              </w:rPr>
              <w:t>D</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900" w:type="dxa"/>
            <w:vAlign w:val="bottom"/>
            <w:tcBorders>
              <w:bottom w:val="single" w:sz="8" w:color="2C2C2C"/>
            </w:tcBorders>
          </w:tcPr>
          <w:p>
            <w:pPr>
              <w:spacing w:after="0"/>
              <w:rPr>
                <w:sz w:val="9"/>
                <w:szCs w:val="9"/>
                <w:color w:val="auto"/>
              </w:rPr>
            </w:pPr>
          </w:p>
        </w:tc>
        <w:tc>
          <w:tcPr>
            <w:tcW w:w="5240" w:type="dxa"/>
            <w:vAlign w:val="bottom"/>
            <w:tcBorders>
              <w:bottom w:val="single" w:sz="8" w:color="2C2C2C"/>
            </w:tcBorders>
            <w:gridSpan w:val="5"/>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900" w:type="dxa"/>
            <w:vAlign w:val="bottom"/>
            <w:tcBorders>
              <w:top w:val="single" w:sz="8" w:color="2C2C2C"/>
            </w:tcBorders>
          </w:tcPr>
          <w:p>
            <w:pPr>
              <w:spacing w:after="0"/>
              <w:rPr>
                <w:sz w:val="22"/>
                <w:szCs w:val="22"/>
                <w:color w:val="auto"/>
              </w:rPr>
            </w:pPr>
          </w:p>
        </w:tc>
        <w:tc>
          <w:tcPr>
            <w:tcW w:w="5240" w:type="dxa"/>
            <w:vAlign w:val="bottom"/>
            <w:tcBorders>
              <w:top w:val="single" w:sz="8" w:color="2C2C2C"/>
            </w:tcBorders>
            <w:gridSpan w:val="5"/>
          </w:tcPr>
          <w:p>
            <w:pPr>
              <w:ind w:left="2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140" w:type="dxa"/>
            <w:vAlign w:val="bottom"/>
            <w:gridSpan w:val="6"/>
          </w:tcPr>
          <w:p>
            <w:pPr>
              <w:jc w:val="right"/>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42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gridSpan w:val="2"/>
          </w:tcPr>
          <w:p>
            <w:pPr>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00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0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gridSpan w:val="2"/>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40" w:type="dxa"/>
            <w:vAlign w:val="bottom"/>
          </w:tcPr>
          <w:p>
            <w:pPr>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8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00" w:type="dxa"/>
            <w:vAlign w:val="bottom"/>
            <w:vMerge w:val="continue"/>
          </w:tcPr>
          <w:p>
            <w:pPr>
              <w:spacing w:after="0"/>
              <w:rPr>
                <w:sz w:val="17"/>
                <w:szCs w:val="17"/>
                <w:color w:val="auto"/>
              </w:rPr>
            </w:pPr>
          </w:p>
        </w:tc>
        <w:tc>
          <w:tcPr>
            <w:tcW w:w="1000" w:type="dxa"/>
            <w:vAlign w:val="bottom"/>
          </w:tcPr>
          <w:p>
            <w:pPr>
              <w:ind w:left="4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9,491.525</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420" w:type="dxa"/>
            <w:vAlign w:val="bottom"/>
          </w:tcPr>
          <w:p>
            <w:pPr>
              <w:spacing w:after="0"/>
              <w:rPr>
                <w:sz w:val="24"/>
                <w:szCs w:val="24"/>
                <w:color w:val="auto"/>
              </w:rPr>
            </w:pP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Performance Restricted Stock Unit</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96,580.992</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420" w:type="dxa"/>
            <w:vAlign w:val="bottom"/>
          </w:tcPr>
          <w:p>
            <w:pPr>
              <w:spacing w:after="0"/>
              <w:rPr>
                <w:sz w:val="24"/>
                <w:szCs w:val="24"/>
                <w:color w:val="auto"/>
              </w:rPr>
            </w:pP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(4)</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90,644.116</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420" w:type="dxa"/>
            <w:vAlign w:val="bottom"/>
          </w:tcPr>
          <w:p>
            <w:pPr>
              <w:spacing w:after="0"/>
              <w:rPr>
                <w:sz w:val="24"/>
                <w:szCs w:val="24"/>
                <w:color w:val="auto"/>
              </w:rPr>
            </w:pP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(5)</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91,243.638</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420" w:type="dxa"/>
            <w:vAlign w:val="bottom"/>
          </w:tcPr>
          <w:p>
            <w:pPr>
              <w:spacing w:after="0"/>
              <w:rPr>
                <w:sz w:val="24"/>
                <w:szCs w:val="24"/>
                <w:color w:val="auto"/>
              </w:rPr>
            </w:pP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stock units ("RSUs") vest in three equal annual installments beginning February 15, 2025.</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and performance restricted stock unit ("PRSU") represents a contingent right to receive one share of AlTi Global, Inc.'s (the "Company's") Class A Common Stock.</w:t>
      </w:r>
    </w:p>
    <w:p>
      <w:pPr>
        <w:spacing w:after="0" w:line="52" w:lineRule="exact"/>
        <w:rPr>
          <w:rFonts w:ascii="Times New Roman" w:cs="Times New Roman" w:eastAsia="Times New Roman" w:hAnsi="Times New Roman"/>
          <w:sz w:val="15"/>
          <w:szCs w:val="15"/>
          <w:color w:val="008000"/>
        </w:rPr>
      </w:pPr>
    </w:p>
    <w:p>
      <w:pPr>
        <w:ind w:left="40" w:right="1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33.33% of the PRSUs shall be eligible to vest at the end of each of three annual performance periods beginning on March 31, 2025, subject to the reporting person's continued service with the Company through the applicable performance period, based on the total shareholder return of the Company's Class A Common Stock exceeding certain thresholds. The maximum number of units that may vest over three years is 193,161.98 (200% of the target number).</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RSUs vest in three equal annual installments beginning February 15,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RSUs vest in three equal annual installments beginning February 15, 2027.</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Colleen Graham,</w:t>
            </w:r>
          </w:p>
        </w:tc>
        <w:tc>
          <w:tcPr>
            <w:tcW w:w="6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04/09/2026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15735" TargetMode="External"/><Relationship Id="rId11" Type="http://schemas.openxmlformats.org/officeDocument/2006/relationships/hyperlink" Target="http://www.sec.gov/cgi-bin/browse-edgar?action=getcompany&amp;CIK=0001838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2026-04-09T19:47:23Z</dcterms:created>
  <dcterms:modified xsi:type="dcterms:W3CDTF">2026-04-09T19:47:23Z</dcterms:modified>
</cp:coreProperties>
</file>