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5413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41337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ALLIANZ SE</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MICHAEL SIEBURG</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KOENIGINSTRASSE 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AlTi Global,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ALTI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9"/>
        <w:spacing w:after="0"/>
        <w:tabs>
          <w:tab w:leader="none" w:pos="1734"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46"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560" w:type="dxa"/>
            <w:vAlign w:val="bottom"/>
            <w:gridSpan w:val="8"/>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37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2280" w:type="dxa"/>
            <w:vAlign w:val="bottom"/>
            <w:gridSpan w:val="4"/>
            <w:vMerge w:val="restart"/>
          </w:tcPr>
          <w:p>
            <w:pPr>
              <w:ind w:left="220"/>
              <w:spacing w:after="0"/>
              <w:rPr>
                <w:sz w:val="20"/>
                <w:szCs w:val="20"/>
                <w:color w:val="auto"/>
              </w:rPr>
            </w:pPr>
            <w:r>
              <w:rPr>
                <w:rFonts w:ascii="Arial" w:cs="Arial" w:eastAsia="Arial" w:hAnsi="Arial"/>
                <w:sz w:val="13"/>
                <w:szCs w:val="13"/>
                <w:color w:val="auto"/>
                <w:w w:val="98"/>
              </w:rPr>
              <w:t>Form filed by One Reporting Person</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MUNICH</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2M</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80802</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8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restart"/>
          </w:tcPr>
          <w:p>
            <w:pPr>
              <w:ind w:left="2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40" w:type="dxa"/>
            <w:vAlign w:val="bottom"/>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jc w:val="center"/>
              <w:ind w:left="73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20"/>
              <w:spacing w:after="0" w:line="125"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3"/>
          </w:tcPr>
          <w:p>
            <w:pPr>
              <w:ind w:left="620"/>
              <w:spacing w:after="0" w:line="125" w:lineRule="exact"/>
              <w:rPr>
                <w:sz w:val="20"/>
                <w:szCs w:val="20"/>
                <w:color w:val="auto"/>
              </w:rPr>
            </w:pPr>
            <w:r>
              <w:rPr>
                <w:rFonts w:ascii="Arial" w:cs="Arial" w:eastAsia="Arial" w:hAnsi="Arial"/>
                <w:sz w:val="11"/>
                <w:szCs w:val="11"/>
                <w:b w:val="1"/>
                <w:bCs w:val="1"/>
                <w:color w:val="auto"/>
              </w:rPr>
              <w:t>(Month/Day/Year)</w:t>
            </w:r>
          </w:p>
        </w:tc>
        <w:tc>
          <w:tcPr>
            <w:tcW w:w="8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Beneficially Owned  (D) or Indirect</w:t>
            </w:r>
          </w:p>
        </w:tc>
        <w:tc>
          <w:tcPr>
            <w:tcW w:w="10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(I) (Instr. 4)</w:t>
            </w:r>
          </w:p>
        </w:tc>
        <w:tc>
          <w:tcPr>
            <w:tcW w:w="10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gridSpan w:val="4"/>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40" w:type="dxa"/>
            <w:vAlign w:val="bottom"/>
          </w:tcPr>
          <w:p>
            <w:pPr>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By Allianz</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3"/>
            <w:vMerge w:val="restart"/>
          </w:tcPr>
          <w:p>
            <w:pPr>
              <w:ind w:left="720"/>
              <w:spacing w:after="0"/>
              <w:rPr>
                <w:sz w:val="20"/>
                <w:szCs w:val="20"/>
                <w:color w:val="auto"/>
              </w:rPr>
            </w:pPr>
            <w:r>
              <w:rPr>
                <w:rFonts w:ascii="Times New Roman" w:cs="Times New Roman" w:eastAsia="Times New Roman" w:hAnsi="Times New Roman"/>
                <w:sz w:val="16"/>
                <w:szCs w:val="16"/>
                <w:color w:val="0000FF"/>
              </w:rPr>
              <w:t>07/02/2026</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(1)(2)</w:t>
            </w: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1,272,328.52</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60" w:type="dxa"/>
            <w:vAlign w:val="bottom"/>
          </w:tcPr>
          <w:p>
            <w:pPr>
              <w:spacing w:after="0"/>
              <w:rPr>
                <w:sz w:val="17"/>
                <w:szCs w:val="17"/>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22,979,542.48</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Strategic</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80" w:type="dxa"/>
            <w:vAlign w:val="bottom"/>
            <w:gridSpan w:val="5"/>
            <w:vMerge w:val="continue"/>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S.a.r.l.</w:t>
            </w:r>
            <w:r>
              <w:rPr>
                <w:rFonts w:ascii="Times New Roman" w:cs="Times New Roman" w:eastAsia="Times New Roman" w:hAnsi="Times New Roman"/>
                <w:sz w:val="20"/>
                <w:szCs w:val="20"/>
                <w:color w:val="008000"/>
                <w:vertAlign w:val="superscript"/>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0"/>
                <w:szCs w:val="10"/>
                <w:color w:val="auto"/>
              </w:rPr>
            </w:pP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60" w:type="dxa"/>
            <w:vAlign w:val="bottom"/>
            <w:tcBorders>
              <w:right w:val="single" w:sz="8" w:color="2C2C2C"/>
            </w:tcBorders>
            <w:gridSpan w:val="3"/>
          </w:tcPr>
          <w:p>
            <w:pPr>
              <w:ind w:left="8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15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60" w:type="dxa"/>
            <w:vAlign w:val="bottom"/>
            <w:tcBorders>
              <w:right w:val="single" w:sz="8" w:color="2C2C2C"/>
            </w:tcBorders>
            <w:gridSpan w:val="3"/>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60" w:type="dxa"/>
            <w:vAlign w:val="bottom"/>
            <w:tcBorders>
              <w:right w:val="single" w:sz="8" w:color="2C2C2C"/>
            </w:tcBorders>
            <w:gridSpan w:val="3"/>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60" w:type="dxa"/>
            <w:vAlign w:val="bottom"/>
            <w:tcBorders>
              <w:right w:val="single" w:sz="8" w:color="2C2C2C"/>
            </w:tcBorders>
            <w:gridSpan w:val="3"/>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3"/>
                <w:szCs w:val="13"/>
                <w:color w:val="0000FF"/>
              </w:rPr>
              <w:t>By Allianz</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0" w:type="dxa"/>
            <w:vAlign w:val="bottom"/>
            <w:gridSpan w:val="2"/>
            <w:vMerge w:val="restart"/>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(5)</w:t>
            </w: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continue"/>
          </w:tcPr>
          <w:p>
            <w:pPr>
              <w:spacing w:after="0"/>
              <w:rPr>
                <w:sz w:val="6"/>
                <w:szCs w:val="6"/>
                <w:color w:val="auto"/>
              </w:rPr>
            </w:pPr>
          </w:p>
        </w:tc>
        <w:tc>
          <w:tcPr>
            <w:tcW w:w="680" w:type="dxa"/>
            <w:vAlign w:val="bottom"/>
            <w:vMerge w:val="restart"/>
          </w:tcPr>
          <w:p>
            <w:pPr>
              <w:jc w:val="right"/>
              <w:ind w:right="220"/>
              <w:spacing w:after="0"/>
              <w:rPr>
                <w:sz w:val="20"/>
                <w:szCs w:val="20"/>
                <w:color w:val="auto"/>
              </w:rPr>
            </w:pPr>
            <w:r>
              <w:rPr>
                <w:rFonts w:ascii="Times New Roman" w:cs="Times New Roman" w:eastAsia="Times New Roman" w:hAnsi="Times New Roman"/>
                <w:sz w:val="10"/>
                <w:szCs w:val="10"/>
                <w:color w:val="008000"/>
              </w:rPr>
              <w:t>(4)</w:t>
            </w:r>
          </w:p>
        </w:tc>
        <w:tc>
          <w:tcPr>
            <w:tcW w:w="60" w:type="dxa"/>
            <w:vAlign w:val="bottom"/>
          </w:tcPr>
          <w:p>
            <w:pPr>
              <w:spacing w:after="0"/>
              <w:rPr>
                <w:sz w:val="6"/>
                <w:szCs w:val="6"/>
                <w:color w:val="auto"/>
              </w:rPr>
            </w:pP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(1)(2)</w:t>
            </w:r>
          </w:p>
        </w:tc>
        <w:tc>
          <w:tcPr>
            <w:tcW w:w="820" w:type="dxa"/>
            <w:vAlign w:val="bottom"/>
            <w:vMerge w:val="restart"/>
          </w:tcPr>
          <w:p>
            <w:pPr>
              <w:jc w:val="center"/>
              <w:spacing w:after="0" w:line="213" w:lineRule="exact"/>
              <w:rPr>
                <w:sz w:val="20"/>
                <w:szCs w:val="20"/>
                <w:color w:val="auto"/>
              </w:rPr>
            </w:pPr>
            <w:r>
              <w:rPr>
                <w:rFonts w:ascii="Times New Roman" w:cs="Times New Roman" w:eastAsia="Times New Roman" w:hAnsi="Times New Roman"/>
                <w:sz w:val="13"/>
                <w:szCs w:val="13"/>
                <w:color w:val="0000FF"/>
                <w:w w:val="99"/>
              </w:rPr>
              <w:t>173,051.67</w:t>
            </w:r>
            <w:r>
              <w:rPr>
                <w:rFonts w:ascii="Times New Roman" w:cs="Times New Roman" w:eastAsia="Times New Roman" w:hAnsi="Times New Roman"/>
                <w:sz w:val="20"/>
                <w:szCs w:val="20"/>
                <w:color w:val="008000"/>
                <w:w w:val="99"/>
                <w:vertAlign w:val="superscript"/>
              </w:rPr>
              <w:t>(5)</w:t>
            </w: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Strategic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w:t>
            </w:r>
          </w:p>
        </w:tc>
        <w:tc>
          <w:tcPr>
            <w:tcW w:w="120" w:type="dxa"/>
            <w:vAlign w:val="bottom"/>
          </w:tcPr>
          <w:p>
            <w:pPr>
              <w:spacing w:after="0"/>
              <w:rPr>
                <w:sz w:val="5"/>
                <w:szCs w:val="5"/>
                <w:color w:val="auto"/>
              </w:rPr>
            </w:pPr>
          </w:p>
        </w:tc>
        <w:tc>
          <w:tcPr>
            <w:tcW w:w="1060" w:type="dxa"/>
            <w:vAlign w:val="bottom"/>
            <w:vMerge w:val="restart"/>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07/02/2026</w:t>
            </w:r>
          </w:p>
        </w:tc>
        <w:tc>
          <w:tcPr>
            <w:tcW w:w="10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4,117.76</w:t>
            </w: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00" w:type="dxa"/>
            <w:vAlign w:val="bottom"/>
            <w:vMerge w:val="restart"/>
          </w:tcPr>
          <w:p>
            <w:pPr>
              <w:ind w:left="38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134" w:lineRule="exact"/>
              <w:rPr>
                <w:sz w:val="20"/>
                <w:szCs w:val="20"/>
                <w:color w:val="auto"/>
              </w:rPr>
            </w:pPr>
            <w:r>
              <w:rPr>
                <w:rFonts w:ascii="Times New Roman" w:cs="Times New Roman" w:eastAsia="Times New Roman" w:hAnsi="Times New Roman"/>
                <w:sz w:val="13"/>
                <w:szCs w:val="13"/>
                <w:color w:val="0000FF"/>
              </w:rPr>
              <w:t>Investments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S.a.r.l.</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Warrant to</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By Allianz</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Purchase</w:t>
            </w: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5,000,000</w:t>
            </w: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vMerge w:val="restart"/>
          </w:tcPr>
          <w:p>
            <w:pPr>
              <w:jc w:val="center"/>
              <w:ind w:right="223"/>
              <w:spacing w:after="0" w:line="264" w:lineRule="exact"/>
              <w:rPr>
                <w:sz w:val="20"/>
                <w:szCs w:val="20"/>
                <w:color w:val="auto"/>
              </w:rPr>
            </w:pPr>
            <w:r>
              <w:rPr>
                <w:rFonts w:ascii="Times New Roman" w:cs="Times New Roman" w:eastAsia="Times New Roman" w:hAnsi="Times New Roman"/>
                <w:sz w:val="25"/>
                <w:szCs w:val="25"/>
                <w:color w:val="0000FF"/>
                <w:vertAlign w:val="subscript"/>
              </w:rPr>
              <w:t>1</w:t>
            </w:r>
            <w:r>
              <w:rPr>
                <w:rFonts w:ascii="Times New Roman" w:cs="Times New Roman" w:eastAsia="Times New Roman" w:hAnsi="Times New Roman"/>
                <w:sz w:val="10"/>
                <w:szCs w:val="10"/>
                <w:color w:val="008000"/>
              </w:rPr>
              <w:t>(6)</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Strategic</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7.4</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07/31/2029</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right w:val="single" w:sz="8" w:color="2C2C2C"/>
            </w:tcBorders>
            <w:gridSpan w:val="3"/>
          </w:tcPr>
          <w:p>
            <w:pPr>
              <w:ind w:left="80"/>
              <w:spacing w:after="0" w:line="126" w:lineRule="exact"/>
              <w:rPr>
                <w:sz w:val="20"/>
                <w:szCs w:val="20"/>
                <w:color w:val="auto"/>
              </w:rPr>
            </w:pPr>
            <w:r>
              <w:rPr>
                <w:rFonts w:ascii="Times New Roman" w:cs="Times New Roman" w:eastAsia="Times New Roman" w:hAnsi="Times New Roman"/>
                <w:sz w:val="13"/>
                <w:szCs w:val="13"/>
                <w:color w:val="0000FF"/>
              </w:rPr>
              <w:t>Investments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line="163" w:lineRule="exact"/>
              <w:rPr>
                <w:sz w:val="20"/>
                <w:szCs w:val="20"/>
                <w:color w:val="auto"/>
              </w:rPr>
            </w:pPr>
            <w:r>
              <w:rPr>
                <w:rFonts w:ascii="Times New Roman" w:cs="Times New Roman" w:eastAsia="Times New Roman" w:hAnsi="Times New Roman"/>
                <w:sz w:val="11"/>
                <w:szCs w:val="11"/>
                <w:color w:val="0000FF"/>
              </w:rPr>
              <w:t>S.a.r.l.</w:t>
            </w:r>
            <w:r>
              <w:rPr>
                <w:rFonts w:ascii="Times New Roman" w:cs="Times New Roman" w:eastAsia="Times New Roman" w:hAnsi="Times New Roman"/>
                <w:sz w:val="18"/>
                <w:szCs w:val="18"/>
                <w:color w:val="008000"/>
                <w:vertAlign w:val="superscript"/>
              </w:rPr>
              <w:t>(7)</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-2256155</wp:posOffset>
            </wp:positionV>
            <wp:extent cx="28575" cy="2261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2618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Allianz Strategic Investments S.a.r.l. ("ASI") acquired 19,318,580.96 shares of Class A Common Stock, par value $0.0001 per share ("Class A Common Stock") of AlTi Global, Inc., a Delaware corporation (the "Issuer") in a private placement on July 31, 2024. ASI received shares of Class A Common Stock as payment-in-kind dividends with respect to shares of Series A Cumulative Convertible Preferred Stock (the "Series A Preferred Stock") of the Issuer held by ASI as follows: 1,523,289 shares on June 30, 2025, 865,344 shares on January 5, 2026 and 1,272,328.52 shares on July 2, 2026. Holders of the Series A Preferred Stock are entitled to a cumulative dividend at the rate of 9.75% per annum, payable semi-annually in arrears. ASI is wholly owned by Allianz Finance II Luxembourg S.a.r.l., which in turn is wholly owned by the reporting person.</w:t>
      </w:r>
    </w:p>
    <w:p>
      <w:pPr>
        <w:spacing w:after="0" w:line="26" w:lineRule="exact"/>
        <w:rPr>
          <w:rFonts w:ascii="Times New Roman" w:cs="Times New Roman" w:eastAsia="Times New Roman" w:hAnsi="Times New Roman"/>
          <w:sz w:val="13"/>
          <w:szCs w:val="13"/>
          <w:color w:val="008000"/>
        </w:rPr>
      </w:pPr>
    </w:p>
    <w:p>
      <w:pPr>
        <w:ind w:left="40" w:right="18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shares of Class A Common Stock are held directly by ASI. The reporting person is the ultimate parent company of ASI and has sole voting and dispositive power with respect to the shares held by ASI.</w:t>
      </w:r>
    </w:p>
    <w:p>
      <w:pPr>
        <w:spacing w:after="0" w:line="21" w:lineRule="exact"/>
        <w:rPr>
          <w:rFonts w:ascii="Times New Roman" w:cs="Times New Roman" w:eastAsia="Times New Roman" w:hAnsi="Times New Roman"/>
          <w:sz w:val="13"/>
          <w:szCs w:val="13"/>
          <w:color w:val="008000"/>
        </w:rPr>
      </w:pPr>
    </w:p>
    <w:p>
      <w:pPr>
        <w:ind w:left="40" w:right="16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the Series A Preferred Stock of the Issuer are convertible into shares of Class A Common Stock (i) by the reporting person at any time after July 31, 2026 and (ii) by the Issuer at any time after July 31, 2027, subject to certain conditions; provided, that the Series A Preferred Stock is subject to a beneficial ownership cap that prohibits the conversion of the Series A Preferred Stock into shares of Class A Common Stock to the extent such conversion would cause ASI's beneficial ownership, together with its affiliates, to exceed 24.9% (the "Ownership Cap"); provided, further, that if such a conversion would cause ASI's beneficial ownership, together with its affiliates, to exceed the Ownership Cap, the Issuer shall issue to ASI shares of the Issuer's Class C Non-Voting Common Stock, in lieu of shares of Class A Common Stock. The Series A Preferred Stock has no stated maturity and therefore has no expiration date.</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Preferred Stock has a stated value of $1,000 per share and is convertible into shares of Class A Common Stock at a conversion price of $8.70, subject to customary adjustments.</w:t>
      </w:r>
    </w:p>
    <w:p>
      <w:pPr>
        <w:spacing w:after="0" w:line="38" w:lineRule="exact"/>
        <w:rPr>
          <w:rFonts w:ascii="Times New Roman" w:cs="Times New Roman" w:eastAsia="Times New Roman" w:hAnsi="Times New Roman"/>
          <w:sz w:val="13"/>
          <w:szCs w:val="13"/>
          <w:color w:val="008000"/>
        </w:rPr>
      </w:pPr>
    </w:p>
    <w:p>
      <w:pPr>
        <w:ind w:left="40" w:right="200" w:hanging="2"/>
        <w:spacing w:after="0" w:line="293"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ASI acquired 140,000 and 18,471 shares of the Series A Preferred Stock in private placements on July 31, 2024 and May 13, 2025, respectively, and ASI received shares of the Series A Preferred Stock as payment-in-kind dividends with respect to shares of Series A Preferred Stock held by ASI as follows: 6,443.13 shares on June 30, 2025, 4,019.78 shares on January 5, 2026 and 4,117.76 shares on July 2, 2026. Holders of the Series A Preferred Stock are entitled to a cumulative dividend at the rate of 9.75% per annum, payable semi-annually in arrears. The shares of Series A Preferred Stock are held directly by ASI.</w:t>
      </w:r>
    </w:p>
    <w:p>
      <w:pPr>
        <w:ind w:left="40" w:right="18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Ownership Cap, the Warrant to purchase Class A Common Stock (the "Warrant") is immediately exercisable for up to 5,000,000 shares of Class A Common Stock at an exercise price of $7.40, subject to customary adjustments.</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 was acquired in a private placement on July 31, 2024 and is held directly by ASI.</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Michael Sieburg, Authorized  </w:t>
      </w:r>
      <w:r>
        <w:rPr>
          <w:rFonts w:ascii="Times New Roman" w:cs="Times New Roman" w:eastAsia="Times New Roman" w:hAnsi="Times New Roman"/>
          <w:sz w:val="32"/>
          <w:szCs w:val="32"/>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02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71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Petra Maerkl, Authorized</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07/02/2026</w:t>
            </w:r>
          </w:p>
        </w:tc>
        <w:tc>
          <w:tcPr>
            <w:tcW w:w="0" w:type="dxa"/>
            <w:vAlign w:val="bottom"/>
          </w:tcPr>
          <w:p>
            <w:pPr>
              <w:spacing w:after="0"/>
              <w:rPr>
                <w:sz w:val="1"/>
                <w:szCs w:val="1"/>
                <w:color w:val="auto"/>
              </w:rPr>
            </w:pPr>
          </w:p>
        </w:tc>
      </w:tr>
      <w:tr>
        <w:trPr>
          <w:trHeight w:val="80"/>
        </w:trPr>
        <w:tc>
          <w:tcPr>
            <w:tcW w:w="1840" w:type="dxa"/>
            <w:vAlign w:val="bottom"/>
            <w:tcBorders>
              <w:top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Signatory</w:t>
            </w:r>
          </w:p>
        </w:tc>
        <w:tc>
          <w:tcPr>
            <w:tcW w:w="180" w:type="dxa"/>
            <w:vAlign w:val="bottom"/>
            <w:vMerge w:val="restart"/>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840" w:type="dxa"/>
            <w:vAlign w:val="bottom"/>
            <w:tcBorders>
              <w:top w:val="single" w:sz="8" w:color="auto"/>
            </w:tcBorders>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27508" TargetMode="External"/><Relationship Id="rId14" Type="http://schemas.openxmlformats.org/officeDocument/2006/relationships/hyperlink" Target="http://www.sec.gov/cgi-bin/browse-edgar?action=getcompany&amp;CIK=0001838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2026-07-02T16:56:28Z</dcterms:created>
  <dcterms:modified xsi:type="dcterms:W3CDTF">2026-07-02T16:56:28Z</dcterms:modified>
</cp:coreProperties>
</file>