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AlTi Global,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 VANDERBILT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Fortress Net Lease REIT</w:t>
              </w:r>
            </w:hyperlink>
            <w:r>
              <w:rPr/>
              <w:t xml:space="preserve"> [ </w:t>
            </w:r>
            <w:r>
              <w:rPr>
                <w:rFonts w:ascii="Times;serif" w:hAnsi="Times;serif"/>
                <w:color w:val="0000FF"/>
                <w:sz w:val="24"/>
                <w:shd w:fill="FFFFFF" w:val="clear"/>
              </w:rPr>
              <w:t>N/A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9"/>
        <w:gridCol w:w="902"/>
        <w:gridCol w:w="773"/>
        <w:gridCol w:w="599"/>
        <w:gridCol w:w="341"/>
        <w:gridCol w:w="775"/>
        <w:gridCol w:w="433"/>
        <w:gridCol w:w="596"/>
        <w:gridCol w:w="1524"/>
        <w:gridCol w:w="972"/>
        <w:gridCol w:w="107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5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5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F-I Common Shares of Beneficial Interest</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5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465,142.2405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r>
        <w:trPr/>
        <w:tc>
          <w:tcPr>
            <w:tcW w:w="22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D Common Shares of Beneficial Interest</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5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6,498,032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directly owned by TTC Multi-Strategy Fund QP, LP (the "TTC Fund"), a private investment fund, and may be deemed to be beneficially owned by each of: (i) Tiedemann Advisors, LLC ("Tiedemann"), as investment manager of the TTC Fund; (ii) Tiedemann Advisors GP, LLC, as general partner of the TTC Fund; and (iii) each of the following parent companies of Tiedemann, (A) AlTi Wealth &amp; Capital Solutions Holdings, LLC; (B) AlTi Global Holdings, LLC; (C) AlTi Global Topco Limited; (D) AlTi Global Capital, LLC; and (E) AlTi Global, Inc. (collectively, the "Reporting Persons"). Each Reporting Person disclaims beneficial ownership of the reported securities except to the extent of his or its pecuniary interest therein, and this report shall not be deemed an admission that such Reporting Person is the beneficial owner of the securities for purposes of Section 16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AlTi Global, Inc., By: /s/ Colleen Graham, Colleen Graham,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8615" TargetMode="External"/><Relationship Id="rId5" Type="http://schemas.openxmlformats.org/officeDocument/2006/relationships/hyperlink" Target="http://www.sec.gov/cgi-bin/browse-edgar?action=getcompany&amp;CIK=00019663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4000</Characters>
  <CharactersWithSpaces>4671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