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001-40103</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AlTi Global, Inc.</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8655" w:type="dxa"/>
        <w:jc w:val="left"/>
        <w:tblInd w:w="0" w:type="dxa"/>
        <w:tblLayout w:type="fixed"/>
        <w:tblCellMar>
          <w:top w:w="28" w:type="dxa"/>
          <w:left w:w="28" w:type="dxa"/>
          <w:bottom w:w="28" w:type="dxa"/>
          <w:right w:w="28" w:type="dxa"/>
        </w:tblCellMar>
      </w:tblPr>
      <w:tblGrid>
        <w:gridCol w:w="2016"/>
        <w:gridCol w:w="1775"/>
        <w:gridCol w:w="1789"/>
        <w:gridCol w:w="897"/>
        <w:gridCol w:w="897"/>
        <w:gridCol w:w="1281"/>
      </w:tblGrid>
      <w:tr>
        <w:trPr/>
        <w:tc>
          <w:tcPr>
            <w:tcW w:w="201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92-1552220</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2"/>
              </w:rPr>
              <w:t>22 Vanderbilt Avenue, 27th Floor New York</w:t>
            </w:r>
            <w:r>
              <w:rPr>
                <w:rFonts w:ascii="Times New Roman;sans-serif" w:hAnsi="Times New Roman;sans-serif"/>
                <w:b/>
                <w:color w:val="000000"/>
                <w:sz w:val="20"/>
              </w:rPr>
              <w:t xml:space="preserve">, </w:t>
            </w:r>
            <w:r>
              <w:rPr>
                <w:rFonts w:ascii="Times New Roman;sans-serif" w:hAnsi="Times New Roman;sans-serif"/>
                <w:b/>
                <w:color w:val="000000"/>
                <w:sz w:val="22"/>
              </w:rPr>
              <w:t>New York</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10017</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396-5900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ALTI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Nasdaq Capital Market</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19"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99,873,686 shares of Class A Common Stock (as defined herein) and 45,110,224 shares of Class B Common Stock (as defined herein) as of May 9,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left"/>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24"/>
        <w:gridCol w:w="3081"/>
        <w:gridCol w:w="3088"/>
        <w:gridCol w:w="148"/>
        <w:gridCol w:w="148"/>
        <w:gridCol w:w="216"/>
      </w:tblGrid>
      <w:tr>
        <w:trPr/>
        <w:tc>
          <w:tcPr>
            <w:tcW w:w="3524"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6">
              <w:r>
                <w:rPr>
                  <w:rStyle w:val="InternetLink"/>
                  <w:rFonts w:ascii="Times New Roman;sans-serif" w:hAnsi="Times New Roman;sans-serif"/>
                  <w:b w:val="false"/>
                  <w:strike w:val="false"/>
                  <w:dstrike w:val="false"/>
                  <w:color w:val="000000"/>
                  <w:sz w:val="22"/>
                  <w:u w:val="none"/>
                  <w:effect w:val="none"/>
                </w:rPr>
                <w:t>Part I Financial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6">
              <w:r>
                <w:rPr>
                  <w:rStyle w:val="InternetLink"/>
                  <w:rFonts w:ascii="Times New Roman;sans-serif" w:hAnsi="Times New Roman;sans-serif"/>
                  <w:b w:val="false"/>
                  <w:strike w:val="false"/>
                  <w:dstrike w:val="false"/>
                  <w:color w:val="000000"/>
                  <w:sz w:val="22"/>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15">
              <w:r>
                <w:rPr>
                  <w:rStyle w:val="InternetLink"/>
                  <w:rFonts w:ascii="Times New Roman;sans-serif" w:hAnsi="Times New Roman;sans-serif"/>
                  <w:b w:val="false"/>
                  <w:strike w:val="false"/>
                  <w:dstrike w:val="false"/>
                  <w:color w:val="000000"/>
                  <w:sz w:val="22"/>
                  <w:u w:val="none"/>
                  <w:effect w:val="none"/>
                </w:rPr>
                <w:t>Item 1. 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15">
              <w:r>
                <w:rPr>
                  <w:rStyle w:val="InternetLink"/>
                  <w:rFonts w:ascii="Times New Roman;sans-serif" w:hAnsi="Times New Roman;sans-serif"/>
                  <w:b w:val="false"/>
                  <w:strike w:val="false"/>
                  <w:dstrike w:val="false"/>
                  <w:color w:val="000000"/>
                  <w:sz w:val="22"/>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c6d6713287444e08b2f8f54f20b60e0d_121">
              <w:r>
                <w:rPr>
                  <w:rStyle w:val="InternetLink"/>
                  <w:rFonts w:ascii="Times New Roman;sans-serif" w:hAnsi="Times New Roman;sans-serif"/>
                  <w:b w:val="false"/>
                  <w:strike w:val="false"/>
                  <w:dstrike w:val="false"/>
                  <w:color w:val="000000"/>
                  <w:sz w:val="22"/>
                  <w:u w:val="none"/>
                  <w:effect w:val="none"/>
                </w:rPr>
                <w:t>Consolidated Statement of Financial Position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21">
              <w:r>
                <w:rPr>
                  <w:rStyle w:val="InternetLink"/>
                  <w:rFonts w:ascii="Times New Roman;sans-serif" w:hAnsi="Times New Roman;sans-serif"/>
                  <w:b w:val="false"/>
                  <w:strike w:val="false"/>
                  <w:dstrike w:val="false"/>
                  <w:color w:val="000000"/>
                  <w:sz w:val="22"/>
                  <w:u w:val="none"/>
                  <w:effect w:val="none"/>
                </w:rPr>
                <w:t>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c6d6713287444e08b2f8f54f20b60e0d_124">
              <w:r>
                <w:rPr>
                  <w:rStyle w:val="InternetLink"/>
                  <w:rFonts w:ascii="Times New Roman;sans-serif" w:hAnsi="Times New Roman;sans-serif"/>
                  <w:b w:val="false"/>
                  <w:strike w:val="false"/>
                  <w:dstrike w:val="false"/>
                  <w:color w:val="000000"/>
                  <w:sz w:val="22"/>
                  <w:u w:val="none"/>
                  <w:effect w:val="none"/>
                </w:rPr>
                <w:t>Consolidated Statement of Operations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24">
              <w:r>
                <w:rPr>
                  <w:rStyle w:val="InternetLink"/>
                  <w:rFonts w:ascii="Times New Roman;sans-serif" w:hAnsi="Times New Roman;sans-serif"/>
                  <w:b w:val="false"/>
                  <w:strike w:val="false"/>
                  <w:dstrike w:val="false"/>
                  <w:color w:val="000000"/>
                  <w:sz w:val="22"/>
                  <w:u w:val="none"/>
                  <w:effect w:val="none"/>
                </w:rPr>
                <w:t>10</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Condensed Consolidated Statement of Comprehensive Income (Loss) (Unaudited)</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27">
              <w:r>
                <w:rPr>
                  <w:rStyle w:val="InternetLink"/>
                  <w:rFonts w:ascii="Times New Roman;sans-serif" w:hAnsi="Times New Roman;sans-serif"/>
                  <w:b w:val="false"/>
                  <w:strike w:val="false"/>
                  <w:dstrike w:val="false"/>
                  <w:color w:val="000000"/>
                  <w:sz w:val="22"/>
                  <w:u w:val="none"/>
                  <w:effect w:val="none"/>
                </w:rPr>
                <w:t>11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c6d6713287444e08b2f8f54f20b60e0d_130">
              <w:r>
                <w:rPr>
                  <w:rStyle w:val="InternetLink"/>
                  <w:rFonts w:ascii="Times New Roman;sans-serif" w:hAnsi="Times New Roman;sans-serif"/>
                  <w:b w:val="false"/>
                  <w:strike w:val="false"/>
                  <w:dstrike w:val="false"/>
                  <w:color w:val="000000"/>
                  <w:sz w:val="22"/>
                  <w:u w:val="none"/>
                  <w:effect w:val="none"/>
                </w:rPr>
                <w:t>Consolidated Statement of Changes in Mezzanine Equity and Shareholders’ Equity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30">
              <w:r>
                <w:rPr>
                  <w:rStyle w:val="InternetLink"/>
                  <w:rFonts w:ascii="Times New Roman;sans-serif" w:hAnsi="Times New Roman;sans-serif"/>
                  <w:b w:val="false"/>
                  <w:strike w:val="false"/>
                  <w:dstrike w:val="false"/>
                  <w:color w:val="000000"/>
                  <w:sz w:val="22"/>
                  <w:u w:val="none"/>
                  <w:effect w:val="none"/>
                </w:rPr>
                <w:t>12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c6d6713287444e08b2f8f54f20b60e0d_133">
              <w:r>
                <w:rPr>
                  <w:rStyle w:val="InternetLink"/>
                  <w:rFonts w:ascii="Times New Roman;sans-serif" w:hAnsi="Times New Roman;sans-serif"/>
                  <w:b w:val="false"/>
                  <w:strike w:val="false"/>
                  <w:dstrike w:val="false"/>
                  <w:color w:val="000000"/>
                  <w:sz w:val="22"/>
                  <w:u w:val="none"/>
                  <w:effect w:val="none"/>
                </w:rPr>
                <w:t>Consolidated Statement of Cash Flows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33">
              <w:r>
                <w:rPr>
                  <w:rStyle w:val="InternetLink"/>
                  <w:rFonts w:ascii="Times New Roman;sans-serif" w:hAnsi="Times New Roman;sans-serif"/>
                  <w:b w:val="false"/>
                  <w:strike w:val="false"/>
                  <w:dstrike w:val="false"/>
                  <w:color w:val="000000"/>
                  <w:sz w:val="22"/>
                  <w:u w:val="none"/>
                  <w:effect w:val="none"/>
                </w:rPr>
                <w:t>14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36">
              <w:r>
                <w:rPr>
                  <w:rStyle w:val="InternetLink"/>
                  <w:rFonts w:ascii="Times New Roman;sans-serif" w:hAnsi="Times New Roman;sans-serif"/>
                  <w:b w:val="false"/>
                  <w:strike w:val="false"/>
                  <w:dstrike w:val="false"/>
                  <w:color w:val="000000"/>
                  <w:sz w:val="22"/>
                  <w:u w:val="none"/>
                  <w:effect w:val="none"/>
                </w:rPr>
                <w:t xml:space="preserve">Notes to </w:t>
              </w:r>
            </w:hyperlink>
            <w:r>
              <w:rPr>
                <w:rFonts w:ascii="Times New Roman;sans-serif" w:hAnsi="Times New Roman;sans-serif"/>
                <w:b w:val="false"/>
                <w:color w:val="000000"/>
                <w:sz w:val="22"/>
              </w:rPr>
              <w:t xml:space="preserve">Condensed </w:t>
            </w:r>
            <w:hyperlink w:anchor="ic6d6713287444e08b2f8f54f20b60e0d_136">
              <w:r>
                <w:rPr>
                  <w:rStyle w:val="InternetLink"/>
                  <w:rFonts w:ascii="Times New Roman;sans-serif" w:hAnsi="Times New Roman;sans-serif"/>
                  <w:b w:val="false"/>
                  <w:strike w:val="false"/>
                  <w:dstrike w:val="false"/>
                  <w:color w:val="000000"/>
                  <w:sz w:val="22"/>
                  <w:u w:val="none"/>
                  <w:effect w:val="none"/>
                </w:rPr>
                <w:t>Consolidated 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36">
              <w:r>
                <w:rPr>
                  <w:rStyle w:val="InternetLink"/>
                  <w:rFonts w:ascii="Times New Roman;sans-serif" w:hAnsi="Times New Roman;sans-serif"/>
                  <w:b w:val="false"/>
                  <w:strike w:val="false"/>
                  <w:dstrike w:val="false"/>
                  <w:color w:val="000000"/>
                  <w:sz w:val="22"/>
                  <w:u w:val="none"/>
                  <w:effect w:val="none"/>
                </w:rPr>
                <w:t>16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49">
              <w:r>
                <w:rPr>
                  <w:rStyle w:val="InternetLink"/>
                  <w:rFonts w:ascii="Times New Roman;sans-serif" w:hAnsi="Times New Roman;sans-serif"/>
                  <w:b w:val="false"/>
                  <w:strike w:val="false"/>
                  <w:dstrike w:val="false"/>
                  <w:color w:val="000000"/>
                  <w:sz w:val="22"/>
                  <w:u w:val="none"/>
                  <w:effect w:val="non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49">
              <w:r>
                <w:rPr>
                  <w:rStyle w:val="InternetLink"/>
                  <w:rFonts w:ascii="Times New Roman;sans-serif" w:hAnsi="Times New Roman;sans-serif"/>
                  <w:b w:val="false"/>
                  <w:strike w:val="false"/>
                  <w:dstrike w:val="false"/>
                  <w:color w:val="000000"/>
                  <w:sz w:val="22"/>
                  <w:u w:val="none"/>
                  <w:effect w:val="none"/>
                </w:rPr>
                <w:t>76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12">
              <w:r>
                <w:rPr>
                  <w:rStyle w:val="InternetLink"/>
                  <w:rFonts w:ascii="Times New Roman;sans-serif" w:hAnsi="Times New Roman;sans-serif"/>
                  <w:b w:val="false"/>
                  <w:strike w:val="false"/>
                  <w:dstrike w:val="false"/>
                  <w:color w:val="000000"/>
                  <w:sz w:val="22"/>
                  <w:u w:val="none"/>
                  <w:effect w:val="non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112">
              <w:r>
                <w:rPr>
                  <w:rStyle w:val="InternetLink"/>
                  <w:rFonts w:ascii="Times New Roman;sans-serif" w:hAnsi="Times New Roman;sans-serif"/>
                  <w:b w:val="false"/>
                  <w:strike w:val="false"/>
                  <w:dstrike w:val="false"/>
                  <w:color w:val="000000"/>
                  <w:sz w:val="22"/>
                  <w:u w:val="none"/>
                  <w:effect w:val="none"/>
                </w:rPr>
                <w:t>96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59">
              <w:r>
                <w:rPr>
                  <w:rStyle w:val="InternetLink"/>
                  <w:rFonts w:ascii="Times New Roman;sans-serif" w:hAnsi="Times New Roman;sans-serif"/>
                  <w:b w:val="false"/>
                  <w:strike w:val="false"/>
                  <w:dstrike w:val="false"/>
                  <w:color w:val="000000"/>
                  <w:sz w:val="22"/>
                  <w:u w:val="none"/>
                  <w:effect w:val="non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59">
              <w:r>
                <w:rPr>
                  <w:rStyle w:val="InternetLink"/>
                  <w:rFonts w:ascii="Times New Roman;sans-serif" w:hAnsi="Times New Roman;sans-serif"/>
                  <w:b w:val="false"/>
                  <w:strike w:val="false"/>
                  <w:dstrike w:val="false"/>
                  <w:color w:val="000000"/>
                  <w:sz w:val="22"/>
                  <w:u w:val="none"/>
                  <w:effect w:val="none"/>
                </w:rPr>
                <w:t>96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65">
              <w:r>
                <w:rPr>
                  <w:rStyle w:val="InternetLink"/>
                  <w:rFonts w:ascii="Times New Roman;sans-serif" w:hAnsi="Times New Roman;sans-serif"/>
                  <w:b w:val="false"/>
                  <w:strike w:val="false"/>
                  <w:dstrike w:val="false"/>
                  <w:color w:val="000000"/>
                  <w:sz w:val="22"/>
                  <w:u w:val="none"/>
                  <w:effect w:val="non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65">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68">
              <w:r>
                <w:rPr>
                  <w:rStyle w:val="InternetLink"/>
                  <w:rFonts w:ascii="Times New Roman;sans-serif" w:hAnsi="Times New Roman;sans-serif"/>
                  <w:b w:val="false"/>
                  <w:strike w:val="false"/>
                  <w:dstrike w:val="false"/>
                  <w:color w:val="000000"/>
                  <w:sz w:val="22"/>
                  <w:u w:val="none"/>
                  <w:effect w:val="non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68">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71">
              <w:r>
                <w:rPr>
                  <w:rStyle w:val="InternetLink"/>
                  <w:rFonts w:ascii="Times New Roman;sans-serif" w:hAnsi="Times New Roman;sans-serif"/>
                  <w:b w:val="false"/>
                  <w:strike w:val="false"/>
                  <w:dstrike w:val="false"/>
                  <w:color w:val="000000"/>
                  <w:sz w:val="22"/>
                  <w:u w:val="none"/>
                  <w:effect w:val="non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71">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74">
              <w:r>
                <w:rPr>
                  <w:rStyle w:val="InternetLink"/>
                  <w:rFonts w:ascii="Times New Roman;sans-serif" w:hAnsi="Times New Roman;sans-serif"/>
                  <w:b w:val="false"/>
                  <w:strike w:val="false"/>
                  <w:dstrike w:val="false"/>
                  <w:color w:val="000000"/>
                  <w:sz w:val="22"/>
                  <w:u w:val="none"/>
                  <w:effect w:val="non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74">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77">
              <w:r>
                <w:rPr>
                  <w:rStyle w:val="InternetLink"/>
                  <w:rFonts w:ascii="Times New Roman;sans-serif" w:hAnsi="Times New Roman;sans-serif"/>
                  <w:b w:val="false"/>
                  <w:strike w:val="false"/>
                  <w:dstrike w:val="false"/>
                  <w:color w:val="000000"/>
                  <w:sz w:val="22"/>
                  <w:u w:val="none"/>
                  <w:effect w:val="non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77">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80">
              <w:r>
                <w:rPr>
                  <w:rStyle w:val="InternetLink"/>
                  <w:rFonts w:ascii="Times New Roman;sans-serif" w:hAnsi="Times New Roman;sans-serif"/>
                  <w:b w:val="false"/>
                  <w:strike w:val="false"/>
                  <w:dstrike w:val="false"/>
                  <w:color w:val="000000"/>
                  <w:sz w:val="22"/>
                  <w:u w:val="none"/>
                  <w:effect w:val="non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80">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83">
              <w:r>
                <w:rPr>
                  <w:rStyle w:val="InternetLink"/>
                  <w:rFonts w:ascii="Times New Roman;sans-serif" w:hAnsi="Times New Roman;sans-serif"/>
                  <w:b w:val="false"/>
                  <w:strike w:val="false"/>
                  <w:dstrike w:val="false"/>
                  <w:color w:val="000000"/>
                  <w:sz w:val="22"/>
                  <w:u w:val="none"/>
                  <w:effect w:val="non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83">
              <w:r>
                <w:rPr>
                  <w:rStyle w:val="InternetLink"/>
                  <w:rFonts w:ascii="Times New Roman;sans-serif" w:hAnsi="Times New Roman;sans-serif"/>
                  <w:b w:val="false"/>
                  <w:strike w:val="false"/>
                  <w:dstrike w:val="false"/>
                  <w:color w:val="000000"/>
                  <w:sz w:val="22"/>
                  <w:u w:val="none"/>
                  <w:effect w:val="none"/>
                </w:rPr>
                <w:t>99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86">
              <w:r>
                <w:rPr>
                  <w:rStyle w:val="InternetLink"/>
                  <w:rFonts w:ascii="Times New Roman;sans-serif" w:hAnsi="Times New Roman;sans-serif"/>
                  <w:b w:val="false"/>
                  <w:strike w:val="false"/>
                  <w:dstrike w:val="false"/>
                  <w:color w:val="000000"/>
                  <w:sz w:val="22"/>
                  <w:u w:val="none"/>
                  <w:effect w:val="none"/>
                </w:rPr>
                <w:t xml:space="preserve">Item 6. Exhibits </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86">
              <w:r>
                <w:rPr>
                  <w:rStyle w:val="InternetLink"/>
                  <w:rFonts w:ascii="Times New Roman;sans-serif" w:hAnsi="Times New Roman;sans-serif"/>
                  <w:b w:val="false"/>
                  <w:strike w:val="false"/>
                  <w:dstrike w:val="false"/>
                  <w:color w:val="000000"/>
                  <w:sz w:val="22"/>
                  <w:u w:val="none"/>
                  <w:effect w:val="none"/>
                </w:rPr>
                <w:t>100</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44">
              <w:r>
                <w:rPr>
                  <w:rStyle w:val="InternetLink"/>
                  <w:rFonts w:ascii="Times New Roman;sans-serif" w:hAnsi="Times New Roman;sans-serif"/>
                  <w:b w:val="false"/>
                  <w:strike w:val="false"/>
                  <w:dstrike w:val="false"/>
                  <w:color w:val="000000"/>
                  <w:sz w:val="22"/>
                  <w:u w:val="none"/>
                  <w:effect w:val="non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d6713287444e08b2f8f54f20b60e0d_244">
              <w:r>
                <w:rPr>
                  <w:rStyle w:val="InternetLink"/>
                  <w:rFonts w:ascii="Times New Roman;sans-serif" w:hAnsi="Times New Roman;sans-serif"/>
                  <w:b w:val="false"/>
                  <w:strike w:val="false"/>
                  <w:dstrike w:val="false"/>
                  <w:color w:val="000000"/>
                  <w:sz w:val="22"/>
                  <w:u w:val="none"/>
                  <w:effect w:val="non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Defined Terms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Capitalized terms used herein but not otherwise defined herein shall have the respective meanings ascribed to them in the Amended and Restated Business Combination Agreement, a copy of which is attached as Exhibit 2.1 to our Annual Report on Form 10-K filed March 17, 2025 (the “Annual Report”).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AFM UK” means Alvarium Fund Managers (UK)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AHRA” means Alvarium Home REIT Advisors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Allianz” means Allianz Strategic Investments S.à.r.l., a Luxembourg private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AlTi” or “Successor” means AlTi Global, Inc., together with its consolidated subsidiaries.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AlTi Global Topco” means AlTi Global Topco Limited, formerly known as Alvarium Topco, an Isle of Man entity which was established by Alvarium and owned by the Alvarium Shareholders.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Shareholders” means the shareholders of Alvarium.</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ALWP” means AlTi Wealth Management (Singapore) Pte Limited.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ARE” means AlTi RE Limited, formerly known as Alvarium RE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AUA” means assets under advisement.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AUM” means assets under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AWMS” means Alvarium Investment Managers (Suisse) SA.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Cayman Islands Companies Act” means the Cayman Islands Companies Act (as revised) of the Cayman Islands, as the same may be amended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Paired Interest” means a Class B Unit together with a share of Class B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Consolidated Statement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Consolidated Statement of Operations” refers to the consolidated income statement of AlTi Global, Inc.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Constellation” means Constellation Wealth Capital, LLC.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DGCL” refers to the Delaware General Corporation Law, as amended.</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Dodd-Frank Act” means the Dodd-Frank Wall Street Reform and Consumer Protection Act.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dollars” or “$” refers to U.S. dollars.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Company’s certificate of incorporation consistent with the DGCL and changing the name and registered office of Cartesian.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EEA” means East End Advisors, LLC.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Envoi” means Envoi, LLC.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ESG” means environmental, social and governance.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EU” means European Union.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FCPA” means the Foreign Corrupt Practices Act.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FDIC” means the Federal Deposit Insurance Corporation.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Federal Reserve” means the Board of Governors of the Federal Reserve 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FOS” means the European-based trust and private office service businesses, or European Family Office Services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HLIF” means “Home Long Income Fund”, a private fund regulated by the UK FCA.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HNWI” means high net worth individual, being an individual having investable assets of $1 million or more, excluding primary residence, collectibles, consumables, and consumer durables.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Holbein” means Holbein Partners, LLP.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Home REIT” means “Home REIT plc”, a real estate investment trust listed on the London Stock Exchange.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Impact Investing” means investment practices seeking to generate various levels of financial performance together with the generation of positive measurable environmental and social impacts.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Inflation Reduction Act” means the Inflation Reduction Act of 2022.</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International Real Estate” means the segment that includes the Company’s public and private real estate, and co-investment business.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LRA” means LXi REIT Advisors Limited.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LXi” means LXi REIT plc.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Managed Funds” means mutual funds, exchange traded funds, hedge funds, private equity, real estate or other 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Nasdaq” means the Nasdaq Capital Market.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NAV” means net asset value.</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PW” means Pointwise Partners Limited.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Series A Preferred Stock” means the Series A Cumulative Convertible Preferred Stock, $0.0001 par value,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Series C Preferred Stock” means the Series C Cumulative Convertible Preferred Stock, $0.0001 par value,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SHIA” means Social Housing Income Advisors Limited, an English private limited company.</w:t>
      </w:r>
    </w:p>
    <w:p>
      <w:pPr>
        <w:pStyle w:val="TextBody"/>
        <w:bidi w:val="0"/>
        <w:spacing w:lineRule="auto" w:line="268" w:before="200" w:after="283"/>
        <w:ind w:left="0" w:right="0" w:hanging="360"/>
        <w:jc w:val="both"/>
        <w:rPr/>
      </w:pPr>
      <w:r>
        <w:rPr>
          <w:color w:val="000000"/>
        </w:rPr>
        <w:t>•“</w:t>
      </w:r>
      <w:r>
        <w:rPr>
          <w:rFonts w:ascii="Times New Roman;sans-serif" w:hAnsi="Times New Roman;sans-serif"/>
          <w:b w:val="false"/>
          <w:color w:val="000000"/>
          <w:sz w:val="22"/>
        </w:rPr>
        <w:t>Sponsor” means CGC Sponsor LLC, a Cayman Islands limited liability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Target Companies” means, collectively, TWMH, TIG GP, TIG MGMT, and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Tax Receivable Agreement” or “TRA” means that certain Tax Receivable Agreement, dated as of January 3, 2023, by and among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TIH” means Tiedemann International Holdings, AG.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TRA Exchange” means the series of transactions in which certain holders of Class B Units and Class B Common Stock have exchanged, or may in the future exchange, a portion of such interests to the Company, in exchange for Class A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means, collectively, Tiedemann Wealth &amp; Capital Solutions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Members” means the former members of TWMH.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UHNW” means ultra high net worth individual, being an individual having investable assets of $30 million or more, excluding primary residence, collectibles, consumables, and consumer durables.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UK FCA” means the United Kingdom’s Financial Conduct Authority.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LLC Agreement” means the Fourth Amended and Restated Limited Liability Company Agreement of AlTi Global Capital, LLC, effective as of July 31, 2024.</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Merger Sub” means Rook MS,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US GAAP” means United States generally accepted accounting principles, consistently applied.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Wealth &amp; Capital Solutions” means the segment that consists of the Company’s investment management and advisory services, trusts and administrative services, family office services, and the Company’s alternatives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Quarterly Report on Form 10-Q for the period ended</w:t>
      </w:r>
      <w:r>
        <w:rPr>
          <w:color w:val="000000"/>
          <w:shd w:fill="FFFFFF" w:val="clear"/>
        </w:rPr>
        <w:t xml:space="preserve"> </w:t>
      </w:r>
      <w:r>
        <w:rPr>
          <w:rFonts w:ascii="Times New Roman;sans-serif" w:hAnsi="Times New Roman;sans-serif"/>
          <w:b w:val="false"/>
          <w:color w:val="000000"/>
          <w:sz w:val="22"/>
          <w:shd w:fill="FFFFFF" w:val="clear"/>
        </w:rPr>
        <w:t>March 31, 2025 (the</w:t>
      </w:r>
      <w:r>
        <w:rPr>
          <w:color w:val="000000"/>
        </w:rPr>
        <w:t xml:space="preserve"> “</w:t>
      </w:r>
      <w:r>
        <w:rPr>
          <w:rFonts w:ascii="Times New Roman;sans-serif" w:hAnsi="Times New Roman;sans-serif"/>
          <w:b w:val="false"/>
          <w:color w:val="000000"/>
          <w:sz w:val="22"/>
        </w:rPr>
        <w:t>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I.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 (Unaudited)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Financial Position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2776"/>
        <w:gridCol w:w="2248"/>
        <w:gridCol w:w="2264"/>
        <w:gridCol w:w="204"/>
        <w:gridCol w:w="909"/>
        <w:gridCol w:w="113"/>
        <w:gridCol w:w="109"/>
        <w:gridCol w:w="109"/>
        <w:gridCol w:w="109"/>
        <w:gridCol w:w="218"/>
        <w:gridCol w:w="970"/>
        <w:gridCol w:w="176"/>
      </w:tblGrid>
      <w:tr>
        <w:trPr/>
        <w:tc>
          <w:tcPr>
            <w:tcW w:w="2776"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 except share data)</w:t>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br/>
              <w:t>2024</w:t>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Fees receivable, net (includes $651 and $920 of related party receivables,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at fair value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 of accumulated amortization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469,563 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receivable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1,212,807 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1,255,833 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profit sharing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distributions payable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liabilities, at fair value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 liability (includes $9,074 and $9,378 at fair value,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tranche liability, at fair value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 consideration payable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285,638 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19)</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Mezzanine Equity</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A Redeemable Cumulative Convertible Preferred stock, $0.0001 par value, 795,947 shares authorized, 140,000 shares issued and outstanding at March 31, 2025, 140,000 shares authorized, 140,000 issued and outstanding at December 31, 2024</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C Redeemable Cumulative Convertible Preferred stock, $0.0001 par value, 150,000 shares authorized, 150,000 shares issued and outstanding at March 31, 2025, and 150,000 shares authorized, 150,000 issued and outstanding at December 31, 2024</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Class A, $0.0001 par value, 875,000,000 authorized, 97,128,692 and 93,686,980 issued and outstanding, respectively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Class B, $0.0001 par value, 150,000,000 authorized, 45,110,224 and 46,138,876 issued and outstanding,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Class C Non-Voting, $0.0001 par value, 9,000,000 authorized, 0 and 0 issued and outstanding, respectively </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16"/>
              </w:rPr>
              <w:t>Treasury stock, at cost: 817,730 and 0 shares as of March 31, 2025 and December 31, 2024,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654,588 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652,857 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(accumulated deficit)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(296,561)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AlTi Global, Inc. shareholders’ equity</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665,154 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658,402 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307,548 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972,702 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970,195 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mezzanine equity, and shareholders’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1,212,807 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1,255,833 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Operations (Unaudited)</w:t>
      </w:r>
    </w:p>
    <w:p>
      <w:pPr>
        <w:pStyle w:val="TextBody"/>
        <w:bidi w:val="0"/>
        <w:spacing w:before="0" w:after="0"/>
        <w:jc w:val="center"/>
        <w:rPr/>
      </w:pPr>
      <w:r>
        <w:rPr/>
      </w:r>
    </w:p>
    <w:tbl>
      <w:tblPr>
        <w:tblW w:w="9654" w:type="dxa"/>
        <w:jc w:val="left"/>
        <w:tblInd w:w="0" w:type="dxa"/>
        <w:tblLayout w:type="fixed"/>
        <w:tblCellMar>
          <w:top w:w="28" w:type="dxa"/>
          <w:left w:w="28" w:type="dxa"/>
          <w:bottom w:w="28" w:type="dxa"/>
          <w:right w:w="28" w:type="dxa"/>
        </w:tblCellMar>
      </w:tblPr>
      <w:tblGrid>
        <w:gridCol w:w="1888"/>
        <w:gridCol w:w="1652"/>
        <w:gridCol w:w="1664"/>
        <w:gridCol w:w="109"/>
        <w:gridCol w:w="109"/>
        <w:gridCol w:w="219"/>
        <w:gridCol w:w="219"/>
        <w:gridCol w:w="395"/>
        <w:gridCol w:w="1301"/>
        <w:gridCol w:w="219"/>
        <w:gridCol w:w="109"/>
        <w:gridCol w:w="109"/>
        <w:gridCol w:w="109"/>
        <w:gridCol w:w="266"/>
        <w:gridCol w:w="876"/>
        <w:gridCol w:w="147"/>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1879" w:type="dxa"/>
            <w:gridSpan w:val="8"/>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50,812 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technology and telephone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distribution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65,480 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(13,489)</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TRA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preferred stock tranche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earnout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attributed to non-controlling interests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of Class A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94,883,803 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66,718,427 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94,883,803 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120,561,316 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Comprehensive Income (Loss) (Unaudited)</w:t>
      </w:r>
    </w:p>
    <w:p>
      <w:pPr>
        <w:pStyle w:val="TextBody"/>
        <w:bidi w:val="0"/>
        <w:spacing w:before="0" w:after="0"/>
        <w:jc w:val="center"/>
        <w:rPr/>
      </w:pPr>
      <w:r>
        <w:rPr/>
      </w:r>
    </w:p>
    <w:tbl>
      <w:tblPr>
        <w:tblW w:w="9295" w:type="dxa"/>
        <w:jc w:val="center"/>
        <w:tblInd w:w="0" w:type="dxa"/>
        <w:tblLayout w:type="fixed"/>
        <w:tblCellMar>
          <w:top w:w="28" w:type="dxa"/>
          <w:left w:w="28" w:type="dxa"/>
          <w:bottom w:w="28" w:type="dxa"/>
          <w:right w:w="28" w:type="dxa"/>
        </w:tblCellMar>
      </w:tblPr>
      <w:tblGrid>
        <w:gridCol w:w="1758"/>
        <w:gridCol w:w="1538"/>
        <w:gridCol w:w="1549"/>
        <w:gridCol w:w="109"/>
        <w:gridCol w:w="109"/>
        <w:gridCol w:w="470"/>
        <w:gridCol w:w="470"/>
        <w:gridCol w:w="470"/>
        <w:gridCol w:w="470"/>
        <w:gridCol w:w="473"/>
        <w:gridCol w:w="109"/>
        <w:gridCol w:w="109"/>
        <w:gridCol w:w="109"/>
        <w:gridCol w:w="429"/>
        <w:gridCol w:w="429"/>
        <w:gridCol w:w="431"/>
        <w:gridCol w:w="109"/>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1879" w:type="dxa"/>
            <w:gridSpan w:val="8"/>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22,085 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Other Comprehensive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3,249 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18,008 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loss attributed to non-controlling interests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(3,953)</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(9,640)</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27,648 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360" w:after="283"/>
        <w:jc w:val="both"/>
        <w:rPr/>
      </w:pPr>
      <w:r>
        <w:rPr/>
      </w:r>
    </w:p>
    <w:p>
      <w:pPr>
        <w:pStyle w:val="TextBody"/>
        <w:bidi w:val="0"/>
        <w:spacing w:before="0" w:after="0"/>
        <w:jc w:val="both"/>
        <w:rPr/>
      </w:pPr>
      <w:r>
        <w:rPr/>
      </w:r>
    </w:p>
    <w:tbl>
      <w:tblPr>
        <w:tblW w:w="19924" w:type="dxa"/>
        <w:jc w:val="left"/>
        <w:tblInd w:w="0" w:type="dxa"/>
        <w:tblLayout w:type="fixed"/>
        <w:tblCellMar>
          <w:top w:w="28" w:type="dxa"/>
          <w:left w:w="28" w:type="dxa"/>
          <w:bottom w:w="28" w:type="dxa"/>
          <w:right w:w="28" w:type="dxa"/>
        </w:tblCellMar>
      </w:tblPr>
      <w:tblGrid>
        <w:gridCol w:w="587"/>
        <w:gridCol w:w="291"/>
        <w:gridCol w:w="293"/>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109"/>
        <w:gridCol w:w="109"/>
        <w:gridCol w:w="109"/>
        <w:gridCol w:w="196"/>
        <w:gridCol w:w="406"/>
        <w:gridCol w:w="109"/>
        <w:gridCol w:w="109"/>
        <w:gridCol w:w="109"/>
        <w:gridCol w:w="109"/>
        <w:gridCol w:w="196"/>
        <w:gridCol w:w="571"/>
        <w:gridCol w:w="109"/>
        <w:gridCol w:w="109"/>
        <w:gridCol w:w="109"/>
        <w:gridCol w:w="109"/>
        <w:gridCol w:w="220"/>
        <w:gridCol w:w="827"/>
        <w:gridCol w:w="124"/>
        <w:gridCol w:w="109"/>
        <w:gridCol w:w="109"/>
        <w:gridCol w:w="109"/>
        <w:gridCol w:w="196"/>
        <w:gridCol w:w="776"/>
        <w:gridCol w:w="109"/>
        <w:gridCol w:w="327"/>
        <w:gridCol w:w="262"/>
        <w:gridCol w:w="763"/>
        <w:gridCol w:w="146"/>
        <w:gridCol w:w="327"/>
        <w:gridCol w:w="237"/>
        <w:gridCol w:w="891"/>
        <w:gridCol w:w="133"/>
        <w:gridCol w:w="327"/>
        <w:gridCol w:w="212"/>
        <w:gridCol w:w="796"/>
        <w:gridCol w:w="118"/>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5"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 except share data)</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Total Shareholders</w:t>
            </w:r>
            <w:r>
              <w:rPr>
                <w:color w:val="000000"/>
              </w:rPr>
              <w:t xml:space="preserve">’ </w:t>
            </w:r>
            <w:r>
              <w:rPr>
                <w:rFonts w:ascii="Times New Roman;sans-serif" w:hAnsi="Times New Roman;sans-serif"/>
                <w:b/>
                <w:color w:val="000000"/>
                <w:sz w:val="16"/>
              </w:rP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93,686,980 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46,138,876 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652,857 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970,195 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allocation to equity 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investment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 accrued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business combination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shares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 Exchange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1,028,652 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(1,028,652)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97,128,692 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45,110,224 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654,588 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307,548 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972,702 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0" w:after="0"/>
        <w:jc w:val="center"/>
        <w:rPr/>
      </w:pPr>
      <w:r>
        <w:rPr/>
      </w:r>
    </w:p>
    <w:tbl>
      <w:tblPr>
        <w:tblW w:w="17471" w:type="dxa"/>
        <w:jc w:val="left"/>
        <w:tblInd w:w="0" w:type="dxa"/>
        <w:tblLayout w:type="fixed"/>
        <w:tblCellMar>
          <w:top w:w="28" w:type="dxa"/>
          <w:left w:w="28" w:type="dxa"/>
          <w:bottom w:w="28" w:type="dxa"/>
          <w:right w:w="28" w:type="dxa"/>
        </w:tblCellMar>
      </w:tblPr>
      <w:tblGrid>
        <w:gridCol w:w="618"/>
        <w:gridCol w:w="306"/>
        <w:gridCol w:w="307"/>
        <w:gridCol w:w="109"/>
        <w:gridCol w:w="109"/>
        <w:gridCol w:w="109"/>
        <w:gridCol w:w="368"/>
        <w:gridCol w:w="368"/>
        <w:gridCol w:w="211"/>
        <w:gridCol w:w="109"/>
        <w:gridCol w:w="109"/>
        <w:gridCol w:w="109"/>
        <w:gridCol w:w="196"/>
        <w:gridCol w:w="736"/>
        <w:gridCol w:w="109"/>
        <w:gridCol w:w="109"/>
        <w:gridCol w:w="109"/>
        <w:gridCol w:w="109"/>
        <w:gridCol w:w="480"/>
        <w:gridCol w:w="481"/>
        <w:gridCol w:w="211"/>
        <w:gridCol w:w="109"/>
        <w:gridCol w:w="109"/>
        <w:gridCol w:w="109"/>
        <w:gridCol w:w="318"/>
        <w:gridCol w:w="324"/>
        <w:gridCol w:w="109"/>
        <w:gridCol w:w="109"/>
        <w:gridCol w:w="109"/>
        <w:gridCol w:w="109"/>
        <w:gridCol w:w="480"/>
        <w:gridCol w:w="481"/>
        <w:gridCol w:w="211"/>
        <w:gridCol w:w="203"/>
        <w:gridCol w:w="203"/>
        <w:gridCol w:w="109"/>
        <w:gridCol w:w="236"/>
        <w:gridCol w:w="406"/>
        <w:gridCol w:w="109"/>
        <w:gridCol w:w="109"/>
        <w:gridCol w:w="109"/>
        <w:gridCol w:w="109"/>
        <w:gridCol w:w="231"/>
        <w:gridCol w:w="870"/>
        <w:gridCol w:w="130"/>
        <w:gridCol w:w="109"/>
        <w:gridCol w:w="109"/>
        <w:gridCol w:w="109"/>
        <w:gridCol w:w="211"/>
        <w:gridCol w:w="811"/>
        <w:gridCol w:w="119"/>
        <w:gridCol w:w="109"/>
        <w:gridCol w:w="109"/>
        <w:gridCol w:w="109"/>
        <w:gridCol w:w="283"/>
        <w:gridCol w:w="804"/>
        <w:gridCol w:w="159"/>
        <w:gridCol w:w="109"/>
        <w:gridCol w:w="109"/>
        <w:gridCol w:w="109"/>
        <w:gridCol w:w="248"/>
        <w:gridCol w:w="933"/>
        <w:gridCol w:w="140"/>
        <w:gridCol w:w="327"/>
        <w:gridCol w:w="226"/>
        <w:gridCol w:w="849"/>
        <w:gridCol w:w="126"/>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2"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Shareholders</w:t>
            </w:r>
            <w:r>
              <w:rPr>
                <w:color w:val="000000"/>
              </w:rPr>
              <w:t xml:space="preserve">’ </w:t>
            </w:r>
            <w:r>
              <w:rPr>
                <w:rFonts w:ascii="Times New Roman;sans-serif" w:hAnsi="Times New Roman;sans-serif"/>
                <w:b/>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65,110,875 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53,219,713 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536,509 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(193,527)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782,493 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partner’s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preferred shares,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share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employees on vesting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999,018 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4,954,518 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(4,954,518)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LXi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Constellation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71,064,411 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48,265,195 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(163,838)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901,163 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102" w:type="dxa"/>
        <w:jc w:val="left"/>
        <w:tblInd w:w="0" w:type="dxa"/>
        <w:tblLayout w:type="fixed"/>
        <w:tblCellMar>
          <w:top w:w="28" w:type="dxa"/>
          <w:left w:w="28" w:type="dxa"/>
          <w:bottom w:w="28" w:type="dxa"/>
          <w:right w:w="28" w:type="dxa"/>
        </w:tblCellMar>
      </w:tblPr>
      <w:tblGrid>
        <w:gridCol w:w="2509"/>
        <w:gridCol w:w="2195"/>
        <w:gridCol w:w="2211"/>
        <w:gridCol w:w="270"/>
        <w:gridCol w:w="871"/>
        <w:gridCol w:w="149"/>
        <w:gridCol w:w="115"/>
        <w:gridCol w:w="115"/>
        <w:gridCol w:w="115"/>
        <w:gridCol w:w="265"/>
        <w:gridCol w:w="878"/>
        <w:gridCol w:w="146"/>
        <w:gridCol w:w="109"/>
        <w:gridCol w:w="154"/>
      </w:tblGrid>
      <w:tr>
        <w:trPr/>
        <w:tc>
          <w:tcPr>
            <w:tcW w:w="250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deferred financing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 loss on investments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(gain) loss on TRA</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on equity method investments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(gain) loss on warrant liability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(gain) loss on earnout liability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gain (loss) on preferred stock tranche liability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Equity-settled share-based payments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(gains)/losses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Forgiveness of debt of notes receivable from members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due to changes in operating assets and 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fees receivable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assets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 from operating leases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accounts payable and accrued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accrued compensation and profit sharing</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(Continued on the following page)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0"/>
        <w:jc w:val="left"/>
        <w:rPr/>
      </w:pPr>
      <w:hyperlink w:anchor="ic6d6713287444e08b2f8f54f20b60e0d_253">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242" w:type="dxa"/>
        <w:jc w:val="left"/>
        <w:tblInd w:w="0" w:type="dxa"/>
        <w:tblLayout w:type="fixed"/>
        <w:tblCellMar>
          <w:top w:w="28" w:type="dxa"/>
          <w:left w:w="28" w:type="dxa"/>
          <w:bottom w:w="28" w:type="dxa"/>
          <w:right w:w="28" w:type="dxa"/>
        </w:tblCellMar>
      </w:tblPr>
      <w:tblGrid>
        <w:gridCol w:w="1834"/>
        <w:gridCol w:w="1615"/>
        <w:gridCol w:w="1620"/>
        <w:gridCol w:w="266"/>
        <w:gridCol w:w="877"/>
        <w:gridCol w:w="147"/>
        <w:gridCol w:w="110"/>
        <w:gridCol w:w="110"/>
        <w:gridCol w:w="110"/>
        <w:gridCol w:w="243"/>
        <w:gridCol w:w="913"/>
        <w:gridCol w:w="134"/>
        <w:gridCol w:w="109"/>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(Continued from the previous page)</w:t>
            </w:r>
          </w:p>
        </w:tc>
        <w:tc>
          <w:tcPr>
            <w:tcW w:w="2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 of payments of notes receivable from members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 for delayed share purchase agreement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investments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LXi REIT Advisors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 method investment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intangible assets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assets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preferred stock and Constellation Warrants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contribution (distribution)</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term notes and lines of credit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on term notes and lines of credit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on net settled share-based compensation awards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stock and Constellation Warrants issuance costs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104,096 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119,381 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the period</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the period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176" w:type="dxa"/>
        <w:jc w:val="left"/>
        <w:tblInd w:w="0" w:type="dxa"/>
        <w:tblLayout w:type="fixed"/>
        <w:tblCellMar>
          <w:top w:w="28" w:type="dxa"/>
          <w:left w:w="28" w:type="dxa"/>
          <w:bottom w:w="28" w:type="dxa"/>
          <w:right w:w="28" w:type="dxa"/>
        </w:tblCellMar>
      </w:tblPr>
      <w:tblGrid>
        <w:gridCol w:w="2026"/>
        <w:gridCol w:w="1779"/>
        <w:gridCol w:w="1789"/>
        <w:gridCol w:w="196"/>
        <w:gridCol w:w="646"/>
        <w:gridCol w:w="109"/>
        <w:gridCol w:w="109"/>
        <w:gridCol w:w="109"/>
        <w:gridCol w:w="109"/>
        <w:gridCol w:w="196"/>
        <w:gridCol w:w="736"/>
        <w:gridCol w:w="109"/>
        <w:gridCol w:w="109"/>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balance sheet cash and cash equivalents to cash flows: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on balance sheet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included in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including cash in Assets held for sale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Paid During the Period for: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payments on term notes and lines of credit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(1)Description of the Business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AlTi is an independent global wealth manager providing entrepreneurs, multi-generational families, institutions, and emerging next-generation leaders with fiduciary capabilities as well as alternative investment strategies, underscored by a commitment to impact or values-aligned investing. We manage or advise approximately $75.9 billion in combined assets as of March 31, 2025. We have approximately 430 professionals operating in 19 cities in 8 countries across three continents as of March 31,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Separately, we have one internally managed fund and stakes in three externally-managed funds in our alternatives platform, with a largely institutional client base. </w:t>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Capital Structure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the following classes of shares and other instruments outstanding: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Common Stock – Shares of Class A Common Stock that are publicly traded. Class A shareholders are entitled to dividends on shares of Class A Common Stock declared by the Company’s board of directors. As of March 31, 2025, the shares of Class A Common Stock represent 63.2% of the total voting power of all shares of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Class B Common Stock – Shares of Class B Common Stock that are not publicly traded. Class B shareholders are entitled to distributions declared by the Company’s board of directors. The distributions are paid by Umbrella. As of March 31, 2025, the shares of Class B Common Stock represent 29.3% of the total voting power of all shares of Common Stock.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Series A Preferred Stock – On July 31, 2024, the Company completed the sale (the “Investment”) to Allianz Strategic Investments S.à.r.l., a Luxembourg private limited liability company (“Allianz”) (together with the Investment, the “Allianz Transaction”) of (i) 140,000 shares of Series A Preferred Stock and (ii) 19,318,580.96 shares of Class A Common Stock for an aggregate purchase price equal to $250 million (the “Allianz Closing”) and issued to Allianz warrants (the “Allianz Warrants”) to purchase 5,000,000 shares of Class A Common Stock at an exercise price of $7.40 per share pursuant to an Investment Agreement dated February 22, 2024, by and between the Company and Allianz (the “Allianz Investment Agreement”). The Allianz Warrants are classified as a component of equity in the line item Additional paid-in capital on the Company’s Condensed Consolidated Statement of Financial Position as of March 31, 2025. No Allianz Warrants were exercised during the current reporting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Series A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50% in shares of Series A Preferred Stock, which will increase the stated value of the issued shares of Series A Preferred Stock, and 50% in shares of Class A Common Stock. The Series A Preferred Stock will also participate with any dividends or distributions declared on the Class A Common Stock. The Series A Preferred Stock has no voting rights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an ownership cap of 24.9% of the aggregate issued and outstanding shares of Class A Common Stock and Class B Common Stock. The Series A Preferred Stock is classified under mezzanine equity on the Company’s Condensed Consolidated Statement of Financial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on February 22, 2024, the Company entered into a Supplemental Series A Preferred Stock Investment Agreement with Allianz (the “Supplemental Investment Agreement”), pursuant to which, for purposes of funding one or more strategic international acquisitions by the Company or its subsidiaries, Allianz is permitted, at its option, to purchase up to 50,000 additional shares of Series A Preferred Stock up to an aggregate amount equal to $50 million (the “Allianz Tranche Right”). Additional Series A Preferred Stock issued upon exercise of the Allianz Tranche Right will abide by the same terms and conditions in the Allianz Investment Agreement at a price of $1,000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Allianz Closing, on July 31, 2024 the Company (i) adopted and filed with the Secretary of State of the State of Delaware (x) a certificate of designations for the Series A Preferred Stock setting forth the rights, preferences, privileges and restrictions applicable to the Series A Preferred Stock and (y) an amendment to the Company’s certificate of incorporation to authorize and designate the Company’s Class C Non-Voting Common Stock, par value $0.0001 per share (the “Non-Voting Common Stock”), which was previously approved by the Company’s stockholders, and (ii) entered into an Investor Rights Agreement with Allianz pursuant to which, among other items, Allianz will have the right to nominate two directors to the Company’s Board until such time as Allianz ceases to own at least 50% of the initial shares of Class A Common Stock acquired at the Allianz Closing. The Non-Voting Common Stock will be issued to Allianz if the 24.9% ownership cap is triggered.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Also in connection with the Allianz Closing, the Company and AlTi Global Capital, LLC, a wholly-owned subsidiary of the Company, entered into the Fourth Amended and Restated Limited Liability Company Agreement of AlTi Global Capital, LLC (the “Umbrella LLC Agreement”) to create preferred and common units of AlTi Global Capital, LLC that mirror the rights, preferences, privileges and restrictions applicable to the Series A Preferred Stock, which were issued at the Allianz Closing and the Company’s Non-Voting Common Stock, which may be issued in the future to Allianz.</w:t>
      </w:r>
      <w:r>
        <w:rPr>
          <w:color w:val="000000"/>
        </w:rPr>
        <w:t xml:space="preserve"> </w:t>
      </w:r>
      <w:r>
        <w:rPr>
          <w:rFonts w:ascii="Times New Roman;sans-serif" w:hAnsi="Times New Roman;sans-serif"/>
          <w:b w:val="false"/>
          <w:color w:val="000000"/>
          <w:sz w:val="22"/>
        </w:rPr>
        <w:t xml:space="preserve">The Umbrella LLC Agreement was also amended to reflect the creation of preferred units of AlTi Global Capital, LLC that mirror the rights, preferences, privileges and restrictions applicable to the Series C Preferred Stock previously issued to Constellation.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Series C Preferred Stock – Shares of Series C Preferred Stock that are not publicly traded and issued in connection with the sale of 150,000 shares of Series C Preferred Stock that occurred in two transactions (the “Transactions”) to Constellation AlTi Investor LLC, an affiliate of Constellation Wealth Capital, LLC (“Constellation”) (collectively, the “Constellation Transaction”),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March 31, 2025, the 150,000 outstanding shares of Series C Preferred Stock represent 7.5% of the total voting power of all shares. The Series C Preferred Stock is classified under mezzanine equity on the Company’s Condensed Consolidated Statement of Financial Position.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Constellation Transaction, the Company issued warrants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These warrants have been classified as a component of equity in the line item Additional paid-in capital on the Company’s Condensed Consolidated Statement of Financial Position as of March 31, 2025. No Constellation Warrants were exercised during the current reporting period.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AlTi’s capital structure as of March 31, 2025 is reflected below: </w:t>
      </w:r>
    </w:p>
    <w:p>
      <w:pPr>
        <w:pStyle w:val="TextBody"/>
        <w:bidi w:val="0"/>
        <w:spacing w:before="0" w:after="0"/>
        <w:jc w:val="left"/>
        <w:rPr/>
      </w:pPr>
      <w:r>
        <w:rPr/>
        <w:drawing>
          <wp:inline distT="0" distB="0" distL="0" distR="0">
            <wp:extent cx="6943725" cy="538162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6943725" cy="5381625"/>
                    </a:xfrm>
                    <a:prstGeom prst="rect">
                      <a:avLst/>
                    </a:prstGeom>
                  </pic:spPr>
                </pic:pic>
              </a:graphicData>
            </a:graphic>
          </wp:inline>
        </w:drawing>
      </w:r>
      <w:bookmarkStart w:id="0" w:name="i-1"/>
      <w:bookmarkEnd w:id="0"/>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number of shares of the Company that were issued and outstanding as of March 31, 2025 and December 31, 2024:</w:t>
      </w:r>
    </w:p>
    <w:tbl>
      <w:tblPr>
        <w:tblW w:w="5680" w:type="dxa"/>
        <w:jc w:val="left"/>
        <w:tblInd w:w="0" w:type="dxa"/>
        <w:tblLayout w:type="fixed"/>
        <w:tblCellMar>
          <w:top w:w="28" w:type="dxa"/>
          <w:left w:w="28" w:type="dxa"/>
          <w:bottom w:w="28" w:type="dxa"/>
          <w:right w:w="28" w:type="dxa"/>
        </w:tblCellMar>
      </w:tblPr>
      <w:tblGrid>
        <w:gridCol w:w="743"/>
        <w:gridCol w:w="654"/>
        <w:gridCol w:w="658"/>
        <w:gridCol w:w="494"/>
        <w:gridCol w:w="494"/>
        <w:gridCol w:w="496"/>
        <w:gridCol w:w="109"/>
        <w:gridCol w:w="109"/>
        <w:gridCol w:w="109"/>
        <w:gridCol w:w="530"/>
        <w:gridCol w:w="530"/>
        <w:gridCol w:w="7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br/>
              <w:t>2024</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97,128,692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93,686,980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45,110,224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46,138,876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Stock</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Segments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&amp; Capital Solutions and International Real Estate. Described below are the segments and the revenue generated by each, which broadly fall into four categories: (i) recurring management, advisory, or administration fees; (ii) performance or incentive fees; (iii) distributions from investments and (iv) other income or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third quarter ended September 30, 2024, management commenced a strategic review of the Company’s Real Estate Co-Investment and Fund Management Businesses (the “Real Estate Businesses”). In addition to evaluating future strategic options for these businesses, management has reviewed how these business should be reported, including whether any changes were needed to the components of our operating segments. One conclusion from the review to date is that the Real Estate Businesses are no longer considered a core part of our forward looking strategy. Consequently, during 2024 we combined the results of these businesses and presented them in a standalone operating segment, separately from our core businesses. Management, in conjunction with our Board, continues to evaluate options related to Real Estate Businesses going forward. Several options are currently under consideration, and we aim to complete the review and finalize a course of action pending regulatory approval. Due to the change in the composition of our segments, prior period data has been recast for comparative purposes.</w:t>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Wealth &amp; Capital Solutions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Overview</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Results generated by our Wealth &amp; Capital Solutions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UHNW individuals, families, single-family offices, foundations, and endowments globally, while Alternatives Platform clients are typically institutional. Investment management or advisory fees, incentive fees, and distributions from investments are the primary sources of revenue in our Wealth &amp; Capital Solutions segment. Management fees are generally calculated based on a percentage of the value of billable AUM or AUA (as applicable), while incentive fees are driven by the underlying performance of managed portfolios. As of March 31, 2025 and December 31, 2024, this segment had $67.2 billion and $67.3 billion, respectively, in AUA.</w:t>
      </w:r>
    </w:p>
    <w:p>
      <w:pPr>
        <w:pStyle w:val="TextBody"/>
        <w:bidi w:val="0"/>
        <w:spacing w:lineRule="auto" w:line="292" w:before="200" w:after="283"/>
        <w:jc w:val="both"/>
        <w:rPr>
          <w:rFonts w:ascii="Times New Roman;sans-serif" w:hAnsi="Times New Roman;sans-serif"/>
          <w:b/>
          <w:i/>
          <w:color w:val="000000"/>
          <w:sz w:val="22"/>
        </w:rPr>
      </w:pPr>
      <w:r>
        <w:rPr>
          <w:rFonts w:ascii="Times New Roman;sans-serif" w:hAnsi="Times New Roman;sans-serif"/>
          <w:b/>
          <w:i/>
          <w:color w:val="000000"/>
          <w:sz w:val="22"/>
        </w:rPr>
        <w:t>Investment Management and Advisory Services</w:t>
      </w:r>
    </w:p>
    <w:p>
      <w:pPr>
        <w:pStyle w:val="TextBody"/>
        <w:bidi w:val="0"/>
        <w:spacing w:lineRule="auto" w:line="292"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In building portfolios, we also consider the need to access funds for unexpected living or funding expenses, thereby seeking to avoid forced selling of assets at inopportune times, and for clients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92"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certain jurisdictions, such as the U.S., we are focused on understanding tax considerations and optimizing for after tax returns. In addition, we offer robust impact investing services that can be delivered across a broad range of asset classes and with investors from all asset levels.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regard to the unique opportunities that we offer access to, we have established a platform through which we are able to provide clients of our wealth management services access to investments in strategies and asset classes to which they would otherwise likely not be able to gain exposure, including through our private markets partnership with Allianz (for example, because of very high minimum investment thresholds in the underlying funds). We operate a number of such vehicles focused on vintage private equity, credit, real estate, active global managers and hedge fund strategies. The vehicles, by way of example, invest in either a single underlying private equity fund or a portfolio of private equity or other alternative assets funds, in each case, which are managed by access constrained managers we believe, based upon our thorough manager selection processes, will deliver strong risk adjusted performance, in line with their strategy, for our clients. We intend to launch further vintages of such private market vehicles over time to enable our investment management and advisory clients to include an allocation to these alternative funds in their portfolios on a running basis. These private strategies are expected to include traditional as well as innovative and impact investing offerings.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independence of our investment management and advisory services is important to us and our wealth management and OCIO clients. By independent, we mean that our investment management and advisory services operate independently of any managers or investment product manufacturers (including our own) to which we may allocate or recommend allocating capital. In all cases, each client’s individual objectives and expectations are our primary concern, and we employ an open architecture approach, whereby we seek to find the best investment solutions for our clients in the marketplace. More specifically, we do not receive undisclosed forms of compensation; and our investment decisions and recommendations are made with each client’s individual best interests in mind.</w:t>
      </w:r>
    </w:p>
    <w:p>
      <w:pPr>
        <w:pStyle w:val="TextBody"/>
        <w:bidi w:val="0"/>
        <w:spacing w:lineRule="auto" w:line="288"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provide clients with performance reports, detailing the clients’ portfolio performance and comparing such performance to relevant benchmarks or indices. If requested by a client, the reporting can include information encompassing assets that are not in the portfolio managed by AlTi to give a total consolidated view. In addition to financial performance, we are also able to discuss a client’s impact performance for those interested in tracking impact specific metrics, in addition to their financial goals. We choose to use third-party software for record-keeping, performance calculation, and reporting, using Addepar, Inc.’s SaaS platform, and we prepare performance reports by using data provided by custodians, investment managers, and independent pricing services. We then interpret and analyze how portfolio performance aligns with clients’ financial, non-financial and, where relevant, impact goals and values. </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Trust Services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trust services that we provide within our U.S. wealth service offering aim to ensure our clients’ wealth is preserved, protected, and distributed as intended. As of March 31, 2025, these services are primarily provided from Delaware, which is one of the most well-developed trust legal regimes in the United States. Our trust services include creating or modifying trust instruments and acting as fiduciary in a full, directed or executor capacity.</w:t>
      </w:r>
    </w:p>
    <w:p>
      <w:pPr>
        <w:pStyle w:val="TextBody"/>
        <w:bidi w:val="0"/>
        <w:spacing w:lineRule="auto" w:line="268" w:before="12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Family Office Services</w:t>
      </w:r>
    </w:p>
    <w:p>
      <w:pPr>
        <w:pStyle w:val="TextBody"/>
        <w:bidi w:val="0"/>
        <w:spacing w:lineRule="auto" w:line="268"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are tailored outsourced family office solutions and administrative services which we provide primarily to our larger clients. Our family office services cover: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bookkeeping and back office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private foundation management and grant making;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oversight of trust administration;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financial tracking and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cash flow management &amp; bill pay;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other financial services.</w:t>
      </w:r>
    </w:p>
    <w:p>
      <w:pPr>
        <w:pStyle w:val="TextBody"/>
        <w:bidi w:val="0"/>
        <w:spacing w:lineRule="auto" w:line="288"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also offer clients estate and wealth planning, family governance and education, and philanthropic and strategic services.</w:t>
      </w:r>
    </w:p>
    <w:p>
      <w:pPr>
        <w:pStyle w:val="TextBody"/>
        <w:bidi w:val="0"/>
        <w:spacing w:lineRule="auto" w:line="288"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part of 2024, the Company also had a European trust and private office services business which was deemed non-strategic to the business and was sold on May 8, 2024. See Note 3 (Business Combinations and Divestitures).</w:t>
      </w:r>
    </w:p>
    <w:p>
      <w:pPr>
        <w:pStyle w:val="TextBody"/>
        <w:bidi w:val="0"/>
        <w:spacing w:lineRule="auto" w:line="268" w:before="12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alternatives platform assists money managers in building their fund management businesses. We have one internally managed fund and stakes in three externally-managed funds. Our internally-managed fund, TIG Arbitrage strategy (“TIG Arbitrage”), is an event-driven fund which has $1.6 billion of AUM as of March 31, 2025. It is managed by our subsidiary TIG Advisors, LLC, an SEC-registered investment advisor. In addition, we have made strategic investments with External Strategic Managers, who manage approximately $5.0 billion of AUM in the aggregate as of March 31, 2025. The strategies of these External Strategic Managers include real estate bridge lending, European long short equities, and Asian credit and special situations.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and strategy.</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2024, our services also included back and middle office solutions for the funds. These services were spun out on November 15, 2024, under the name Altaira Strategic Partners which continues to provide services to the TIG Arbitrage strategy, in addition to other funds. </w:t>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International Real Estate</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Overview</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International Real Estate segment includes our Real Estate Co-Investment and Real Estate Fund Management businesses. As of March 31, 2025, our AUM/AUA in this segment was $8.7 billion. </w:t>
      </w:r>
    </w:p>
    <w:p>
      <w:pPr>
        <w:pStyle w:val="TextBody"/>
        <w:bidi w:val="0"/>
        <w:spacing w:lineRule="auto" w:line="288" w:before="200" w:after="283"/>
        <w:jc w:val="both"/>
        <w:rPr/>
      </w:pPr>
      <w:r>
        <w:rPr>
          <w:rFonts w:ascii="Times New Roman;sans-serif" w:hAnsi="Times New Roman;sans-serif"/>
          <w:b w:val="false"/>
          <w:color w:val="000000"/>
          <w:sz w:val="22"/>
        </w:rPr>
        <w:t>Consistent with management’s overall view of the core business, and following a strategic review conducted in the third quarter of 2024, it was determined that the businesses reflected in the International Real Estate segment are not additive to our long-term strategy.</w:t>
      </w:r>
      <w:r>
        <w:rPr>
          <w:color w:val="000000"/>
        </w:rPr>
        <w:t xml:space="preserve"> </w:t>
      </w:r>
      <w:r>
        <w:rPr>
          <w:rFonts w:ascii="Times New Roman;sans-serif" w:hAnsi="Times New Roman;sans-serif"/>
          <w:b w:val="false"/>
          <w:color w:val="000000"/>
          <w:sz w:val="22"/>
        </w:rPr>
        <w:t xml:space="preserve">Several strategic options are currently under consideration, and our objective is to finalize a course of action in the near future. </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Co-Investment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Real estate co-investment oversees deal origination, documentation, and structuring from inception to exit for a variety of strategies, including development, income, value-add, and planning. Investors are typically HNWIs, single family offices, and institutional investors. </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Fund Management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first quarter of 2024, our real estate fund management business managed two funds based in the United Kingdom: LXi REIT plc (“LXi”), and Home Long Income Fund (“HLIF”), a private fund. As described further below, during 2024 we exited the management of LXi.</w:t>
      </w:r>
    </w:p>
    <w:p>
      <w:pPr>
        <w:pStyle w:val="TextBody"/>
        <w:bidi w:val="0"/>
        <w:spacing w:lineRule="auto" w:line="288" w:before="20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Home Long Income Fund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Home Long Income Fund is an English open-ended investment company launched in October 2018. Its investment objective is to deliver secure inflation-protected income and capital growth by investing in a portfolio of UK homeless shelters. HLIF is advised by SHIA and AFM UK acts as its alternative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fund manager. Both SHIA and AFM UK are wholly owned subsidiaries of the Company. As of March 31, 2025, HLIF had assets under management of approximately $0.3 billion. We are in discussions with a third-party manager to take over the management of HLIF and AFM UK’s and SHIA’s services to HLIF will terminate if the transition completes.</w:t>
      </w:r>
    </w:p>
    <w:p>
      <w:pPr>
        <w:pStyle w:val="TextBody"/>
        <w:bidi w:val="0"/>
        <w:spacing w:lineRule="auto" w:line="288" w:before="20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LXi REIT plc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LXi is an English real estate investment trust company, launched in February 2017, whose shares are traded on the premium segment of the London Stock Exchange’s Main Market. LXi was advised by LXi REIT Advisors Limited (“LRA”), and its investment objective is to deliver inflation-protected income and capital growth over the medium-term for its shareholders through investing in a diversified portfolio of UK property that benefits from long-term index-linked leases with institutional-grade tenants.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January 9, 2024, AlTi RE Public Markets Limited entered into heads of terms to sell 100% of the equity of LRA, the advisor to the publicly-traded fund LXi, to LondonMetric Property Plc (“LondonMetric”). This disposal was completed on March 6, 2024. See Note 3 (Business Combinations and Divestitures)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(2)Summary of Significant Accounting Policies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(a)Basis of Presentation</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accompanying unaudited condensed consolidated financial statements comprise the financial statements of the Company and its subsidiaries. These condensed consolidated financial statements have been prepared under the accrual basis of accounting in accordance with U.S. GAAP and conform to prevailing practices within the financial services industry, as applicable to the Company, and should be read in conjunction with the annual financial statements included in the Annual Report.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 </w:t>
      </w:r>
    </w:p>
    <w:p>
      <w:pPr>
        <w:pStyle w:val="TextBody"/>
        <w:bidi w:val="0"/>
        <w:spacing w:before="0" w:after="0"/>
        <w:jc w:val="both"/>
        <w:rPr/>
      </w:pPr>
      <w:r>
        <w:rPr/>
      </w:r>
    </w:p>
    <w:p>
      <w:pPr>
        <w:pStyle w:val="TextBody"/>
        <w:bidi w:val="0"/>
        <w:spacing w:lineRule="auto" w:line="264"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(b)Change in Accounting Principle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During the fourth quarter ended December 31, 2024, the Company changed its classification related to the Allianz and Constellation Warrants from liability-classified to equity-classified within the Statement of Financial Position. The Company changed its accounting principle relating to our interpretation of certain contingent settlement provisions within the Allianz and Constellation Warrants and permissibility of related settlement adjustments under ASC 815-40, </w:t>
      </w:r>
      <w:r>
        <w:rPr>
          <w:rFonts w:ascii="Times New Roman;sans-serif" w:hAnsi="Times New Roman;sans-serif"/>
          <w:b w:val="false"/>
          <w:i/>
          <w:color w:val="000000"/>
          <w:sz w:val="22"/>
        </w:rPr>
        <w:t xml:space="preserve">Contracts in an Entity’s Own Equity. </w:t>
      </w:r>
      <w:r>
        <w:rPr>
          <w:rFonts w:ascii="Times New Roman;sans-serif" w:hAnsi="Times New Roman;sans-serif"/>
          <w:b w:val="false"/>
          <w:color w:val="000000"/>
          <w:sz w:val="22"/>
        </w:rPr>
        <w:t xml:space="preserve">The Company believes this change in accounting principle is preferable as the Allianz and Constellation Warrants met the equity scope exception under ASC 815-40, </w:t>
      </w:r>
      <w:r>
        <w:rPr>
          <w:rFonts w:ascii="Times New Roman;sans-serif" w:hAnsi="Times New Roman;sans-serif"/>
          <w:b w:val="false"/>
          <w:i/>
          <w:color w:val="000000"/>
          <w:sz w:val="22"/>
        </w:rPr>
        <w:t>Contracts in an Entity’s Own Equity</w:t>
      </w:r>
      <w:r>
        <w:rPr>
          <w:rFonts w:ascii="Times New Roman;sans-serif" w:hAnsi="Times New Roman;sans-serif"/>
          <w:b w:val="false"/>
          <w:color w:val="000000"/>
          <w:sz w:val="22"/>
        </w:rPr>
        <w:t>, and the economic substance of the Allianz and Constellation Warrants more closely aligns with that of an equity instrument, and how we measure the operating performance of the Company.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change in accounting policy was applied retrospectively for the year-ended December 31, 2024. As a result of the accounting change, the Company adjusted Net income (loss) and Additional paid-in capital to reverse previously recorded mark-to-market fair value changes of the liability-classified warrants recorded as of the first quarter ended March 31, 2024 of $(0.3) million. As of March 31, 2025, the Allianz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Constellation Warrants of $9.6 million are recognized as a component of equity within Additional paid-in capital on the Condensed Consolidated Statement of Financial Position.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(c)Use of Estimates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US GAAP requires management to make assumptions and estimates that affect the amounts reported in the condensed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pStyle w:val="TextBody"/>
        <w:bidi w:val="0"/>
        <w:spacing w:lineRule="auto" w:line="288" w:before="200" w:after="283"/>
        <w:ind w:left="0" w:right="0" w:hanging="540"/>
        <w:jc w:val="both"/>
        <w:rPr/>
      </w:pPr>
      <w:r>
        <w:rPr>
          <w:rFonts w:ascii="Times New Roman;sans-serif" w:hAnsi="Times New Roman;sans-serif"/>
          <w:b/>
          <w:i/>
          <w:color w:val="000000"/>
          <w:sz w:val="22"/>
        </w:rPr>
        <w:t>(d)</w:t>
      </w:r>
      <w:r>
        <w:rPr>
          <w:rFonts w:ascii="Times New Roman;sans-serif" w:hAnsi="Times New Roman;sans-serif"/>
          <w:b/>
          <w:i/>
          <w:color w:val="000000"/>
          <w:sz w:val="22"/>
          <w:shd w:fill="FFFFFF" w:val="clear"/>
        </w:rPr>
        <w:t>Consolidation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consolidates all VIEs for which it is the primary beneficiary. An entity is determined to be the primary beneficiary if it holds a controlling financial interest, which is defined as having (a) the power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(e)Revenue Recognition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business is also included in the Management/advisory fees line item. Family office services fees are generally structured to reflect an annual agreed upon fee or they can be structured on a project/time-based fee. Family office services fees are typically billed quarterly in arrears. We also generate family office services project/time-based fees arising from accounting, administration fees, set up, the Foreign Account Tax Compliance Act (“FATCA”), and other non-investment advisory services.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arrangement fees in its co-investment division by arranging private debt or equity financing, generally in connection with an acquisition. Arrangement fees range from 50 and 175 basis points of the equity value contributed into a transaction and are payable upon close of the deal. The Company also generates brokerage fees which are similar to arrangement fees except that they are generally paid for assisting public companies in raising capital.</w:t>
      </w:r>
    </w:p>
    <w:p>
      <w:pPr>
        <w:pStyle w:val="TextBody"/>
        <w:bidi w:val="0"/>
        <w:spacing w:lineRule="auto" w:line="26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(f)Distributions from Investments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equity interests in External Strategic Managers pursuant to which it is entitled to distributions based on the terms of the respective arrangements. Distributions from each investment will be recorded upon receipt of the distribution. These distributions are recurring under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agreements and are structured as either a profit or revenue share of the investment’s management and incentive fees.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(g)Cash and Cash Equivalents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primarily consist of cash and money market funds. Cash balances maintained by consolidated VIEs are not considered legally restricted and are included in cash and cash equivalents on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was held across our U.S. and international markets. A majority of cash in the U.S. was held in checking accounts within the credit facility bank group, including at a major global financial institution which management believes is creditworthy.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(h)Restricted Cash and Cash Equivalents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Restricted cash and cash equivalents consist of balances that are restricted as to withdrawal or usage.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2025 and December 31, 2024, restricted cash and cash equivalents amounted to $6.9 million and $9.9 million, respectively, and are included in the line item Cash and cash equivalents on the Condensed Consolidated Statement of Financial Position as of such dates. These amounts represent the level of liquidity to be maintained by the Company’s certain subsidiaries to meet regulatory requirements. Failing to meet the requirement could lead to censure, fines, and ultimately a loss of license.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(i)Compensation and Employee Benefits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Cash-Based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 and benefits consist of salaries, bonuses, commissions, benefits and payroll taxes. Compensation is accrued over the related service period.</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Equity-Based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for time-based awards or recognized over a graded-vesting period for awards with both a service and market condition, as applicable.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benefits or expenses in the Condensed Consolidated Statement of Operations.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(j)Foreign Currency and Transactions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that the Company intends to repay in the foreseeable future are recorded in net income.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(k)Income Taxes</w:t>
      </w:r>
    </w:p>
    <w:p>
      <w:pPr>
        <w:pStyle w:val="TextBody"/>
        <w:bidi w:val="0"/>
        <w:spacing w:lineRule="auto" w:line="288" w:before="200" w:after="283"/>
        <w:jc w:val="both"/>
        <w:rPr/>
      </w:pPr>
      <w:r>
        <w:rPr>
          <w:rFonts w:ascii="Times New Roman;sans-serif" w:hAnsi="Times New Roman;sans-serif"/>
          <w:b w:val="false"/>
          <w:color w:val="000000"/>
          <w:sz w:val="22"/>
        </w:rPr>
        <w:t xml:space="preserve">The Company accounts for income taxes under the asset and liability method in accordance with ASC 740,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not be realized, meaning the likelihood of realization is less than 50%.</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(l)Other Assets, Net and Other Liabilities,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assets, net include prepaid expenses, miscellaneous receivables, current income taxes receivable, fixed assets, and software licenses. The Company amortizes assets over their respective useful lives, as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liabilities, net include Pointwise Partners Limited (“PW”) deferred consideration, accrued payroll and payroll related taxes, accrued legal fees, and corporate taxes payable, among other miscellaneous payables.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(m)Investments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in Debt Securities.</w:t>
      </w:r>
      <w:r>
        <w:rPr>
          <w:color w:val="000000"/>
        </w:rPr>
        <w:t xml:space="preserve"> </w:t>
      </w:r>
      <w:r>
        <w:rPr>
          <w:rFonts w:ascii="Times New Roman;sans-serif" w:hAnsi="Times New Roman;sans-serif"/>
          <w:b w:val="false"/>
          <w:color w:val="000000"/>
          <w:sz w:val="22"/>
        </w:rPr>
        <w:t>The Company classifies debt investments as held-to-maturity or trading based on the Company’s intent and ability to hold the debt security to maturity or its intent to sell the security. The Company does not have any held-to-maturity debt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Trading securities are those investments that are purchased principally for the purpose of selling them in the near term. Trading securities are carried at fair value on the Condensed Consolidated Statement of Financial Position with changes in fair value recorded in Loss on investments on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Investments in Equity Securities</w:t>
      </w:r>
      <w:r>
        <w:rPr>
          <w:rFonts w:ascii="Times New Roman;sans-serif" w:hAnsi="Times New Roman;sans-serif"/>
          <w:b w:val="false"/>
          <w:color w:val="000000"/>
          <w:sz w:val="22"/>
        </w:rPr>
        <w:t xml:space="preserve">. Equity securities are generally carried at fair value on the Condensed Consolidated Statement of Financial Position in accordance with ASC 321, </w:t>
      </w:r>
      <w:r>
        <w:rPr>
          <w:rFonts w:ascii="Times New Roman;sans-serif" w:hAnsi="Times New Roman;sans-serif"/>
          <w:b w:val="false"/>
          <w:i/>
          <w:color w:val="000000"/>
          <w:sz w:val="22"/>
        </w:rPr>
        <w:t>Investments – Equity Securities</w:t>
      </w:r>
      <w:r>
        <w:rPr>
          <w:rFonts w:ascii="Times New Roman;sans-serif" w:hAnsi="Times New Roman;sans-serif"/>
          <w:b w:val="false"/>
          <w:color w:val="000000"/>
          <w:sz w:val="22"/>
        </w:rPr>
        <w:t>. Changes in fair value are recorded in Loss on investments on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Equity Method</w:t>
      </w:r>
      <w:r>
        <w:rPr>
          <w:rFonts w:ascii="Times New Roman;sans-serif" w:hAnsi="Times New Roman;sans-serif"/>
          <w:b w:val="false"/>
          <w:color w:val="000000"/>
          <w:sz w:val="22"/>
        </w:rPr>
        <w:t xml:space="preserve">. The Company applies the equity method of accounting for equity investments where the Company does not consolidate the investee but can exert significant influence over the financial and operating policies of the investee. The evaluation of whether the Company exerts control or significant influence over the financial and operational policies of its investees is based on the facts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pPr>
      <w:r>
        <w:rPr>
          <w:rFonts w:ascii="Times New Roman;sans-serif" w:hAnsi="Times New Roman;sans-serif"/>
          <w:b w:val="false"/>
          <w:color w:val="000000"/>
          <w:sz w:val="22"/>
        </w:rPr>
        <w:t xml:space="preserve">circumstances surrounding each individual investment. The Company’s share of the investee’s underlying net income or loss is recorded as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 </w:t>
      </w:r>
      <w:r>
        <w:rPr>
          <w:rFonts w:ascii="Times New Roman;sans-serif" w:hAnsi="Times New Roman;sans-serif"/>
          <w:b w:val="false"/>
          <w:i/>
          <w:color w:val="000000"/>
          <w:sz w:val="22"/>
        </w:rPr>
        <w:t>Financial Instruments</w:t>
      </w:r>
      <w:r>
        <w:rPr>
          <w:rFonts w:ascii="Times New Roman;sans-serif" w:hAnsi="Times New Roman;sans-serif"/>
          <w:b w:val="false"/>
          <w:color w:val="000000"/>
          <w:sz w:val="22"/>
        </w:rPr>
        <w:t xml:space="preserv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(n)Leases</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sans-serif" w:hAnsi="Times New Roman;sans-serif"/>
          <w:b w:val="false"/>
          <w:i/>
          <w:color w:val="000000"/>
          <w:sz w:val="22"/>
        </w:rPr>
        <w:t>Leases,</w:t>
      </w:r>
      <w:r>
        <w:rPr>
          <w:color w:val="000000"/>
        </w:rPr>
        <w:t xml:space="preserve"> </w:t>
      </w:r>
      <w:r>
        <w:rPr>
          <w:rFonts w:ascii="Times New Roman;sans-serif" w:hAnsi="Times New Roman;sans-serif"/>
          <w:b w:val="false"/>
          <w:color w:val="000000"/>
          <w:sz w:val="22"/>
        </w:rPr>
        <w:t>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recognize a lease liability or right-of-use asset on the balance for short-term leases. Instead, the Company recognizes short-term lease payments as an expense on a straight-line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(o)Intangible Assets Other Than 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certain finite-lived intangible assets as a result of the Business Combination. The Company’s finite-lived intangible assets consist of Customer Relationships, Trade Names, Investment Management Agreements, Internally Developed Software and Backlog. Finite-lived intangible assets are amortized on a straight-line basis over their estimated useful lives.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See Note 10 (Intangible Assets, net) for details on impairments. </w:t>
      </w:r>
    </w:p>
    <w:p>
      <w:pPr>
        <w:pStyle w:val="TextBody"/>
        <w:bidi w:val="0"/>
        <w:spacing w:lineRule="auto" w:line="288" w:before="200" w:after="283"/>
        <w:ind w:left="0" w:right="0" w:hanging="540"/>
        <w:jc w:val="both"/>
        <w:rPr/>
      </w:pPr>
      <w:r>
        <w:rPr>
          <w:rFonts w:ascii="Times New Roman;sans-serif" w:hAnsi="Times New Roman;sans-serif"/>
          <w:b/>
          <w:i/>
          <w:color w:val="000000"/>
          <w:sz w:val="24"/>
        </w:rPr>
        <w:t>(p)</w:t>
      </w:r>
      <w:r>
        <w:rPr>
          <w:rFonts w:ascii="Times New Roman;sans-serif" w:hAnsi="Times New Roman;sans-serif"/>
          <w:b/>
          <w:i/>
          <w:color w:val="000000"/>
          <w:sz w:val="22"/>
        </w:rPr>
        <w:t>Goodwill</w:t>
      </w:r>
    </w:p>
    <w:p>
      <w:pPr>
        <w:pStyle w:val="TextBody"/>
        <w:bidi w:val="0"/>
        <w:spacing w:lineRule="auto" w:line="288" w:before="200" w:after="283"/>
        <w:jc w:val="both"/>
        <w:rPr/>
      </w:pPr>
      <w:r>
        <w:rPr>
          <w:rFonts w:ascii="Times New Roman;sans-serif" w:hAnsi="Times New Roman;sans-serif"/>
          <w:b w:val="false"/>
          <w:color w:val="000000"/>
          <w:sz w:val="22"/>
        </w:rPr>
        <w:t xml:space="preserve">Goodwill represents the excess of the purchase price in a business combination over the fair value of the tangible and intangible assets acquired and the liabilities assumed. Under ASC 350, </w:t>
      </w:r>
      <w:r>
        <w:rPr>
          <w:rFonts w:ascii="Times New Roman;sans-serif" w:hAnsi="Times New Roman;sans-serif"/>
          <w:b w:val="false"/>
          <w:i/>
          <w:color w:val="000000"/>
          <w:sz w:val="22"/>
        </w:rPr>
        <w:t>Intangibles—Goodwill and Other</w:t>
      </w:r>
      <w:r>
        <w:rPr>
          <w:rFonts w:ascii="Times New Roman;sans-serif" w:hAnsi="Times New Roman;sans-serif"/>
          <w:b w:val="false"/>
          <w:color w:val="000000"/>
          <w:sz w:val="22"/>
        </w:rPr>
        <w:t xml:space="preserve">, goodwill is not amortized, but rather is subject to an annual impairment test. Goodwill represents the excess of consideration over identifiable net assets of an acquired business. Goodwill is allocated at a reporting unit level. The Company has two reporting units, Wealth &amp; Capital Solutions and International Real Estate, and tests goodwill annually for impairment at each reporting unit. If, after assessing qualitative factors, the Company believes that it is more likely than 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See Note 13 (Goodwill, net) for details on impairments.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(q)Fixed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one to ten years. Fixed assets are reviewed for impairment whenever events or changes in circumstances indicate that the carrying amount of an asset may not be recoverable.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(r)Debt Obligations,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debt obligations are recorded at amortized cost, net of any debt issuance costs, discounts and premiums. Debt issuance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(s)Tax Receivable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Condensed Consolidated Statement of Operations. Future exchanges of Class B Units for shares of Class A Common Stock may increase the TRA liability. Those increases will be carried at a value equal to the expected future payments due under the TRA. See Note 19 (Commitments and Contingencies) for a detailed discussion on TRA exchanges. For future changes in the TRA balance due to exchanges, the Company will record an initial estimate of future payments under the TRA portion as an adjustment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(t)Earn-out Liabilities, at Fair Value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Earn-out liabilities, at fair value, represents contingent consideration payable related to the Business Combination and various acquisitions by the Company. Changes in fair value are recognized in Gain (loss) on earnout liabilities in the Condensed Consolidated Statement of Operations and in Fair value (gain) loss on earnout liability in the Condensed Consolidated Statement of Cash Flows in the period of change. See Note 3 (Business Combinations and Divestitures) and Note 19 (Commitments and Contingencies) for further information.</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(u)Preferred Stock Tranche Liability, at Fair Value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Preferred stock tranche liability, at fair value, represents the right, but not the obligation, of Allianz to purchase up to 50,000 additional shares of Series A Preferred Stock up to an aggregate amount equal to $50 million. Changes in fair value are recognized in Gain (loss) on preferred stock tranche liability in the Condensed Consolidated Statement of Operations in the period of change. See Note 1 (Description of the Business), Note 7 (Fair Value Disclosures), and Note 14 (Debt, net of unamortized deferred financing cost) for additional detail related to the Preferred stock tranche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(v)Equity-Classified Warrants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2"/>
        </w:rPr>
        <w:t xml:space="preserve">In connection with the Allianz and Constellation Transactions, the Company issued warrants to purchase shares of the Company’s Class A Common Stock. The Company evaluated the Allianz and Constellation Warrants in accordance with ASC 815-40, </w:t>
      </w:r>
      <w:r>
        <w:rPr>
          <w:rFonts w:ascii="Times New Roman;sans-serif" w:hAnsi="Times New Roman;sans-serif"/>
          <w:b w:val="false"/>
          <w:i/>
          <w:color w:val="000000"/>
          <w:sz w:val="22"/>
        </w:rPr>
        <w:t>Contracts in an Entity’s Own Equity</w:t>
      </w:r>
      <w:r>
        <w:rPr>
          <w:rFonts w:ascii="Times New Roman;sans-serif" w:hAnsi="Times New Roman;sans-serif"/>
          <w:b w:val="false"/>
          <w:color w:val="000000"/>
          <w:sz w:val="22"/>
        </w:rPr>
        <w:t>, and determined that the warrants are derivatives that meet the fixed-for-fixed equity classification criteria. As such, the Allianz and Constellation Warrants are classified as a component of equity in the Condensed Consolidated Statement of Financial Position.</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(w)Delayed Share Purchase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Business Combination, TWMH entered into a delayed share purchase agreement (the “TIH SPA”) to purchase a remaining non-controlling interest in its consolidated subsidiary representing 51.1% of shares in TIH. This arrangement was agreed upon for consideration of $2.1 million in cash and $1.2 million in Class A Common Stock. On March 25, 2024, the TIH SPA was fully paid. The stock purchase price was recognized in the Condensed Consolidated Statement of Financial Condition as Additional paid-in capital. As of December 31, 2024, the portion of the TIH SPA reported in Additional paid-in capital was $40.0 thousand.</w:t>
      </w:r>
    </w:p>
    <w:p>
      <w:pPr>
        <w:pStyle w:val="TextBody"/>
        <w:bidi w:val="0"/>
        <w:spacing w:lineRule="auto" w:line="26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(x)Non-controlling Interests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(y)Derivative Financial Instruments</w:t>
      </w:r>
    </w:p>
    <w:p>
      <w:pPr>
        <w:pStyle w:val="TextBody"/>
        <w:bidi w:val="0"/>
        <w:spacing w:lineRule="auto" w:line="288" w:before="200" w:after="283"/>
        <w:jc w:val="both"/>
        <w:rPr/>
      </w:pPr>
      <w:r>
        <w:rPr>
          <w:rFonts w:ascii="Times New Roman;sans-serif" w:hAnsi="Times New Roman;sans-serif"/>
          <w:b w:val="false"/>
          <w:color w:val="000000"/>
          <w:sz w:val="22"/>
        </w:rPr>
        <w:t xml:space="preserve">The Company accounts for derivative financial instruments in accordance with ASC 815, </w:t>
      </w:r>
      <w:r>
        <w:rPr>
          <w:rFonts w:ascii="Times New Roman;sans-serif" w:hAnsi="Times New Roman;sans-serif"/>
          <w:b w:val="false"/>
          <w:i/>
          <w:color w:val="000000"/>
          <w:sz w:val="22"/>
        </w:rPr>
        <w:t>Derivatives and Hedging</w:t>
      </w:r>
      <w:r>
        <w:rPr>
          <w:rFonts w:ascii="Times New Roman;sans-serif" w:hAnsi="Times New Roman;sans-serif"/>
          <w:b w:val="false"/>
          <w:color w:val="000000"/>
          <w:sz w:val="22"/>
        </w:rPr>
        <w:t xml:space="preserve">, which requires the Company to recognize all derivative instruments on the Condensed Consolidated Statement of Financial Position as either assets or liabilities and to measure them at fair value each reporting period unless they qualify for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 </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2"/>
        </w:rPr>
        <w:t xml:space="preserve">In connection with the LXi disposal, the Company determined the contingent consideration meets the definition of a derivative and is recorded as Contingent consideration receivable on the Condensed Consolidated Statement of Financial Position as of March 31, 2025. The Contingent consideration receivable will be remeasured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changes in fair value recognized in the Condensed Consolidated Statement of Operations in the period of change.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(z)Segment Reporting</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&amp; Capital Solutions and International Real Estate. During the third quarter ended September 30, 2024, the Company changed the composition of its reportable segments and recast prior period amounts to conform to the Company’s current period segment information. Segment information is utilized by the Company’s chief operating decision maker,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which is our Chief Executive Officer, to assess performance and to allocate resources. See Note 1 (Description of the Business) and Note 17 (Segment Reporting) for further information.</w:t>
      </w:r>
    </w:p>
    <w:p>
      <w:pPr>
        <w:pStyle w:val="TextBody"/>
        <w:bidi w:val="0"/>
        <w:spacing w:lineRule="auto" w:line="256"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(aa)Interest Income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 income is earned on the Company’s cash balances, money market accounts, or through its investments in exchange-traded notes. These generally include debt securities held on a short- or medium-term basis when the Company has excess cash. The Company recognizes and records interest income in Interest income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Dividend income is earned through investments in common stock, mutual funds, and exchange-traded funds. Dividend income is recorded on the date received and is included in Interest income in the Condensed Consolidated Statement of Operations.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(ab)Interest Expense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 is related to the Company’s debt as well as investments in exchange-traded notes. These generally include debt securities held on a short- or medium-term basis when the Company has excess cash. The Company recognizes and records interest expense in Interest expense in the Condensed Consolidated Statement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(ac)Other Income and Expenses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color w:val="000000"/>
        </w:rPr>
      </w:pPr>
      <w:r>
        <w:rPr>
          <w:color w:val="000000"/>
        </w:rPr>
        <w:t>    </w:t>
      </w:r>
      <w:r>
        <w:rPr>
          <w:rFonts w:ascii="Times New Roman;sans-serif" w:hAnsi="Times New Roman;sans-serif"/>
          <w:b w:val="false"/>
          <w:color w:val="000000"/>
          <w:sz w:val="22"/>
        </w:rPr>
        <w:t xml:space="preserve">Other than Interest income and Interest expense discussed above, other income and expenses include unrealized gains (losses) on investments, income from equity method investees, and other items.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investments in common stock, mutual funds, exchange-traded funds, and exchange-traded notes, which represent investments in equity and debt securities. The Company earns realized and unrealized gains and losses which depend on investment performance. Changes in fair value of these investments are recorded in Gain (loss) on investments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Gain (loss) on investments in the Condensed Consolidated Statement of Operations.</w:t>
      </w:r>
    </w:p>
    <w:p>
      <w:pPr>
        <w:pStyle w:val="TextBody"/>
        <w:bidi w:val="0"/>
        <w:spacing w:before="0" w:after="0"/>
        <w:jc w:val="both"/>
        <w:rPr/>
      </w:pPr>
      <w:r>
        <w:rPr/>
      </w:r>
    </w:p>
    <w:p>
      <w:pPr>
        <w:pStyle w:val="TextBody"/>
        <w:bidi w:val="0"/>
        <w:spacing w:lineRule="auto" w:line="288" w:before="6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(ad)Held for Sale Accounting</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In circumstances when the Company is evaluating its components, we may establish plans that require us to evaluate whether a component qualifies for held-for-sale accounting under ASC 360, </w:t>
      </w:r>
      <w:r>
        <w:rPr>
          <w:rFonts w:ascii="Times New Roman;sans-serif" w:hAnsi="Times New Roman;sans-serif"/>
          <w:b w:val="false"/>
          <w:i/>
          <w:color w:val="000000"/>
          <w:sz w:val="22"/>
        </w:rPr>
        <w:t>Property, Plant, and Equipment</w:t>
      </w:r>
      <w:r>
        <w:rPr>
          <w:rFonts w:ascii="Times New Roman;sans-serif" w:hAnsi="Times New Roman;sans-serif"/>
          <w:b w:val="false"/>
          <w:color w:val="000000"/>
          <w:sz w:val="22"/>
        </w:rPr>
        <w:t xml:space="preserve">. If a sale is deemed probable within a twelve-month period, the component is classified to either the assets held for sale or liabilities held for sale line items on the Condensed Consolidated Statement of Financial Position. The disposal group will be measured at the lower of its carrying amount or fair value less the cost to sell. Any long-lived assets shall not be depreciated or amortized while classified as held for sale.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(ae)Recent Accounting Pronouncements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December 2023, the FASB issued ASU 2023-09, Income Taxes (Topic 740) - Improvements to Income Tax Disclosures.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are effective for annual periods beginning after December 15, 2024, with early adoption permitted. The Company does not expect the impact of this guidance to be material to its condensed consolidated financial statements.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January 2024, the FASB issued ASU 2024-01, Compensation—Stock Compensation (Topic 718) - Scope Application of Profits Interest and Similar Awards. The amendments in this update improve US GAAP by adding an illustrative example that demonstrates how an entity should apply the scope guidance in paragraph 718-10-15-3 to determine whether a profits interest award should be accounted for in accordance with Topic 718. The amendments in paragraph 718-10-15-3 improve its overall clarity and operability without changing the guidance. The amendments are effective for annual periods beginning after December 15, 2024, and interim periods within annual periods beginning after December 15, 2025,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November 2024, the FASB issued ASU 2024-03, Income Statement—Reporting Comprehensive Income—Expense Disaggregation Disclosures (Subtopic 220-40). The amendments in this update require disclosure, in the notes to financial statements, of specified information about certain costs and expenses at each interim and annual reporting period. The amendments are effective for annual periods beginning after December 15, 2026, and reporting periods within annual reporting periods beginning after December 15, 2027,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considered all newly issued accounting guidance that is applicable to its operations and the preparation of its unaudited condensed consolidated statements, including those it has not yet adopted. ASUs not listed above were assessed and either determined to be not applicable or expected to have minimal impact on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(3)Business Combinations and Divestitures</w:t>
      </w:r>
    </w:p>
    <w:p>
      <w:pPr>
        <w:pStyle w:val="TextBody"/>
        <w:bidi w:val="0"/>
        <w:spacing w:lineRule="auto" w:line="256" w:before="200" w:after="283"/>
        <w:jc w:val="both"/>
        <w:rPr>
          <w:rFonts w:ascii="Times New Roman;sans-serif" w:hAnsi="Times New Roman;sans-serif"/>
          <w:b/>
          <w:i/>
          <w:color w:val="000000"/>
          <w:sz w:val="22"/>
        </w:rPr>
      </w:pPr>
      <w:r>
        <w:rPr>
          <w:rFonts w:ascii="Times New Roman;sans-serif" w:hAnsi="Times New Roman;sans-serif"/>
          <w:b/>
          <w:i/>
          <w:color w:val="000000"/>
          <w:sz w:val="22"/>
        </w:rPr>
        <w:t>Acquisition of East End Advisors, LLC</w:t>
      </w:r>
    </w:p>
    <w:p>
      <w:pPr>
        <w:pStyle w:val="TextBody"/>
        <w:bidi w:val="0"/>
        <w:spacing w:lineRule="auto" w:line="256"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3, 2024 (the “EEA Acquisition Date”), the Company acquired all of the issued and outstanding ownership and membership interests of EEA pursuant to the terms of the purchase agreement between the Company and EEA Holding Company, LLC (the “EEA Acquisition”).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EEA Acquisition met the requirements to be considered a business combination under ASC 805. The assets and liabilities acquired from East End Advisors, affected for preliminary adjustments to reflect the fair market values assigned to assets purchased and liabilities assumed, and results of operations, are included in the Company’s condensed consolidated financial statements from the EEA Acquisition Date. The Company has allocated the purchase price to the tangible and identifiable intangible assets and liabilities assumed based on their estimated fair market values at the EEA Acquisition Date as required under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EEA Acquisition was accounted for using the acquisition method of accounting and the fair value of the total purchase consideration transferred was $93.1 million. Included in the total purchase consideration is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recorded within the Earn-out liabilities, at fair value line item in the Condensed Consolidated Statement of Financial Position. </w:t>
      </w:r>
    </w:p>
    <w:p>
      <w:pPr>
        <w:pStyle w:val="TextBody"/>
        <w:bidi w:val="0"/>
        <w:spacing w:before="0" w:after="0"/>
        <w:jc w:val="both"/>
        <w:rPr/>
      </w:pPr>
      <w:r>
        <w:rPr/>
      </w:r>
    </w:p>
    <w:tbl>
      <w:tblPr>
        <w:tblW w:w="5361" w:type="dxa"/>
        <w:jc w:val="left"/>
        <w:tblInd w:w="0" w:type="dxa"/>
        <w:tblLayout w:type="fixed"/>
        <w:tblCellMar>
          <w:top w:w="28" w:type="dxa"/>
          <w:left w:w="28" w:type="dxa"/>
          <w:bottom w:w="28" w:type="dxa"/>
          <w:right w:w="28" w:type="dxa"/>
        </w:tblCellMar>
      </w:tblPr>
      <w:tblGrid>
        <w:gridCol w:w="1505"/>
        <w:gridCol w:w="1321"/>
        <w:gridCol w:w="1329"/>
        <w:gridCol w:w="226"/>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consideration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69,013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Contingent consideration installments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assumed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93,114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incurred $1.3 million of direct acquisition-related expenses, which are recognized in the Professional fees line item of the Condensed Consolidated Statement of Operations during the year ended December 31, 2024.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sets forth the fair values of the assets acquired and liabilities assumed in connection with the EEA Acquisition: </w:t>
      </w:r>
    </w:p>
    <w:tbl>
      <w:tblPr>
        <w:tblW w:w="8053" w:type="dxa"/>
        <w:jc w:val="left"/>
        <w:tblInd w:w="0" w:type="dxa"/>
        <w:tblLayout w:type="fixed"/>
        <w:tblCellMar>
          <w:top w:w="28" w:type="dxa"/>
          <w:left w:w="28" w:type="dxa"/>
          <w:bottom w:w="28" w:type="dxa"/>
          <w:right w:w="28" w:type="dxa"/>
        </w:tblCellMar>
      </w:tblPr>
      <w:tblGrid>
        <w:gridCol w:w="1683"/>
        <w:gridCol w:w="1479"/>
        <w:gridCol w:w="1487"/>
        <w:gridCol w:w="636"/>
        <w:gridCol w:w="2331"/>
        <w:gridCol w:w="437"/>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EEA Acquisition Date 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62,700 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30,094 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2,326 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1,181 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2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96,531</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2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lease liabilities </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2,326 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3,417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93,114</w:t>
            </w: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purchase price allocation is preliminary and subject to change during the measurement period, which is not to exceed one year from the EEA Acquisition Date. During the year ended December 31, 2024, the Company made a measurement period adjustment to the purchase price allocation, which resulted in an increase to goodwill and a decrease to intangibles of $4.6 million.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With the exception of operating right-of-use assets and operating lease liabilities accounted for under ASC 842, </w:t>
      </w:r>
      <w:r>
        <w:rPr>
          <w:rFonts w:ascii="Times New Roman;sans-serif" w:hAnsi="Times New Roman;sans-serif"/>
          <w:b w:val="false"/>
          <w:i/>
          <w:color w:val="000000"/>
          <w:sz w:val="22"/>
        </w:rPr>
        <w:t>Leases</w:t>
      </w:r>
      <w:r>
        <w:rPr>
          <w:rFonts w:ascii="Times New Roman;sans-serif" w:hAnsi="Times New Roman;sans-serif"/>
          <w:b w:val="false"/>
          <w:color w:val="000000"/>
          <w:sz w:val="22"/>
        </w:rPr>
        <w:t xml:space="preserve">, in accordance with ASC 805, the assets and liabilities were recorded at their respective fair values as of April 1, 2024. The Company developed the fair value of intangible assets, which includes trade names, customer relationships and developed technology, using various techniques including relief of royalty, excess earnings method, and a discounted cash flow approach.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The total amount of goodwill arising in the transaction was allocated to the Company’s Wealth &amp; Capital Solutions segment.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EEA Acquisition: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395" w:type="dxa"/>
        <w:jc w:val="left"/>
        <w:tblInd w:w="0" w:type="dxa"/>
        <w:tblLayout w:type="fixed"/>
        <w:tblCellMar>
          <w:top w:w="28" w:type="dxa"/>
          <w:left w:w="28" w:type="dxa"/>
          <w:bottom w:w="28" w:type="dxa"/>
          <w:right w:w="28" w:type="dxa"/>
        </w:tblCellMar>
      </w:tblPr>
      <w:tblGrid>
        <w:gridCol w:w="847"/>
        <w:gridCol w:w="744"/>
        <w:gridCol w:w="748"/>
        <w:gridCol w:w="652"/>
        <w:gridCol w:w="2389"/>
        <w:gridCol w:w="319"/>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EEA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 Name</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61,000 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Developed Technology</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62,700 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results of operations for EEA have been included in the Company’s condensed consolidated financial statements from the EEA Acquisition Date. </w:t>
      </w:r>
    </w:p>
    <w:p>
      <w:pPr>
        <w:pStyle w:val="TextBody"/>
        <w:bidi w:val="0"/>
        <w:spacing w:lineRule="auto" w:line="256" w:before="200" w:after="283"/>
        <w:jc w:val="both"/>
        <w:rPr>
          <w:rFonts w:ascii="Times New Roman;sans-serif" w:hAnsi="Times New Roman;sans-serif"/>
          <w:b/>
          <w:i/>
          <w:color w:val="000000"/>
          <w:sz w:val="22"/>
        </w:rPr>
      </w:pPr>
      <w:r>
        <w:rPr>
          <w:rFonts w:ascii="Times New Roman;sans-serif" w:hAnsi="Times New Roman;sans-serif"/>
          <w:b/>
          <w:i/>
          <w:color w:val="000000"/>
          <w:sz w:val="22"/>
        </w:rPr>
        <w:t>Acquisition of Pointwise Partners Limited</w:t>
      </w:r>
    </w:p>
    <w:p>
      <w:pPr>
        <w:pStyle w:val="TextBody"/>
        <w:bidi w:val="0"/>
        <w:spacing w:lineRule="auto" w:line="264"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2024 (the “PW Acquisition Date”), the Company acquired the remaining 50% of the issued and outstanding ownership and membership interest of PW, increasing its interest from 50% to 100% (the “PW Acquisition”).</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PW Acquisition met the requirements to be considered a business combination under ASC 805. The assets and liabilities acquired from PW, affected for preliminary adjustments to reflect the fair market values assigned to assets purchased and liabilities assumed, and results of operations, are included in the Company’s condensed consolidated financial statements from the PW Acquisition Date. The Company has allocated the purchase price to the tangible and identifiable intangible assets and liabilities assumed based on their estimated fair market values at the PW Acquisition Date as required under ASC 805.</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PW Acquisition was accounted for using the acquisition method of accounting and the fair value of the total purchase consideration was $8.0 million. The total purchase consideration transferred includes cash consideration, equity consideration, estimated deferred consideration, and the settlement of pre-existing relationships as summarized below:</w:t>
      </w:r>
    </w:p>
    <w:p>
      <w:pPr>
        <w:pStyle w:val="TextBody"/>
        <w:bidi w:val="0"/>
        <w:spacing w:before="0" w:after="0"/>
        <w:jc w:val="both"/>
        <w:rPr/>
      </w:pPr>
      <w:r>
        <w:rPr/>
      </w:r>
    </w:p>
    <w:tbl>
      <w:tblPr>
        <w:tblW w:w="5505" w:type="dxa"/>
        <w:jc w:val="left"/>
        <w:tblInd w:w="0" w:type="dxa"/>
        <w:tblLayout w:type="fixed"/>
        <w:tblCellMar>
          <w:top w:w="28" w:type="dxa"/>
          <w:left w:w="28" w:type="dxa"/>
          <w:bottom w:w="28" w:type="dxa"/>
          <w:right w:w="28" w:type="dxa"/>
        </w:tblCellMar>
      </w:tblPr>
      <w:tblGrid>
        <w:gridCol w:w="1504"/>
        <w:gridCol w:w="1322"/>
        <w:gridCol w:w="1329"/>
        <w:gridCol w:w="281"/>
        <w:gridCol w:w="878"/>
        <w:gridCol w:w="191"/>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PW 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Initial Cash consideration</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1,735 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consideration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consideration </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Settlement of pre-existing relationships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7,954</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estimated deferred consideration of $3.0 million was paid in cash and equity during the three months ended March 31, 2025. An additional amount of $1.0 million was paid fully in cash rather than in equity to PW employees upon meeting certain performance milestones. This additional amount was determined to be compensation rather than consideration transferred.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the PW Acquisition Date, as required by ASC 805, the Company’s existing 50% equity in PW, which was previously recognized as an equity method investment, was revalued to reflect the fair value at this date. The fair value of this existing equity method investment was $6.2 million, which was calculated as 50% of the fair value of PW total equity value, excluding the impact of any synergies or control premium that would be realized by a controlling interest.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PW business combination:</w:t>
      </w:r>
    </w:p>
    <w:tbl>
      <w:tblPr>
        <w:tblW w:w="6899" w:type="dxa"/>
        <w:jc w:val="left"/>
        <w:tblInd w:w="0" w:type="dxa"/>
        <w:tblLayout w:type="fixed"/>
        <w:tblCellMar>
          <w:top w:w="28" w:type="dxa"/>
          <w:left w:w="28" w:type="dxa"/>
          <w:bottom w:w="28" w:type="dxa"/>
          <w:right w:w="28" w:type="dxa"/>
        </w:tblCellMar>
      </w:tblPr>
      <w:tblGrid>
        <w:gridCol w:w="1683"/>
        <w:gridCol w:w="1479"/>
        <w:gridCol w:w="1487"/>
        <w:gridCol w:w="420"/>
        <w:gridCol w:w="1541"/>
        <w:gridCol w:w="289"/>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PW 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6,747 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16,736</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Deferred tax liability</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2,630</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14,106</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purchase price allocation is preliminary and subject to change during the measurement period, which is not to exceed one year from the PW Acquisition Date. At this time we do not expect any additional material adjustments to the above allocations. When the valuation is final, changes to the valuation of acquired assets and liabilities could result in adjustments to identified intangibles and goodwill.</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Goodwill is comprised of expected synergies of the combined operations, including employees acquired in a business combination. The total amount of goodwill arising in the transaction was allocated to the Company’s Wealth &amp; Capital Solutions segment. The components of goodwill do not qualify as a separately recognized intangible asset. The Company will test for impairment in other periods if an event occurs or circumstances change that may indicate impairment.</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PW business combination:</w:t>
      </w:r>
    </w:p>
    <w:p>
      <w:pPr>
        <w:pStyle w:val="TextBody"/>
        <w:bidi w:val="0"/>
        <w:spacing w:before="0" w:after="0"/>
        <w:jc w:val="both"/>
        <w:rPr/>
      </w:pPr>
      <w:r>
        <w:rPr/>
      </w:r>
    </w:p>
    <w:tbl>
      <w:tblPr>
        <w:tblW w:w="8289" w:type="dxa"/>
        <w:jc w:val="left"/>
        <w:tblInd w:w="0" w:type="dxa"/>
        <w:tblLayout w:type="fixed"/>
        <w:tblCellMar>
          <w:top w:w="28" w:type="dxa"/>
          <w:left w:w="28" w:type="dxa"/>
          <w:bottom w:w="28" w:type="dxa"/>
          <w:right w:w="28" w:type="dxa"/>
        </w:tblCellMar>
      </w:tblPr>
      <w:tblGrid>
        <w:gridCol w:w="847"/>
        <w:gridCol w:w="744"/>
        <w:gridCol w:w="748"/>
        <w:gridCol w:w="704"/>
        <w:gridCol w:w="2206"/>
        <w:gridCol w:w="344"/>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PW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9,700 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 of customer relationships was determined using the multi-period excess earnings method. The intangible assets are subject to amortization over a useful life of 14 years.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the PW Acquisition have been included in the Company’s condensed consolidated financial statements from the PW Acquisition Date. Prior to the PW Acquisition Date, the results of PW were included as a 50% held equity method investment.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Acquisition of Envoi, LLC</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1, 2024 (the “Envoi Acquisition Date”), the Company purchased substantially all of the assets of Envoi, LLC (“Envoi”) pursuant to the terms of the asset purchase agreement by and among the Company and Envoi, as well as Envoi’s individual members (the “Envoi Acquisition”).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Envoi Acquisition met the requirements to be considered a business combination under ASC 805. The assets and liabilities acquired from Envoi, affected for preliminary adjustments to reflect the fair market values assigned to assets purchased and liabilities assumed, and results of operations, are included in the Company’s condensed consolidated financial statements from the Envoi Acquisition Date. The Company has allocated the purchase price to the tangible and identifiable intangible assets and liabilities assumed based on their estimated fair market values at the Envoi Acquisition Date as required under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Envoi Acquisition was accounted for using the acquisition method of accounting and the fair value of the total purchase consideration was $34.3 million. Included in the total consideration is cash consideration of $25.3 million, and estimated contingent consideration of $9.0 million comprised of the Envoi earn-out liability and earn-out growth consideration liability. A portion of the contingent consideration will be used to establish a retention pool which is payable in a mixture of cash and equity to employees upon meeting certain revenue thresholds over a required service period. The portion of contingent consideration used to establish the retention pool is treated as compensation rather than consideration transferred. Refer to Note 5 (Equity-Based Compensation) for further details about the related equity award. The amount of contingent consideration related to consideration transferred was measured at fair value at the acquisition date and recorded within the Earn-out liabilities, at fair value line item in the Condensed Consolidated Statement of Financial Position. The total purchase consideration is summarized below:</w:t>
      </w:r>
    </w:p>
    <w:p>
      <w:pPr>
        <w:pStyle w:val="TextBody"/>
        <w:bidi w:val="0"/>
        <w:spacing w:before="0" w:after="0"/>
        <w:jc w:val="both"/>
        <w:rPr/>
      </w:pPr>
      <w:r>
        <w:rPr/>
      </w:r>
    </w:p>
    <w:tbl>
      <w:tblPr>
        <w:tblW w:w="5714" w:type="dxa"/>
        <w:jc w:val="left"/>
        <w:tblInd w:w="0" w:type="dxa"/>
        <w:tblLayout w:type="fixed"/>
        <w:tblCellMar>
          <w:top w:w="28" w:type="dxa"/>
          <w:left w:w="28" w:type="dxa"/>
          <w:bottom w:w="28" w:type="dxa"/>
          <w:right w:w="28" w:type="dxa"/>
        </w:tblCellMar>
      </w:tblPr>
      <w:tblGrid>
        <w:gridCol w:w="1504"/>
        <w:gridCol w:w="1321"/>
        <w:gridCol w:w="1329"/>
        <w:gridCol w:w="292"/>
        <w:gridCol w:w="1069"/>
        <w:gridCol w:w="199"/>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Envoi Amount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consideration</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25,258 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Earn-out consideration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0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34,258</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incurred $1.1 million of direct acquisition-related expenditures, which were recognized in the Professional fees line item of the Condensed Consolidated Statement of Operations during the third quarter ended September 30, 2024. </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Envoi Acquisition:</w:t>
      </w:r>
    </w:p>
    <w:tbl>
      <w:tblPr>
        <w:tblW w:w="7109" w:type="dxa"/>
        <w:jc w:val="left"/>
        <w:tblInd w:w="0" w:type="dxa"/>
        <w:tblLayout w:type="fixed"/>
        <w:tblCellMar>
          <w:top w:w="28" w:type="dxa"/>
          <w:left w:w="28" w:type="dxa"/>
          <w:bottom w:w="28" w:type="dxa"/>
          <w:right w:w="28" w:type="dxa"/>
        </w:tblCellMar>
      </w:tblPr>
      <w:tblGrid>
        <w:gridCol w:w="1683"/>
        <w:gridCol w:w="1479"/>
        <w:gridCol w:w="1487"/>
        <w:gridCol w:w="460"/>
        <w:gridCol w:w="1684"/>
        <w:gridCol w:w="316"/>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Envoi 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23,300 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lease right-of-use assets </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2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34,477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Liabilities Assumed</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34,258</w:t>
            </w: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purchase price allocation is preliminary and subject to change during the measurement period, which is not to exceed one year from the Envoi Acquisition Date. During the year ended December 31, 2024, the Company made a measurement period adjustment to the purchase price allocation, which resulted in an increase to intangibles and a decrease to goodwill of $1.0 million. At this time we do not expect any additional material adjustments to the above allocations. When the valuation is final, changes to the valuation of acquired assets and liabilities could result in adjustments to identified intangibles and goodwill.</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accordance with ASC 805, the assets and liabilities were recorded at their respective fair values as of July 1, 2024. The Company developed the fair value of intangible assets, which includes customer relationships, using various techniques including the multi-period excess earnings method.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The goodwill resulting from this acquisition is expected to be deductible for tax purposes. The total amount of goodwill arising in the transaction was allocated to the Company’s Wealth &amp; Capital Solutions segment. The components of goodwill do not qualify as a separately recognized intangible asset. </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Envoi Acquisition:</w:t>
      </w:r>
    </w:p>
    <w:p>
      <w:pPr>
        <w:pStyle w:val="TextBody"/>
        <w:bidi w:val="0"/>
        <w:spacing w:before="0" w:after="0"/>
        <w:jc w:val="both"/>
        <w:rPr/>
      </w:pPr>
      <w:r>
        <w:rPr/>
      </w:r>
    </w:p>
    <w:tbl>
      <w:tblPr>
        <w:tblW w:w="8499" w:type="dxa"/>
        <w:jc w:val="left"/>
        <w:tblInd w:w="0" w:type="dxa"/>
        <w:tblLayout w:type="fixed"/>
        <w:tblCellMar>
          <w:top w:w="28" w:type="dxa"/>
          <w:left w:w="28" w:type="dxa"/>
          <w:bottom w:w="28" w:type="dxa"/>
          <w:right w:w="28" w:type="dxa"/>
        </w:tblCellMar>
      </w:tblPr>
      <w:tblGrid>
        <w:gridCol w:w="847"/>
        <w:gridCol w:w="744"/>
        <w:gridCol w:w="748"/>
        <w:gridCol w:w="672"/>
        <w:gridCol w:w="2464"/>
        <w:gridCol w:w="328"/>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Envoi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23,300 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23,300 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results of the Envoi Acquisition have been included in the Company’s condensed consolidated financial statements from the Envoi Acquisition Date. </w:t>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Supplemental Pro Forma Financial Information (Unaudited)</w:t>
      </w:r>
    </w:p>
    <w:p>
      <w:pPr>
        <w:pStyle w:val="TextBody"/>
        <w:bidi w:val="0"/>
        <w:spacing w:lineRule="auto" w:line="256"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selected unaudited supplemental pro forma financial information is a summary of our combined results for Envoi, EEA, and PW for the three months ended March 31, 2024. The unaudited supplemental pro forma financial information gives effect to the acquisitions as if they had occurred on January 1, 2024. The unaudited pro forma financial information for these acquisitions have been excluded for the three months ended March 31, 2025 since their results of operations are included in our unaudited condensed consolidated statement of operations for that period.</w:t>
      </w:r>
    </w:p>
    <w:p>
      <w:pPr>
        <w:pStyle w:val="TextBody"/>
        <w:bidi w:val="0"/>
        <w:spacing w:lineRule="auto" w:line="256"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unaudited pro forma financial information presented below is for informational purposes only, and is not necessarily indicative of the results that would have been achieved if the Envoi, EEA, and PW acquisitions had taken place on January 1, 2024, nor is it indicative of future results.</w:t>
      </w:r>
    </w:p>
    <w:tbl>
      <w:tblPr>
        <w:tblW w:w="6778"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109"/>
        <w:gridCol w:w="2536"/>
        <w:gridCol w:w="109"/>
        <w:gridCol w:w="280"/>
        <w:gridCol w:w="1025"/>
        <w:gridCol w:w="135"/>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2" w:type="dxa"/>
            <w:gridSpan w:val="6"/>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57,444 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30,124 </w:t>
            </w:r>
          </w:p>
        </w:tc>
        <w:tc>
          <w:tcPr>
            <w:tcW w:w="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Disposal of LRA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This contingent consideration is payable in installments on each of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four anniversaries of the sale of LRA. The contingent consideration meets the definition of a derivative and is recorded as Contingent consideration receivable on the Condensed Consolidated Statement of Financial Position as of March 31, 2025. This contingent consideration will be remeasured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changes in fair value recognized in the Condensed Consolidated Statement of Operations in the period of change.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disposal was completed on March 6, 2024. For the three months ended March 31, 2024, a gain on disposal of $0.2 million was recorded in connection with the completion of this disposal, which was recognized in the line item Gain (loss) on investments in the Condensed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Disposal of FOS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6, 2023, the Company entered into an agreement to sell FOS, the European-based trust and private office service which was part of the Company’s Wealth &amp; Capital Solutions segment, for a cash consideration of approximately $20.1 million. Subsequently, an adjustment to the cash consideration of $(0.6) million was made, resulting in a final cash consideration of approximately $19.5 million. The agreement to sell was subject to regulatory approval that was granted in April 2024, following which, on May 8, 2024, the transaction was completed.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(4)Revenue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represents the Company’s revenue disaggregated by fee type for the periods presented below: </w:t>
      </w:r>
    </w:p>
    <w:tbl>
      <w:tblPr>
        <w:tblW w:w="7782" w:type="dxa"/>
        <w:jc w:val="left"/>
        <w:tblInd w:w="0" w:type="dxa"/>
        <w:tblLayout w:type="fixed"/>
        <w:tblCellMar>
          <w:top w:w="28" w:type="dxa"/>
          <w:left w:w="28" w:type="dxa"/>
          <w:bottom w:w="28" w:type="dxa"/>
          <w:right w:w="28" w:type="dxa"/>
        </w:tblCellMar>
      </w:tblPr>
      <w:tblGrid>
        <w:gridCol w:w="1086"/>
        <w:gridCol w:w="954"/>
        <w:gridCol w:w="960"/>
        <w:gridCol w:w="109"/>
        <w:gridCol w:w="109"/>
        <w:gridCol w:w="200"/>
        <w:gridCol w:w="200"/>
        <w:gridCol w:w="415"/>
        <w:gridCol w:w="1519"/>
        <w:gridCol w:w="200"/>
        <w:gridCol w:w="109"/>
        <w:gridCol w:w="109"/>
        <w:gridCol w:w="109"/>
        <w:gridCol w:w="280"/>
        <w:gridCol w:w="1025"/>
        <w:gridCol w:w="135"/>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2030" w:type="dxa"/>
            <w:gridSpan w:val="8"/>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45,650 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46,224 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fees/income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57,963 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50,812 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367" w:type="dxa"/>
        <w:jc w:val="left"/>
        <w:tblInd w:w="0" w:type="dxa"/>
        <w:tblLayout w:type="fixed"/>
        <w:tblCellMar>
          <w:top w:w="28" w:type="dxa"/>
          <w:left w:w="28" w:type="dxa"/>
          <w:bottom w:w="28" w:type="dxa"/>
          <w:right w:w="28" w:type="dxa"/>
        </w:tblCellMar>
      </w:tblPr>
      <w:tblGrid>
        <w:gridCol w:w="1379"/>
        <w:gridCol w:w="1211"/>
        <w:gridCol w:w="1220"/>
        <w:gridCol w:w="379"/>
        <w:gridCol w:w="1388"/>
        <w:gridCol w:w="183"/>
        <w:gridCol w:w="109"/>
        <w:gridCol w:w="109"/>
        <w:gridCol w:w="109"/>
        <w:gridCol w:w="427"/>
        <w:gridCol w:w="1562"/>
        <w:gridCol w:w="291"/>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2024 </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Management/advisory fees receivable</w:t>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32,194 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29,539 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Ending balance </w:t>
            </w:r>
            <w:r>
              <w:rPr>
                <w:rFonts w:ascii="Times New Roman;sans-serif" w:hAnsi="Times New Roman;sans-serif"/>
                <w:b/>
                <w:color w:val="000000"/>
                <w:sz w:val="14"/>
              </w:rPr>
              <w:t>(1)</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32,481 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32,194 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Incentive fees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40,356 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Ending balance </w:t>
            </w:r>
            <w:r>
              <w:rPr>
                <w:rFonts w:ascii="Times New Roman;sans-serif" w:hAnsi="Times New Roman;sans-serif"/>
                <w:b/>
                <w:color w:val="000000"/>
                <w:sz w:val="14"/>
              </w:rPr>
              <w:t>(2)</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Other fees/income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management/advisory fees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other fees/income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As of March 31, 2025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18"/>
        </w:rPr>
        <w:t>December 31, 2024, this amount includes $0.6 million</w:t>
      </w:r>
      <w:r>
        <w:rPr>
          <w:color w:val="000000"/>
        </w:rPr>
        <w:t xml:space="preserve"> </w:t>
      </w:r>
      <w:r>
        <w:rPr>
          <w:rFonts w:ascii="Times New Roman;sans-serif" w:hAnsi="Times New Roman;sans-serif"/>
          <w:b w:val="false"/>
          <w:color w:val="000000"/>
          <w:sz w:val="18"/>
        </w:rPr>
        <w:t>and $0.7 million, respectively, in Management/advisory fees receivable due from related parties. See Note 16 (Related Party Transactions) for further details.</w:t>
      </w:r>
    </w:p>
    <w:p>
      <w:pPr>
        <w:pStyle w:val="TextBody"/>
        <w:bidi w:val="0"/>
        <w:spacing w:lineRule="auto" w:line="288" w:before="200" w:after="283"/>
        <w:jc w:val="both"/>
        <w:rPr/>
      </w:pPr>
      <w:r>
        <w:rPr>
          <w:rFonts w:ascii="Times New Roman;sans-serif" w:hAnsi="Times New Roman;sans-serif"/>
          <w:b/>
          <w:color w:val="000000"/>
          <w:sz w:val="12"/>
        </w:rPr>
        <w:t xml:space="preserve">(2) </w:t>
      </w:r>
      <w:r>
        <w:rPr>
          <w:rFonts w:ascii="Times New Roman;sans-serif" w:hAnsi="Times New Roman;sans-serif"/>
          <w:b w:val="false"/>
          <w:color w:val="000000"/>
          <w:sz w:val="18"/>
        </w:rPr>
        <w:t>As of March 31, 2025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18"/>
        </w:rPr>
        <w:t>December 31, 2024, this amount includes $45.0 thousand and $0.2 million, respectively, in Incentive fees receivable due from related parties. See Note 16 (Related Party Transactions)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(5)Equity-Based Compensation</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grants equity-based compensation awards in the form of restricted share units (“RSUs”) or performance restricted share units (“PRSUs”) for Class A Common Stock to its management, employees, consultants, and independent members of the board of directors under its 2023 Stock Incentive Plan (the “Plan”). The total number of shares of Class A Common Stock that may be issued under the Plan is 11,788,132, of which 1,678,340 remain available as of March 31, 2025. To the extent that an award expires or is canceled, forfeited, terminated, surrendered, exchanged or withheld to cover tax withholding obligations, the unissued awards will again be available for grant under the Plan. </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recognizes equity-based compensation expenses at the Company’s stock price as of the grant date. As of March 31, 2025, the Company has an unrecognized equity-based compensation expense of $23.1 million, which is expected to be recognized over a weighted average period of 2.09 years.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equity-based compensation award activity for the three months ended March 31, 2025, and March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9"/>
        <w:gridCol w:w="810"/>
        <w:gridCol w:w="812"/>
        <w:gridCol w:w="564"/>
        <w:gridCol w:w="472"/>
        <w:gridCol w:w="366"/>
        <w:gridCol w:w="126"/>
        <w:gridCol w:w="126"/>
        <w:gridCol w:w="126"/>
        <w:gridCol w:w="607"/>
        <w:gridCol w:w="607"/>
        <w:gridCol w:w="609"/>
        <w:gridCol w:w="109"/>
        <w:gridCol w:w="109"/>
        <w:gridCol w:w="109"/>
        <w:gridCol w:w="564"/>
        <w:gridCol w:w="472"/>
        <w:gridCol w:w="366"/>
        <w:gridCol w:w="125"/>
        <w:gridCol w:w="125"/>
        <w:gridCol w:w="125"/>
        <w:gridCol w:w="546"/>
        <w:gridCol w:w="546"/>
        <w:gridCol w:w="785"/>
      </w:tblGrid>
      <w:tr>
        <w:trPr/>
        <w:tc>
          <w:tcPr>
            <w:tcW w:w="9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Restricted common stock</w:t>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awards outstanding at beginning of period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6,216,514 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$4.86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4,818,351 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$4.64 </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common stock granted </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2,772,576 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forfeited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(147,550)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vested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(2,032,623)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(1,698,544)</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awards outstanding at end of period</w:t>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6,938,198 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3,110,729 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r>
    </w:tbl>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equity-based compensation recognized, which is included in Compensation and employee benefits in the Condensed Consolidated Statement of Operations, during the three months ended March 31, 2025, and March 31, 2024:</w:t>
      </w:r>
    </w:p>
    <w:p>
      <w:pPr>
        <w:pStyle w:val="TextBody"/>
        <w:bidi w:val="0"/>
        <w:spacing w:before="0" w:after="0"/>
        <w:jc w:val="left"/>
        <w:rPr/>
      </w:pPr>
      <w:r>
        <w:rPr/>
      </w:r>
    </w:p>
    <w:tbl>
      <w:tblPr>
        <w:tblW w:w="6820" w:type="dxa"/>
        <w:jc w:val="left"/>
        <w:tblInd w:w="0" w:type="dxa"/>
        <w:tblLayout w:type="fixed"/>
        <w:tblCellMar>
          <w:top w:w="28" w:type="dxa"/>
          <w:left w:w="28" w:type="dxa"/>
          <w:bottom w:w="28" w:type="dxa"/>
          <w:right w:w="28" w:type="dxa"/>
        </w:tblCellMar>
      </w:tblPr>
      <w:tblGrid>
        <w:gridCol w:w="739"/>
        <w:gridCol w:w="648"/>
        <w:gridCol w:w="653"/>
        <w:gridCol w:w="109"/>
        <w:gridCol w:w="109"/>
        <w:gridCol w:w="239"/>
        <w:gridCol w:w="239"/>
        <w:gridCol w:w="463"/>
        <w:gridCol w:w="1353"/>
        <w:gridCol w:w="239"/>
        <w:gridCol w:w="109"/>
        <w:gridCol w:w="109"/>
        <w:gridCol w:w="109"/>
        <w:gridCol w:w="324"/>
        <w:gridCol w:w="948"/>
        <w:gridCol w:w="167"/>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2029" w:type="dxa"/>
            <w:gridSpan w:val="8"/>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PRSUs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TIH SPA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RSUs</w:t>
      </w:r>
    </w:p>
    <w:p>
      <w:pPr>
        <w:pStyle w:val="TextBody"/>
        <w:bidi w:val="0"/>
        <w:spacing w:lineRule="auto" w:line="264"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May 31, 2023, the Company granted 4,697,317 RSUs to its employees, which vest over a three-year period and had a fair value of $4.35 per share. On June 5, 2024, the Company granted 2,219,661 RSUs to its employees, which vest over a three-year period and had a fair value of $4.78 per share. On February 27, 2025, the Company granted 2,772,576 RSUs to its employees, which vest over a three-year period and had a fair value of $3.45 per share.These grants resulted in compensation expense of $2.9 million and $1.8 million for the years ended March 31, 2025 and March 31, 2024, respectively. Since the initial grant date of these awards, 876,208 shares have been forfeited.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23, 2023, in connection with the Business Combination, the Company granted 65,554 RSUs to its board of directors, which vested over an approximate nine-month period and had a fair value of $12.56 per share. On March 1, 2024, the Company granted 138,564 RSUs to its board of directors, which vest over a four-month period and had a fair value of $5.87 per share. On June 27, 2024, the Company granted 123,732 RSUs to its board of directors, which vest over a twelve-month period and had a grant date fair value of $4.91 per share. On August 2, 2024, the Company granted 45,549 RSUs to its board of directors, which vest over an eleven-month period and had a grant date fair value of $4.38 per share. These grants resulted in compensation expense of $0.2 million and $0.2 million for the years ended March 31, 2025 and March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various dates throughout 2023, the Company granted 111,148 and 118,987 RSUs to employees, representative of buy-out equity awards as restricted units, vesting generally over a one to three year period, with a fair value of $7.66 and $8.72, respectively, per share. On February 6, 2024, the Company granted 29,154 shares of Class A Common Stock to employees, representative of buy-out equity awards as restricted units, vesting over a two year period, with a fair value of $5.36 per share. On December 23, 2024, the Company granted 57,458 shares of Class A Common Stock to employees, representative of buy-out equity awards as restricted units, vesting over a three year period, with a fair value of $4.14 per share. The Company recognized compensation expense of $0.3 million and $0.9 million for the years ended March 31, 2025 and March 31, 2024, respectively, related to these buy-out equity awards.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PRSUs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grants PRSUs to selected members of AlTi’s executive team. Vesting of the PRSUs is based on meeting certain market conditions and the requisite service period. The PRSUs are eligible to vest on a graded basis at the end of each of three annual performance periods, subject to the employee’s continued service with the Company through the applicable performance period, and are only earned upon achievement of total shareholder return of the Company’s Class A Common Stock exceeding certain thresholds.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5, 2024, the Company granted 1,567,125 PRSUs to participants and used a Monte Carlo simulation model to determine the average grant date fair value of $5.76 per share using the following model inputs and assumptions: i) ending average stock price of $4.78, ii) volatility rate of 62.1%, iii) risk free rate of 4.5% and iv) expected term of 2.88 years. Compensation expense associated with the PRSUs will be recognized over the longer of the expected achievement period for the service or market condition. These grants resulted in compensation expense of $1.4 million for the three months ended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Acquisition-Related Equity-Based Compensation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number of shares awarded will be calculated based on the twenty day average volume weighted average price of the Company’s Class A Common Stock preceding the first and second payment dates. The Company recognized an expense for the earn-ins of $0.8 million and $2.0 million for the three months ended March 31, 2025 and March 31, 2024,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pattern as the above-described amendment for the compensatory earn-ins. As of March 31, 2025, and December 31, 2024, this contingent consideration is recorded as a liability of $1.0 million and $0.9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Earn-in consideration payable line of the Condensed Consolidated Statement of Financial Condition and Condensed Consolidated Statement of Financial Condition,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Company’s acquisition of East End Advisors (see Note 3 Business Combinations and Divestitures), certain employees of East End Advisors are entitled to receive a portion of the contingent consideration comprised of a combination of additional cash and shares of the Company (the “EEA Equity Awards”) based on the future EBITDA performance targets between the closing date of April 3, 2024 and the fifth anniversary of the closing date. The portion of the EEA Equity Awards to be issued in shares was measured at fair value as of the closing date. The Company recognized compensation expense for the estimated shares in relation to the accrual of the EEA Equity Awards of $0.6 million for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Company’s acquisition of Envoi (see Note 3 Business Combinations and Divestitures), certain employees of Envoi are entitled to receive a portion of the earn-out growth consideration liability comprised of a combination of cash and additional shares of the Company (the “Envoi Equity Awards”). Compensation expense related to the Envoi Equity Awards is determined in accordance with revenue based formulas provided for in the asset purchase agreement and are payable to eligible employees in 2028. The Company recognized compensation expense in relation to the accrual of the Envoi Equity Awards of $0.1 million for the three months ended March 31, 2025.</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three months ended March 31, 2025 and March 31, 2024, the Company accrued $0.3 million and $0.2 million, respectively, in compensation expense related to various revenue share arrangements to its employees, which is included in Compensation and employee benefits in the Condensed Consolidated Statement of Operations and in Accrued compensation and profit sharing in the Condensed Consolidated Statement of Financial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Deferred Compensation Liability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acquisition of all of the issued and outstanding ownership and membership interests of AlTi Wealth Management (Singapore) Pte Limited (“ALWP”) pursuant to the terms of the share purchase agreement between the Company and ALWP on April 6, 2023, the Company accrued, during the three months ended March 31, 2025 and March 31, 2024, $0.9 million and $1.2 million, respectively, in shares of Class A Common Stock which is included in Compensation and employee benefits in the Condensed Consolidated Statement of Operations and in Accrued compensation and profit sharing in the Condensed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(6)Income Taxes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had an effective tax rate of 35.9% and 1.6% for the three months ended March 31, 2025 and March 31, 2024, respectively. The effective tax rates were calculated using an Annual Effective Tax Rate approach. The book income related to fair value changes to liabilities was excluded from forecasted earnings as these amounts are based on changes in stock price and are unable to be forecasted. The effective tax rates differed from the statutory rate primarily due to the impact of valuation allowance with respect to deferred tax assets generated in the Company’s subsidiaries in the U.K. and in the Company’s investment in subsidiary, certain gains recognized on contingent liabilities for which no tax liability is recognized, and state and local taxes.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regularly evaluates the realizability of its deferred tax asset and may recognize or adjust any valuation allowance when it is more-likely-than-not that all or a portion of the deferred tax assets may not be realized. As of March 31, 2025, the Company has recorded valuation allowances against its deferred tax assets generated by its subsidiaries in the U. K. and its investment in Umbrella.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Company is currently under examination by New York City UBT for the years ended December 2020 and </w:t>
      </w:r>
      <w:r>
        <w:rPr>
          <w:rFonts w:ascii="Times New Roman;sans-serif" w:hAnsi="Times New Roman;sans-serif"/>
          <w:b w:val="false"/>
          <w:color w:val="000000"/>
          <w:sz w:val="24"/>
        </w:rPr>
        <w:t>2021</w:t>
      </w:r>
      <w:r>
        <w:rPr>
          <w:rFonts w:ascii="Times New Roman;sans-serif" w:hAnsi="Times New Roman;sans-serif"/>
          <w:b w:val="false"/>
          <w:color w:val="000000"/>
          <w:sz w:val="22"/>
        </w:rPr>
        <w:t>.</w:t>
      </w:r>
      <w:r>
        <w:rPr>
          <w:color w:val="008080"/>
        </w:rPr>
        <w:t xml:space="preserve"> </w:t>
      </w:r>
      <w:r>
        <w:rPr>
          <w:rFonts w:ascii="Times New Roman;sans-serif" w:hAnsi="Times New Roman;sans-serif"/>
          <w:b w:val="false"/>
          <w:color w:val="000000"/>
          <w:sz w:val="22"/>
        </w:rPr>
        <w:t>We do not believe that there is material exposure in connection with the examination.</w:t>
      </w:r>
      <w:r>
        <w:rPr>
          <w:color w:val="008080"/>
        </w:rPr>
        <w:t xml:space="preserve"> </w:t>
      </w:r>
      <w:r>
        <w:rPr>
          <w:rFonts w:ascii="Times New Roman;sans-serif" w:hAnsi="Times New Roman;sans-serif"/>
          <w:b w:val="false"/>
          <w:color w:val="000000"/>
          <w:sz w:val="22"/>
        </w:rPr>
        <w:t xml:space="preserve">As of March 31, 2025, the Company has evaluated its tax filing positions and assessed no change to the reserve of $0.2 million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(7) Fair Value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3 – Valuations based on inputs that are unobservable and significant to the overall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Level 3 Valuation Techniques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 </w:t>
      </w:r>
    </w:p>
    <w:p>
      <w:pPr>
        <w:pStyle w:val="TextBody"/>
        <w:bidi w:val="0"/>
        <w:spacing w:lineRule="auto" w:line="268" w:before="180" w:after="283"/>
        <w:ind w:left="0" w:right="0" w:hanging="360"/>
        <w:jc w:val="both"/>
        <w:rPr/>
      </w:pPr>
      <w:r>
        <w:rPr>
          <w:color w:val="000000"/>
        </w:rPr>
        <w:t>•</w:t>
      </w:r>
      <w:r>
        <w:rPr>
          <w:rFonts w:ascii="Times New Roman;sans-serif" w:hAnsi="Times New Roman;sans-serif"/>
          <w:b/>
          <w:color w:val="000000"/>
          <w:sz w:val="22"/>
        </w:rPr>
        <w:t xml:space="preserve">Business Combination Earn-Out Liability - </w:t>
      </w:r>
      <w:r>
        <w:rPr>
          <w:rFonts w:ascii="Times New Roman;sans-serif" w:hAnsi="Times New Roman;sans-serif"/>
          <w:b w:val="false"/>
          <w:color w:val="000000"/>
          <w:sz w:val="22"/>
        </w:rPr>
        <w:t xml:space="preserve">The Company’s valuation approach utilized a Monte Carlo simulation to estimate future share prices and the implied earn-out payment discounted using the risk-free rate.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TRA Liability - </w:t>
      </w:r>
      <w:r>
        <w:rPr>
          <w:rFonts w:ascii="Times New Roman;sans-serif" w:hAnsi="Times New Roman;sans-serif"/>
          <w:b w:val="false"/>
          <w:color w:val="000000"/>
          <w:sz w:val="22"/>
        </w:rPr>
        <w:t>The Company’s valuation approach utilized a Monte Carlo simulation to estimate future taxable income, share prices, and the implied TRA payments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AWMS Earn-Out Liability</w:t>
      </w:r>
      <w:r>
        <w:rPr>
          <w:color w:val="000000"/>
        </w:rPr>
        <w:t xml:space="preserve"> </w:t>
      </w:r>
      <w:r>
        <w:rPr>
          <w:rFonts w:ascii="Times New Roman;sans-serif" w:hAnsi="Times New Roman;sans-serif"/>
          <w:b w:val="false"/>
          <w:color w:val="000000"/>
          <w:sz w:val="22"/>
        </w:rPr>
        <w:t xml:space="preserve">- In connection with the deferred cash consideration related to its acquisition of the remaining 70% of the issued and outstanding ownership and membership interests of AlTi Wealth Management (Switzerland) SA, (“AWMS”), increasing its interest in AWMS from 30% to 100%, on August 2, 2023, the Company’s valuation approach utilized a Monte Carlo simulation to estimate future revenue and the implied earn out payment discounted using the liability discount rate which is estimated based on the Company’s credit rating. As of September 30, 2024, the settlement amount became known, which was based on actual revenues received, and the use of the Level 3 valuation technique was discontinued. Additionally, during the fourth quarter of 2024, the AWMS earn-out liability was fully paid.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EEA Earn-Out Liability - </w:t>
      </w:r>
      <w:r>
        <w:rPr>
          <w:rFonts w:ascii="Times New Roman;sans-serif" w:hAnsi="Times New Roman;sans-serif"/>
          <w:b w:val="false"/>
          <w:color w:val="000000"/>
          <w:sz w:val="22"/>
        </w:rPr>
        <w:t>The Company’s valuation approach utilized a Discounted Cash Flow approach to determine the fair value using the liability discount rate which is estimated based on the Company’s credit quality.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Envoi Earn-Out Consideration Liability</w:t>
      </w:r>
      <w:r>
        <w:rPr>
          <w:color w:val="000000"/>
        </w:rPr>
        <w:t xml:space="preserve"> </w:t>
      </w:r>
      <w:r>
        <w:rPr>
          <w:rFonts w:ascii="Times New Roman;sans-serif" w:hAnsi="Times New Roman;sans-serif"/>
          <w:b w:val="false"/>
          <w:color w:val="000000"/>
          <w:sz w:val="22"/>
        </w:rPr>
        <w:t>- The Company’s valuation approach utilized a risk-adjusted Discounted Cash Flow approach to determine the fair value using the liability discount rate which is estimated based on the Company’s credit quality rating.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Envoi Earn-Out Growth Consideration Liability</w:t>
      </w:r>
      <w:r>
        <w:rPr>
          <w:color w:val="000000"/>
        </w:rPr>
        <w:t xml:space="preserve"> </w:t>
      </w:r>
      <w:r>
        <w:rPr>
          <w:rFonts w:ascii="Times New Roman;sans-serif" w:hAnsi="Times New Roman;sans-serif"/>
          <w:b w:val="false"/>
          <w:color w:val="000000"/>
          <w:sz w:val="22"/>
        </w:rPr>
        <w:t xml:space="preserve">- The Company’s valuation approach utilized a Monte Carlo simulation to estimate future revenue and the implied earn out payment discounted using the liability discount rate which is estimated based on the Company’s credit quality rating.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Preferred Stock Tranche Liability</w:t>
      </w:r>
      <w:r>
        <w:rPr>
          <w:color w:val="000000"/>
        </w:rPr>
        <w:t xml:space="preserve"> </w:t>
      </w:r>
      <w:r>
        <w:rPr>
          <w:rFonts w:ascii="Times New Roman;sans-serif" w:hAnsi="Times New Roman;sans-serif"/>
          <w:b w:val="false"/>
          <w:color w:val="000000"/>
          <w:sz w:val="22"/>
        </w:rPr>
        <w:t xml:space="preserve">- The fair value of the Allianz Tranche Right is determined based on Level 3 inputs using a binomial lattice model. At each node of the 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inducting values in the binomial lattice model to the initial node. A probability-weighted assessment is also included as part of the inputs to the valuation of the Allianz Tranche Right.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Investments in External Strategic Managers - </w:t>
      </w:r>
      <w:r>
        <w:rPr>
          <w:rFonts w:ascii="Times New Roman;sans-serif" w:hAnsi="Times New Roman;sans-serif"/>
          <w:b w:val="false"/>
          <w:color w:val="000000"/>
          <w:sz w:val="22"/>
        </w:rPr>
        <w:t xml:space="preserve">The Company utilized a Discounted Cash Flow approach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underlying External Strategic Manager, with consideration for general growth in the asset management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2"/>
        </w:rPr>
        <w:t xml:space="preserve">Contingent Consideration Receivable - </w:t>
      </w:r>
      <w:r>
        <w:rPr>
          <w:rFonts w:ascii="Times New Roman;sans-serif" w:hAnsi="Times New Roman;sans-serif"/>
          <w:b w:val="false"/>
          <w:color w:val="000000"/>
          <w:sz w:val="22"/>
        </w:rPr>
        <w:t>The Company utilized a Monte Carlo simulation to estimate the future share price of the acquirer of LRA, and the implied contingent consideration discounted using the risk-free rate and the acquirer’s estimated credit spread.</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Refer to the valuation methodologies table below for further analysis of Level 3 valuations.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categorization of the Company’s financial instruments based on the inputs utilized in determining the value of such financial instruments. Investments at fair value as of March 31, 2025, and December 31, 2024 are presented below:</w:t>
      </w:r>
    </w:p>
    <w:tbl>
      <w:tblPr>
        <w:tblW w:w="9866" w:type="dxa"/>
        <w:jc w:val="left"/>
        <w:tblInd w:w="0" w:type="dxa"/>
        <w:tblLayout w:type="fixed"/>
        <w:tblCellMar>
          <w:top w:w="28" w:type="dxa"/>
          <w:left w:w="28" w:type="dxa"/>
          <w:bottom w:w="28" w:type="dxa"/>
          <w:right w:w="28" w:type="dxa"/>
        </w:tblCellMar>
      </w:tblPr>
      <w:tblGrid>
        <w:gridCol w:w="1211"/>
        <w:gridCol w:w="1063"/>
        <w:gridCol w:w="1070"/>
        <w:gridCol w:w="316"/>
        <w:gridCol w:w="679"/>
        <w:gridCol w:w="175"/>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 and BDC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Investments – External Strategic Managers </w:t>
            </w:r>
            <w:r>
              <w:rPr>
                <w:rFonts w:ascii="Times New Roman;sans-serif" w:hAnsi="Times New Roman;sans-serif"/>
                <w:b/>
                <w:color w:val="000000"/>
                <w:sz w:val="12"/>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Investments – Affiliated Funds </w:t>
            </w:r>
            <w:r>
              <w:rPr>
                <w:rFonts w:ascii="Times New Roman;sans-serif" w:hAnsi="Times New Roman;sans-serif"/>
                <w:b/>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receivable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145,031 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tranche liability</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 liability</w:t>
            </w:r>
            <w:r>
              <w:rPr>
                <w:color w:val="000000"/>
              </w:rPr>
              <w:t xml:space="preserve"> </w:t>
            </w:r>
            <w:r>
              <w:rPr>
                <w:rFonts w:ascii="Times New Roman;sans-serif" w:hAnsi="Times New Roman;sans-serif"/>
                <w:b/>
                <w:color w:val="000000"/>
                <w:sz w:val="12"/>
              </w:rPr>
              <w:t>(3)</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The fair value of certain investments within the Company’s Investments - External Strategic Managers are reported on a one-month lag from the fund financial statements due to timing of the information provided by the funds and third-party entities unless information is available on a timelier basis. As a result, any changes in the markets in which our managed funds operate, and the impact market conditions have on underlying asset valuations, may not yet be reflected in reported amounts. </w:t>
      </w:r>
    </w:p>
    <w:p>
      <w:pPr>
        <w:pStyle w:val="TextBody"/>
        <w:bidi w:val="0"/>
        <w:spacing w:lineRule="auto" w:line="268" w:before="120" w:after="283"/>
        <w:jc w:val="both"/>
        <w:rPr/>
      </w:pPr>
      <w:r>
        <w:rPr>
          <w:rFonts w:ascii="Times New Roman;sans-serif" w:hAnsi="Times New Roman;sans-serif"/>
          <w:b/>
          <w:color w:val="000000"/>
          <w:sz w:val="12"/>
        </w:rPr>
        <w:t>(2)</w:t>
      </w:r>
      <w:r>
        <w:rPr>
          <w:color w:val="000000"/>
        </w:rPr>
        <w:t xml:space="preserve"> </w:t>
      </w:r>
      <w:r>
        <w:rPr>
          <w:rFonts w:ascii="Times New Roman;sans-serif" w:hAnsi="Times New Roman;sans-serif"/>
          <w:b w:val="false"/>
          <w:color w:val="000000"/>
          <w:sz w:val="18"/>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pStyle w:val="TextBody"/>
        <w:bidi w:val="0"/>
        <w:spacing w:lineRule="auto" w:line="288" w:before="120" w:after="283"/>
        <w:jc w:val="both"/>
        <w:rPr/>
      </w:pPr>
      <w:r>
        <w:rPr>
          <w:rFonts w:ascii="Times New Roman;sans-serif" w:hAnsi="Times New Roman;sans-serif"/>
          <w:b/>
          <w:color w:val="000000"/>
          <w:sz w:val="12"/>
        </w:rPr>
        <w:t xml:space="preserve">(3) </w:t>
      </w:r>
      <w:r>
        <w:rPr>
          <w:rFonts w:ascii="Times New Roman;sans-serif" w:hAnsi="Times New Roman;sans-serif"/>
          <w:b w:val="false"/>
          <w:color w:val="000000"/>
          <w:sz w:val="18"/>
        </w:rPr>
        <w:t>The Company carries a portion of its TRA liability at fair value equal to the expected future payments under the TRA.</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881" w:type="dxa"/>
        <w:jc w:val="left"/>
        <w:tblInd w:w="0" w:type="dxa"/>
        <w:tblLayout w:type="fixed"/>
        <w:tblCellMar>
          <w:top w:w="28" w:type="dxa"/>
          <w:left w:w="28" w:type="dxa"/>
          <w:bottom w:w="28" w:type="dxa"/>
          <w:right w:w="28" w:type="dxa"/>
        </w:tblCellMar>
      </w:tblPr>
      <w:tblGrid>
        <w:gridCol w:w="1216"/>
        <w:gridCol w:w="1068"/>
        <w:gridCol w:w="1075"/>
        <w:gridCol w:w="316"/>
        <w:gridCol w:w="679"/>
        <w:gridCol w:w="175"/>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 and BDC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Investments – External Strategic Managers</w:t>
            </w:r>
            <w:r>
              <w:rPr>
                <w:color w:val="000000"/>
              </w:rPr>
              <w:t xml:space="preserve"> </w:t>
            </w:r>
            <w:r>
              <w:rPr>
                <w:rFonts w:ascii="Times New Roman;sans-serif" w:hAnsi="Times New Roman;sans-serif"/>
                <w:b/>
                <w:color w:val="000000"/>
                <w:sz w:val="12"/>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Investments – Affiliated Funds</w:t>
            </w:r>
            <w:r>
              <w:rPr>
                <w:color w:val="000000"/>
              </w:rPr>
              <w:t xml:space="preserve"> </w:t>
            </w:r>
            <w:r>
              <w:rPr>
                <w:rFonts w:ascii="Times New Roman;sans-serif" w:hAnsi="Times New Roman;sans-serif"/>
                <w:b/>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receivable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148,957 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tranche liability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 liability</w:t>
            </w:r>
            <w:r>
              <w:rPr>
                <w:color w:val="000000"/>
              </w:rPr>
              <w:t xml:space="preserve"> </w:t>
            </w:r>
            <w:r>
              <w:rPr>
                <w:rFonts w:ascii="Times New Roman;sans-serif" w:hAnsi="Times New Roman;sans-serif"/>
                <w:b/>
                <w:color w:val="000000"/>
                <w:sz w:val="12"/>
              </w:rPr>
              <w:t>(3)</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The fair value of certain investments within the Company’s Investments - External Strategic Managers are reported on a one-month lag from the fund financial statements due to timing of the information provided by the funds and third-party entities unless information is available on a timelier basis. As a result, any changes in the markets in which our managed funds operate, and the impact market conditions have on underlying asset valuations, may not yet be reflected in reported amounts. </w:t>
      </w:r>
    </w:p>
    <w:p>
      <w:pPr>
        <w:pStyle w:val="TextBody"/>
        <w:bidi w:val="0"/>
        <w:spacing w:lineRule="auto" w:line="268" w:before="120" w:after="283"/>
        <w:jc w:val="both"/>
        <w:rPr/>
      </w:pPr>
      <w:r>
        <w:rPr>
          <w:rFonts w:ascii="Times New Roman;sans-serif" w:hAnsi="Times New Roman;sans-serif"/>
          <w:b/>
          <w:color w:val="000000"/>
          <w:sz w:val="12"/>
          <w:shd w:fill="FFFFFF" w:val="clear"/>
        </w:rPr>
        <w:t>(2)</w:t>
      </w:r>
      <w:r>
        <w:rPr>
          <w:color w:val="000000"/>
          <w:shd w:fill="FFFFFF" w:val="clear"/>
        </w:rPr>
        <w:t xml:space="preserve"> </w:t>
      </w:r>
      <w:r>
        <w:rPr>
          <w:rFonts w:ascii="Times New Roman;sans-serif" w:hAnsi="Times New Roman;sans-serif"/>
          <w:b w:val="false"/>
          <w:color w:val="000000"/>
          <w:sz w:val="18"/>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pStyle w:val="TextBody"/>
        <w:bidi w:val="0"/>
        <w:spacing w:lineRule="auto" w:line="288" w:before="120" w:after="283"/>
        <w:jc w:val="both"/>
        <w:rPr/>
      </w:pPr>
      <w:r>
        <w:rPr>
          <w:rFonts w:ascii="Times New Roman;sans-serif" w:hAnsi="Times New Roman;sans-serif"/>
          <w:b/>
          <w:color w:val="000000"/>
          <w:sz w:val="12"/>
        </w:rPr>
        <w:t xml:space="preserve">(3) </w:t>
      </w:r>
      <w:r>
        <w:rPr>
          <w:rFonts w:ascii="Times New Roman;sans-serif" w:hAnsi="Times New Roman;sans-serif"/>
          <w:b w:val="false"/>
          <w:color w:val="000000"/>
          <w:sz w:val="18"/>
        </w:rPr>
        <w:t>The Company carries a portion of its TRA liability at fair value equal to the expected future payments under the TRA.</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Reconciliation of Fair Value Measurements Categorized within Level 3</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Unrealized gains and losses on the Company’s assets and liabilities carried at fair value on a recurring basis are included within other losses in the Condensed Consolidated Statement of Operations. During the year ended December 31, 2024, there was one transfer from Level 3 to Level 1 of the AWMS earn-out liability. The following table sets forth a summary of changes in the fair value of Level 3 measurements as of March 31, 2025 and December 31, 2024:</w:t>
      </w:r>
    </w:p>
    <w:tbl>
      <w:tblPr>
        <w:tblW w:w="10547" w:type="dxa"/>
        <w:jc w:val="left"/>
        <w:tblInd w:w="0" w:type="dxa"/>
        <w:tblLayout w:type="fixed"/>
        <w:tblCellMar>
          <w:top w:w="28" w:type="dxa"/>
          <w:left w:w="28" w:type="dxa"/>
          <w:bottom w:w="28" w:type="dxa"/>
          <w:right w:w="28" w:type="dxa"/>
        </w:tblCellMar>
      </w:tblPr>
      <w:tblGrid>
        <w:gridCol w:w="375"/>
        <w:gridCol w:w="277"/>
        <w:gridCol w:w="279"/>
        <w:gridCol w:w="196"/>
        <w:gridCol w:w="556"/>
        <w:gridCol w:w="109"/>
        <w:gridCol w:w="109"/>
        <w:gridCol w:w="109"/>
        <w:gridCol w:w="109"/>
        <w:gridCol w:w="196"/>
        <w:gridCol w:w="646"/>
        <w:gridCol w:w="109"/>
        <w:gridCol w:w="109"/>
        <w:gridCol w:w="109"/>
        <w:gridCol w:w="109"/>
        <w:gridCol w:w="109"/>
        <w:gridCol w:w="109"/>
        <w:gridCol w:w="196"/>
        <w:gridCol w:w="646"/>
        <w:gridCol w:w="109"/>
        <w:gridCol w:w="109"/>
        <w:gridCol w:w="109"/>
        <w:gridCol w:w="109"/>
        <w:gridCol w:w="246"/>
        <w:gridCol w:w="698"/>
        <w:gridCol w:w="137"/>
        <w:gridCol w:w="109"/>
        <w:gridCol w:w="109"/>
        <w:gridCol w:w="109"/>
        <w:gridCol w:w="246"/>
        <w:gridCol w:w="698"/>
        <w:gridCol w:w="137"/>
        <w:gridCol w:w="109"/>
        <w:gridCol w:w="109"/>
        <w:gridCol w:w="109"/>
        <w:gridCol w:w="109"/>
        <w:gridCol w:w="109"/>
        <w:gridCol w:w="109"/>
        <w:gridCol w:w="109"/>
        <w:gridCol w:w="109"/>
        <w:gridCol w:w="109"/>
        <w:gridCol w:w="196"/>
        <w:gridCol w:w="556"/>
        <w:gridCol w:w="109"/>
        <w:gridCol w:w="109"/>
        <w:gridCol w:w="109"/>
        <w:gridCol w:w="109"/>
        <w:gridCol w:w="196"/>
        <w:gridCol w:w="64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March 31, 2025</w:t>
            </w:r>
          </w:p>
        </w:tc>
        <w:tc>
          <w:tcPr>
            <w:tcW w:w="2729" w:type="dxa"/>
            <w:gridSpan w:val="14"/>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EEA earn-out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Envoi earn-out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Envoi earn-out growth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Preferred stock tranche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out of Level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1607" w:type="dxa"/>
        <w:jc w:val="left"/>
        <w:tblInd w:w="0" w:type="dxa"/>
        <w:tblLayout w:type="fixed"/>
        <w:tblCellMar>
          <w:top w:w="28" w:type="dxa"/>
          <w:left w:w="28" w:type="dxa"/>
          <w:bottom w:w="28" w:type="dxa"/>
          <w:right w:w="28" w:type="dxa"/>
        </w:tblCellMar>
      </w:tblPr>
      <w:tblGrid>
        <w:gridCol w:w="375"/>
        <w:gridCol w:w="277"/>
        <w:gridCol w:w="27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46"/>
        <w:gridCol w:w="698"/>
        <w:gridCol w:w="137"/>
        <w:gridCol w:w="109"/>
        <w:gridCol w:w="109"/>
        <w:gridCol w:w="109"/>
        <w:gridCol w:w="246"/>
        <w:gridCol w:w="698"/>
        <w:gridCol w:w="137"/>
        <w:gridCol w:w="109"/>
        <w:gridCol w:w="109"/>
        <w:gridCol w:w="109"/>
        <w:gridCol w:w="109"/>
        <w:gridCol w:w="109"/>
        <w:gridCol w:w="109"/>
        <w:gridCol w:w="109"/>
        <w:gridCol w:w="109"/>
        <w:gridCol w:w="109"/>
        <w:gridCol w:w="196"/>
        <w:gridCol w:w="556"/>
        <w:gridCol w:w="109"/>
        <w:gridCol w:w="109"/>
        <w:gridCol w:w="109"/>
        <w:gridCol w:w="109"/>
        <w:gridCol w:w="196"/>
        <w:gridCol w:w="64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December 31, 2024</w:t>
            </w:r>
          </w:p>
        </w:tc>
        <w:tc>
          <w:tcPr>
            <w:tcW w:w="2511" w:type="dxa"/>
            <w:gridSpan w:val="12"/>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AWMS 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EEA earn-out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Envoi earn-out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Envoi earn-out growth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Preferred stock tranche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out of Level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964"/>
        <w:gridCol w:w="845"/>
        <w:gridCol w:w="851"/>
        <w:gridCol w:w="578"/>
        <w:gridCol w:w="2180"/>
        <w:gridCol w:w="325"/>
        <w:gridCol w:w="109"/>
        <w:gridCol w:w="109"/>
        <w:gridCol w:w="109"/>
        <w:gridCol w:w="618"/>
        <w:gridCol w:w="1755"/>
        <w:gridCol w:w="346"/>
        <w:gridCol w:w="109"/>
        <w:gridCol w:w="109"/>
        <w:gridCol w:w="109"/>
        <w:gridCol w:w="196"/>
        <w:gridCol w:w="736"/>
        <w:gridCol w:w="157"/>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as of March 31, 2025</w:t>
            </w:r>
          </w:p>
        </w:tc>
      </w:tr>
      <w:tr>
        <w:trPr/>
        <w:tc>
          <w:tcPr>
            <w:tcW w:w="2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 External Strategic Managers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Contingent Consideration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and Unrealized Gains (Losses)</w:t>
            </w:r>
          </w:p>
        </w:tc>
        <w:tc>
          <w:tcPr>
            <w:tcW w:w="2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143,817 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145,031 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964"/>
        <w:gridCol w:w="845"/>
        <w:gridCol w:w="851"/>
        <w:gridCol w:w="578"/>
        <w:gridCol w:w="2180"/>
        <w:gridCol w:w="325"/>
        <w:gridCol w:w="109"/>
        <w:gridCol w:w="109"/>
        <w:gridCol w:w="109"/>
        <w:gridCol w:w="618"/>
        <w:gridCol w:w="1755"/>
        <w:gridCol w:w="346"/>
        <w:gridCol w:w="109"/>
        <w:gridCol w:w="109"/>
        <w:gridCol w:w="109"/>
        <w:gridCol w:w="196"/>
        <w:gridCol w:w="736"/>
        <w:gridCol w:w="157"/>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as of December 31, 2024</w:t>
            </w:r>
          </w:p>
        </w:tc>
      </w:tr>
      <w:tr>
        <w:trPr/>
        <w:tc>
          <w:tcPr>
            <w:tcW w:w="2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 External Strategic Managers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Contingent Consideration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and Unrealized Gains (Losses)</w:t>
            </w:r>
          </w:p>
        </w:tc>
        <w:tc>
          <w:tcPr>
            <w:tcW w:w="2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2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147,568 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148,957 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March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8"/>
        <w:gridCol w:w="510"/>
        <w:gridCol w:w="513"/>
        <w:gridCol w:w="196"/>
        <w:gridCol w:w="736"/>
        <w:gridCol w:w="109"/>
        <w:gridCol w:w="109"/>
        <w:gridCol w:w="109"/>
        <w:gridCol w:w="109"/>
        <w:gridCol w:w="402"/>
        <w:gridCol w:w="402"/>
        <w:gridCol w:w="403"/>
        <w:gridCol w:w="109"/>
        <w:gridCol w:w="109"/>
        <w:gridCol w:w="109"/>
        <w:gridCol w:w="533"/>
        <w:gridCol w:w="533"/>
        <w:gridCol w:w="535"/>
        <w:gridCol w:w="109"/>
        <w:gridCol w:w="109"/>
        <w:gridCol w:w="109"/>
        <w:gridCol w:w="263"/>
        <w:gridCol w:w="224"/>
        <w:gridCol w:w="446"/>
        <w:gridCol w:w="109"/>
        <w:gridCol w:w="109"/>
        <w:gridCol w:w="109"/>
        <w:gridCol w:w="564"/>
        <w:gridCol w:w="564"/>
        <w:gridCol w:w="567"/>
        <w:gridCol w:w="109"/>
        <w:gridCol w:w="109"/>
        <w:gridCol w:w="109"/>
        <w:gridCol w:w="109"/>
        <w:gridCol w:w="109"/>
        <w:gridCol w:w="164"/>
      </w:tblGrid>
      <w:tr>
        <w:trPr/>
        <w:tc>
          <w:tcPr>
            <w:tcW w:w="6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Impact to Valuation from an Increase in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18.0% -26.0%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Correlation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debt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11.3% - 12.1%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Equity risk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5.9% - 13.2%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EEA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EBITDA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Envoi earn-out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risk-adjusted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Envoi earn-out growth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Metric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Risk Adjusted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tranche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Probability of option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December 31, 2024</w:t>
      </w:r>
    </w:p>
    <w:tbl>
      <w:tblPr>
        <w:tblW w:w="10205" w:type="dxa"/>
        <w:jc w:val="left"/>
        <w:tblInd w:w="0" w:type="dxa"/>
        <w:tblLayout w:type="fixed"/>
        <w:tblCellMar>
          <w:top w:w="28" w:type="dxa"/>
          <w:left w:w="28" w:type="dxa"/>
          <w:bottom w:w="28" w:type="dxa"/>
          <w:right w:w="28" w:type="dxa"/>
        </w:tblCellMar>
      </w:tblPr>
      <w:tblGrid>
        <w:gridCol w:w="749"/>
        <w:gridCol w:w="574"/>
        <w:gridCol w:w="578"/>
        <w:gridCol w:w="196"/>
        <w:gridCol w:w="736"/>
        <w:gridCol w:w="109"/>
        <w:gridCol w:w="109"/>
        <w:gridCol w:w="109"/>
        <w:gridCol w:w="109"/>
        <w:gridCol w:w="423"/>
        <w:gridCol w:w="423"/>
        <w:gridCol w:w="425"/>
        <w:gridCol w:w="109"/>
        <w:gridCol w:w="109"/>
        <w:gridCol w:w="109"/>
        <w:gridCol w:w="575"/>
        <w:gridCol w:w="575"/>
        <w:gridCol w:w="578"/>
        <w:gridCol w:w="109"/>
        <w:gridCol w:w="109"/>
        <w:gridCol w:w="109"/>
        <w:gridCol w:w="286"/>
        <w:gridCol w:w="218"/>
        <w:gridCol w:w="460"/>
        <w:gridCol w:w="109"/>
        <w:gridCol w:w="109"/>
        <w:gridCol w:w="109"/>
        <w:gridCol w:w="580"/>
        <w:gridCol w:w="580"/>
        <w:gridCol w:w="832"/>
      </w:tblGrid>
      <w:tr>
        <w:trPr/>
        <w:tc>
          <w:tcPr>
            <w:tcW w:w="7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Impact to Valuation from an Increase in Input</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18.0% -33%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Correlation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debt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10.2% - 10.9%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Equity risk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6.1% - 13.2%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EEA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EBITDA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Envoi earn-out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tranche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Binomial lattice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Probability of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bl>
    <w:p>
      <w:pPr>
        <w:pStyle w:val="TextBody"/>
        <w:bidi w:val="0"/>
        <w:spacing w:before="200" w:after="283"/>
        <w:jc w:val="both"/>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(8) Equity Method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2025 and December 31, 2024, the Company had $5.6 million and $27.5 million, respectively, of equity method investments recorded within equity method investments on the Condensed Consolidated Statement of Financial Position and Condensed Consolidated Statement of Financial Position, respectively. In accordance with US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2025 and March 31, 2024, the Company recognized $1.7 million and $0.0 million, respectively, of impairment on its equity method investments within gain (loss) on investments in the Condensed Consolidated Statement of Operations. Additionally, as part of the Business Combination, AlTi acquired the right to carried interest on several projects. These are held as assets at cost less impairment. The Company assesses indicators of impairment every quarter utilizing a number of factors, including market conditions. For the three months ended March 31, 2025 and March 31, 2024, the Company recognized $207.5 thousand and $0.0 thousand, respectively, of impairment to these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 xml:space="preserve">(9) Investments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include Investments at fair value and Equity method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reflect economic events in earnings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mitigate volatility in earnings from using different measurement attributes;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address simplification and cost-benefit considerations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Such election is irrevocable and is applied on an investment-by-investment basis at initial recognition or at other eligible election dates. Changes in the fair value of such instruments are recognized in Loss on investments in the Condensed Consolidated Statement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Cost and Fair Value of Investments as of March 31, 2025 and December 31, 2024 are presented below:</w:t>
      </w:r>
    </w:p>
    <w:tbl>
      <w:tblPr>
        <w:tblW w:w="9521" w:type="dxa"/>
        <w:jc w:val="left"/>
        <w:tblInd w:w="0" w:type="dxa"/>
        <w:tblLayout w:type="fixed"/>
        <w:tblCellMar>
          <w:top w:w="28" w:type="dxa"/>
          <w:left w:w="28" w:type="dxa"/>
          <w:bottom w:w="28" w:type="dxa"/>
          <w:right w:w="28" w:type="dxa"/>
        </w:tblCellMar>
      </w:tblPr>
      <w:tblGrid>
        <w:gridCol w:w="1297"/>
        <w:gridCol w:w="1139"/>
        <w:gridCol w:w="1148"/>
        <w:gridCol w:w="211"/>
        <w:gridCol w:w="826"/>
        <w:gridCol w:w="109"/>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funds and BDC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Opportunities Feeder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Capital Management Limited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Zebedee Asset Management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Romspen Investment Corporation </w:t>
            </w:r>
            <w:r>
              <w:rPr>
                <w:rFonts w:ascii="Times New Roman;sans-serif" w:hAnsi="Times New Roman;sans-serif"/>
                <w:b/>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 method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equity method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 investment advisory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interest vehicles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method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176,191 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ans-serif" w:hAnsi="Times New Roman;sans-serif"/>
          <w:b/>
          <w:color w:val="000000"/>
          <w:sz w:val="12"/>
        </w:rPr>
        <w:t>(1)</w:t>
      </w:r>
      <w:r>
        <w:rPr>
          <w:color w:val="000000"/>
        </w:rPr>
        <w:t xml:space="preserve"> </w:t>
      </w:r>
      <w:r>
        <w:rPr>
          <w:rFonts w:ascii="Times New Roman;sans-serif" w:hAnsi="Times New Roman;sans-serif"/>
          <w:b w:val="false"/>
          <w:color w:val="000000"/>
          <w:sz w:val="18"/>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at fair value include unrealized gains (losses) and realized gains (losses) in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breakdown of unrealized gains (losses) and realized gains (losses) on Investments at fair value for the relevant periods are as follows:</w:t>
      </w:r>
    </w:p>
    <w:tbl>
      <w:tblPr>
        <w:tblW w:w="8889" w:type="dxa"/>
        <w:jc w:val="left"/>
        <w:tblInd w:w="0" w:type="dxa"/>
        <w:tblLayout w:type="fixed"/>
        <w:tblCellMar>
          <w:top w:w="28" w:type="dxa"/>
          <w:left w:w="28" w:type="dxa"/>
          <w:bottom w:w="28" w:type="dxa"/>
          <w:right w:w="28" w:type="dxa"/>
        </w:tblCellMar>
      </w:tblPr>
      <w:tblGrid>
        <w:gridCol w:w="1488"/>
        <w:gridCol w:w="1306"/>
        <w:gridCol w:w="1316"/>
        <w:gridCol w:w="109"/>
        <w:gridCol w:w="109"/>
        <w:gridCol w:w="224"/>
        <w:gridCol w:w="224"/>
        <w:gridCol w:w="435"/>
        <w:gridCol w:w="1425"/>
        <w:gridCol w:w="224"/>
        <w:gridCol w:w="109"/>
        <w:gridCol w:w="109"/>
        <w:gridCol w:w="109"/>
        <w:gridCol w:w="300"/>
        <w:gridCol w:w="984"/>
        <w:gridCol w:w="155"/>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2029" w:type="dxa"/>
            <w:gridSpan w:val="8"/>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Gains (Losses) on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gains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gains (losses) on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(10) Intangible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Intangible assets, net reported on the Condensed Consolidated Statement of Financial Position.</w:t>
      </w:r>
    </w:p>
    <w:tbl>
      <w:tblPr>
        <w:tblW w:w="10205" w:type="dxa"/>
        <w:jc w:val="left"/>
        <w:tblInd w:w="0" w:type="dxa"/>
        <w:tblLayout w:type="fixed"/>
        <w:tblCellMar>
          <w:top w:w="28" w:type="dxa"/>
          <w:left w:w="28" w:type="dxa"/>
          <w:bottom w:w="28" w:type="dxa"/>
          <w:right w:w="28" w:type="dxa"/>
        </w:tblCellMar>
      </w:tblPr>
      <w:tblGrid>
        <w:gridCol w:w="871"/>
        <w:gridCol w:w="576"/>
        <w:gridCol w:w="579"/>
        <w:gridCol w:w="445"/>
        <w:gridCol w:w="445"/>
        <w:gridCol w:w="447"/>
        <w:gridCol w:w="109"/>
        <w:gridCol w:w="109"/>
        <w:gridCol w:w="109"/>
        <w:gridCol w:w="211"/>
        <w:gridCol w:w="826"/>
        <w:gridCol w:w="109"/>
        <w:gridCol w:w="109"/>
        <w:gridCol w:w="109"/>
        <w:gridCol w:w="109"/>
        <w:gridCol w:w="384"/>
        <w:gridCol w:w="877"/>
        <w:gridCol w:w="199"/>
        <w:gridCol w:w="109"/>
        <w:gridCol w:w="109"/>
        <w:gridCol w:w="109"/>
        <w:gridCol w:w="109"/>
        <w:gridCol w:w="109"/>
        <w:gridCol w:w="109"/>
        <w:gridCol w:w="109"/>
        <w:gridCol w:w="248"/>
        <w:gridCol w:w="871"/>
        <w:gridCol w:w="130"/>
        <w:gridCol w:w="109"/>
        <w:gridCol w:w="109"/>
        <w:gridCol w:w="109"/>
        <w:gridCol w:w="218"/>
        <w:gridCol w:w="857"/>
        <w:gridCol w:w="168"/>
      </w:tblGrid>
      <w:tr>
        <w:trPr/>
        <w:tc>
          <w:tcPr>
            <w:tcW w:w="8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2928" w:type="dxa"/>
            <w:gridSpan w:val="10"/>
            <w:tcBorders/>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Gross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r>
          </w:p>
          <w:p>
            <w:pPr>
              <w:pStyle w:val="TableContents"/>
              <w:bidi w:val="0"/>
              <w:spacing w:lineRule="auto" w:line="288"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Impairment/Disposals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Investment management agreements</w:t>
            </w:r>
            <w:r>
              <w:rPr>
                <w:color w:val="000000"/>
              </w:rPr>
              <w:t xml:space="preserve"> </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Non-amortized intangible assets </w:t>
            </w:r>
            <w:r>
              <w:rPr>
                <w:rFonts w:ascii="Times New Roman;sans-serif" w:hAnsi="Times New Roman;sans-serif"/>
                <w:b w:val="false"/>
                <w:color w:val="000000"/>
                <w:sz w:val="13"/>
              </w:rPr>
              <w:t>(1)</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management agreements </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Company’s non-amortized intangible assets consist of management contracts for open-ended fund products, in which there is no contractual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As of March 31, 2025, gross carrying amounts related to the Company’s intangible assets include foreign currency translation differences of $1.1 million.</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1"/>
        <w:gridCol w:w="677"/>
        <w:gridCol w:w="681"/>
        <w:gridCol w:w="458"/>
        <w:gridCol w:w="458"/>
        <w:gridCol w:w="459"/>
        <w:gridCol w:w="109"/>
        <w:gridCol w:w="109"/>
        <w:gridCol w:w="109"/>
        <w:gridCol w:w="211"/>
        <w:gridCol w:w="826"/>
        <w:gridCol w:w="109"/>
        <w:gridCol w:w="109"/>
        <w:gridCol w:w="109"/>
        <w:gridCol w:w="109"/>
        <w:gridCol w:w="224"/>
        <w:gridCol w:w="789"/>
        <w:gridCol w:w="118"/>
        <w:gridCol w:w="109"/>
        <w:gridCol w:w="109"/>
        <w:gridCol w:w="109"/>
        <w:gridCol w:w="109"/>
        <w:gridCol w:w="109"/>
        <w:gridCol w:w="109"/>
        <w:gridCol w:w="109"/>
        <w:gridCol w:w="248"/>
        <w:gridCol w:w="872"/>
        <w:gridCol w:w="130"/>
        <w:gridCol w:w="109"/>
        <w:gridCol w:w="109"/>
        <w:gridCol w:w="109"/>
        <w:gridCol w:w="222"/>
        <w:gridCol w:w="869"/>
        <w:gridCol w:w="169"/>
      </w:tblGrid>
      <w:tr>
        <w:trPr/>
        <w:tc>
          <w:tcPr>
            <w:tcW w:w="9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2946" w:type="dxa"/>
            <w:gridSpan w:val="10"/>
            <w:tcBorders/>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Gross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r>
          </w:p>
          <w:p>
            <w:pPr>
              <w:pStyle w:val="TableContents"/>
              <w:bidi w:val="0"/>
              <w:spacing w:lineRule="auto" w:line="288"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Investment management agreements</w:t>
            </w:r>
            <w:r>
              <w:rPr>
                <w:color w:val="000000"/>
              </w:rPr>
              <w:t xml:space="preserve"> </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268,563 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Non-amortized intangible assets </w:t>
            </w:r>
            <w:r>
              <w:rPr>
                <w:rFonts w:ascii="Times New Roman;sans-serif" w:hAnsi="Times New Roman;sans-serif"/>
                <w:b w:val="false"/>
                <w:color w:val="000000"/>
                <w:sz w:val="13"/>
              </w:rPr>
              <w:t>(1)</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Investment management agreements </w:t>
            </w:r>
            <w:r>
              <w:rPr>
                <w:rFonts w:ascii="Times New Roman;sans-serif" w:hAnsi="Times New Roman;sans-serif"/>
                <w:b w:val="false"/>
                <w:color w:val="000000"/>
                <w:sz w:val="13"/>
              </w:rPr>
              <w:t>(3)</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469,563 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Company’s non-amortized intangible assets consist of management contracts for open-ended fund products, in which there is no contractual termination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As of December 31, 2024, gross carrying amounts related to the Company’s intangible assets include additions to intangibles of $99.3 million related to the PW, EEA, and Envoi Acquisitions, a transfer of $4.6 million to Goodwill related to measurement period adjustments for the EEA Acquisition and a transfer of $1.0 million from Goodwill related to measurement period adjustments for the Envoi Acquisition (see Note 3 Business Combinations and Divestitures), as well as foreign currency translation differences of $(1.3) million.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 xml:space="preserve">During the third quarter ended September 30, 2024, the Company commenced a strategic review of its Real Estate Businesses and conducted a realignment of its operating segments. Prior to the realignment, the Company conducted a goodwill impairment test to determine whether the fair value of its reporting units declined to an amount lower than the carrying value of goodwill. As part of the test, we utilized the discounted cash flow method and determined the fair value of TIG’s Investment Management Agreement (the “IMA”) had declined. As such, the Company recognized intangible asset impairment charges of $44.9 million related to the IMA, which is classified as an indefinite-lived intangible asset and part of the Wealth &amp; Capital Solutions segment. Drivers of the impairment for the IMA primarily include the financial projections and discount rate associated with the instrument. See Note 13 (Goodwill, net) for further details around the related impairment to goodwill as a result of our strategic realignment. </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Amortization expense of approximately $3.8 million and $2.3 million for the three months ended March 31, 2025 and March 31, 2024, respectively, was recognized. </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estimated future amortization for finite-lived intangible assets for each of the next five years and thereafter are as follows:</w:t>
      </w:r>
    </w:p>
    <w:tbl>
      <w:tblPr>
        <w:tblW w:w="3674" w:type="dxa"/>
        <w:jc w:val="left"/>
        <w:tblInd w:w="0" w:type="dxa"/>
        <w:tblLayout w:type="fixed"/>
        <w:tblCellMar>
          <w:top w:w="28" w:type="dxa"/>
          <w:left w:w="28" w:type="dxa"/>
          <w:bottom w:w="28" w:type="dxa"/>
          <w:right w:w="28" w:type="dxa"/>
        </w:tblCellMar>
      </w:tblPr>
      <w:tblGrid>
        <w:gridCol w:w="624"/>
        <w:gridCol w:w="548"/>
        <w:gridCol w:w="552"/>
        <w:gridCol w:w="345"/>
        <w:gridCol w:w="1353"/>
        <w:gridCol w:w="252"/>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As of March 31, 2025</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208,762 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2"/>
        </w:rPr>
      </w:pPr>
      <w:r>
        <w:rPr>
          <w:rFonts w:ascii="Times New Roman;sans-serif" w:hAnsi="Times New Roman;sans-serif"/>
          <w:b/>
          <w:color w:val="000000"/>
          <w:sz w:val="22"/>
        </w:rPr>
        <w:t>(11) Other assets, net and Other liabilities, net</w:t>
      </w:r>
    </w:p>
    <w:p>
      <w:pPr>
        <w:pStyle w:val="TextBody"/>
        <w:bidi w:val="0"/>
        <w:spacing w:lineRule="auto" w:line="288" w:before="200" w:after="283"/>
        <w:jc w:val="both"/>
        <w:rPr/>
      </w:pPr>
      <w:r>
        <w:rPr>
          <w:rFonts w:ascii="Times New Roman;sans-serif" w:hAnsi="Times New Roman;sans-serif"/>
          <w:b w:val="false"/>
          <w:color w:val="000000"/>
          <w:sz w:val="22"/>
        </w:rPr>
        <w:t>The following table provides a breakdown of Other assets, net reported on the Condensed</w:t>
      </w:r>
      <w:r>
        <w:rPr>
          <w:color w:val="000000"/>
        </w:rPr>
        <w:t xml:space="preserve"> </w:t>
      </w:r>
      <w:r>
        <w:rPr>
          <w:rFonts w:ascii="Times New Roman;sans-serif" w:hAnsi="Times New Roman;sans-serif"/>
          <w:b w:val="false"/>
          <w:color w:val="000000"/>
          <w:sz w:val="22"/>
        </w:rPr>
        <w:t>Consolidated Statement of Financial Position.</w:t>
      </w:r>
    </w:p>
    <w:tbl>
      <w:tblPr>
        <w:tblW w:w="8156" w:type="dxa"/>
        <w:jc w:val="left"/>
        <w:tblInd w:w="0" w:type="dxa"/>
        <w:tblLayout w:type="fixed"/>
        <w:tblCellMar>
          <w:top w:w="28" w:type="dxa"/>
          <w:left w:w="28" w:type="dxa"/>
          <w:bottom w:w="28" w:type="dxa"/>
          <w:right w:w="28" w:type="dxa"/>
        </w:tblCellMar>
      </w:tblPr>
      <w:tblGrid>
        <w:gridCol w:w="1337"/>
        <w:gridCol w:w="1172"/>
        <w:gridCol w:w="1180"/>
        <w:gridCol w:w="386"/>
        <w:gridCol w:w="1320"/>
        <w:gridCol w:w="199"/>
        <w:gridCol w:w="109"/>
        <w:gridCol w:w="109"/>
        <w:gridCol w:w="109"/>
        <w:gridCol w:w="434"/>
        <w:gridCol w:w="1484"/>
        <w:gridCol w:w="317"/>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difference</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incentive receivables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Sundry receivables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receivables</w:t>
            </w:r>
            <w:r>
              <w:rPr>
                <w:color w:val="000000"/>
              </w:rPr>
              <w:t xml:space="preserve"> </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assets, net</w:t>
            </w:r>
            <w:r>
              <w:rPr>
                <w:color w:val="000000"/>
              </w:rPr>
              <w:t xml:space="preserve"> </w:t>
            </w:r>
            <w:r>
              <w:rPr>
                <w:rFonts w:ascii="Times New Roman;sans-serif" w:hAnsi="Times New Roman;sans-serif"/>
                <w:b w:val="false"/>
                <w:color w:val="000000"/>
                <w:sz w:val="13"/>
              </w:rPr>
              <w:t>(1)</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59,797 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As of March 31, 2025 and December 31, 2024, these amounts include $3.3 million and $3.5 million, respectively, in receivables due from related parties. See Note 16 (Related Party Transactions) for further details.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following table provides a breakdown of Other liabilities, net reported on the Condensed</w:t>
      </w:r>
      <w:r>
        <w:rPr>
          <w:color w:val="000000"/>
        </w:rPr>
        <w:t xml:space="preserve"> </w:t>
      </w:r>
      <w:r>
        <w:rPr>
          <w:rFonts w:ascii="Times New Roman;sans-serif" w:hAnsi="Times New Roman;sans-serif"/>
          <w:b w:val="false"/>
          <w:color w:val="000000"/>
          <w:sz w:val="22"/>
        </w:rPr>
        <w:t>Consolidated Statement of Financial Position.</w:t>
      </w:r>
    </w:p>
    <w:tbl>
      <w:tblPr>
        <w:tblW w:w="6732" w:type="dxa"/>
        <w:jc w:val="left"/>
        <w:tblInd w:w="0" w:type="dxa"/>
        <w:tblLayout w:type="fixed"/>
        <w:tblCellMar>
          <w:top w:w="28" w:type="dxa"/>
          <w:left w:w="28" w:type="dxa"/>
          <w:bottom w:w="28" w:type="dxa"/>
          <w:right w:w="28" w:type="dxa"/>
        </w:tblCellMar>
      </w:tblPr>
      <w:tblGrid>
        <w:gridCol w:w="820"/>
        <w:gridCol w:w="720"/>
        <w:gridCol w:w="725"/>
        <w:gridCol w:w="386"/>
        <w:gridCol w:w="1320"/>
        <w:gridCol w:w="199"/>
        <w:gridCol w:w="109"/>
        <w:gridCol w:w="109"/>
        <w:gridCol w:w="109"/>
        <w:gridCol w:w="434"/>
        <w:gridCol w:w="1484"/>
        <w:gridCol w:w="317"/>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 deferred consideration</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Corporation tax payable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Sundry</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Liabilities, net </w:t>
            </w:r>
            <w:r>
              <w:rPr>
                <w:rFonts w:ascii="Times New Roman;sans-serif" w:hAnsi="Times New Roman;sans-serif"/>
                <w:b w:val="false"/>
                <w:color w:val="000000"/>
                <w:sz w:val="13"/>
              </w:rPr>
              <w:t>(1)</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As of March 31, 2025 and December 31, 2024, these amounts include $0.2 million and $3.6 million, respectively, in liabilities due to related parties. Additionally, certain reclassifications have been made during the current period and are no longer comparable to the year ended December 31, 2024. See Note 16 (Related Party Transactions) and Note 2 (Summary of Significant Accounting Policies), respectively,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(12) Leases</w:t>
      </w:r>
    </w:p>
    <w:p>
      <w:pPr>
        <w:pStyle w:val="TextBody"/>
        <w:bidi w:val="0"/>
        <w:spacing w:lineRule="auto" w:line="288" w:before="200" w:after="283"/>
        <w:jc w:val="both"/>
        <w:rPr/>
      </w:pPr>
      <w:r>
        <w:rPr>
          <w:rFonts w:ascii="Times New Roman;sans-serif" w:hAnsi="Times New Roman;sans-serif"/>
          <w:b w:val="false"/>
          <w:color w:val="000000"/>
          <w:sz w:val="22"/>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w:t>
      </w:r>
      <w:r>
        <w:rPr>
          <w:color w:val="000000"/>
        </w:rPr>
        <w:t xml:space="preserve"> </w:t>
      </w:r>
      <w:r>
        <w:rPr>
          <w:rFonts w:ascii="Times New Roman;sans-serif" w:hAnsi="Times New Roman;sans-serif"/>
          <w:b w:val="false"/>
          <w:color w:val="000000"/>
          <w:sz w:val="22"/>
        </w:rPr>
        <w:t xml:space="preserve">Consolidated Statement of Financial Position. The Company primarily has non-cancellable operating leases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office spaces across various countries. We categorize leases as either operating or finance leases at the commencement date of the respective lease.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lease costs are as follows:</w:t>
      </w:r>
    </w:p>
    <w:tbl>
      <w:tblPr>
        <w:tblW w:w="6909" w:type="dxa"/>
        <w:jc w:val="left"/>
        <w:tblInd w:w="0" w:type="dxa"/>
        <w:tblLayout w:type="fixed"/>
        <w:tblCellMar>
          <w:top w:w="28" w:type="dxa"/>
          <w:left w:w="28" w:type="dxa"/>
          <w:bottom w:w="28" w:type="dxa"/>
          <w:right w:w="28" w:type="dxa"/>
        </w:tblCellMar>
      </w:tblPr>
      <w:tblGrid>
        <w:gridCol w:w="771"/>
        <w:gridCol w:w="677"/>
        <w:gridCol w:w="681"/>
        <w:gridCol w:w="109"/>
        <w:gridCol w:w="109"/>
        <w:gridCol w:w="239"/>
        <w:gridCol w:w="239"/>
        <w:gridCol w:w="463"/>
        <w:gridCol w:w="1353"/>
        <w:gridCol w:w="239"/>
        <w:gridCol w:w="109"/>
        <w:gridCol w:w="109"/>
        <w:gridCol w:w="109"/>
        <w:gridCol w:w="324"/>
        <w:gridCol w:w="948"/>
        <w:gridCol w:w="167"/>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2029" w:type="dxa"/>
            <w:gridSpan w:val="8"/>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and non-cash activity related to our operating leases are as follows:</w:t>
      </w:r>
    </w:p>
    <w:tbl>
      <w:tblPr>
        <w:tblW w:w="8662" w:type="dxa"/>
        <w:jc w:val="left"/>
        <w:tblInd w:w="0" w:type="dxa"/>
        <w:tblLayout w:type="fixed"/>
        <w:tblCellMar>
          <w:top w:w="28" w:type="dxa"/>
          <w:left w:w="28" w:type="dxa"/>
          <w:bottom w:w="28" w:type="dxa"/>
          <w:right w:w="28" w:type="dxa"/>
        </w:tblCellMar>
      </w:tblPr>
      <w:tblGrid>
        <w:gridCol w:w="1863"/>
        <w:gridCol w:w="1634"/>
        <w:gridCol w:w="1647"/>
        <w:gridCol w:w="324"/>
        <w:gridCol w:w="949"/>
        <w:gridCol w:w="167"/>
        <w:gridCol w:w="125"/>
        <w:gridCol w:w="125"/>
        <w:gridCol w:w="125"/>
        <w:gridCol w:w="324"/>
        <w:gridCol w:w="949"/>
        <w:gridCol w:w="167"/>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cash flow information:</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activity:</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Weighted-average remaining lease term and discount rate for our operating leases are as follows:</w:t>
      </w:r>
    </w:p>
    <w:tbl>
      <w:tblPr>
        <w:tblW w:w="7795" w:type="dxa"/>
        <w:jc w:val="left"/>
        <w:tblInd w:w="0" w:type="dxa"/>
        <w:tblLayout w:type="fixed"/>
        <w:tblCellMar>
          <w:top w:w="28" w:type="dxa"/>
          <w:left w:w="28" w:type="dxa"/>
          <w:bottom w:w="28" w:type="dxa"/>
          <w:right w:w="28" w:type="dxa"/>
        </w:tblCellMar>
      </w:tblPr>
      <w:tblGrid>
        <w:gridCol w:w="1207"/>
        <w:gridCol w:w="1059"/>
        <w:gridCol w:w="1064"/>
        <w:gridCol w:w="422"/>
        <w:gridCol w:w="422"/>
        <w:gridCol w:w="1060"/>
        <w:gridCol w:w="109"/>
        <w:gridCol w:w="109"/>
        <w:gridCol w:w="109"/>
        <w:gridCol w:w="455"/>
        <w:gridCol w:w="455"/>
        <w:gridCol w:w="132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Future minimum lease payments for the Company’s operating leases as of March 31, 2025,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2025</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62,810 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(13) Goodwill, net</w:t>
      </w:r>
    </w:p>
    <w:p>
      <w:pPr>
        <w:pStyle w:val="TextBody"/>
        <w:bidi w:val="0"/>
        <w:spacing w:lineRule="auto" w:line="288" w:before="200" w:after="283"/>
        <w:jc w:val="both"/>
        <w:rPr/>
      </w:pPr>
      <w:r>
        <w:rPr>
          <w:rFonts w:ascii="Times New Roman;sans-serif" w:hAnsi="Times New Roman;sans-serif"/>
          <w:b w:val="false"/>
          <w:color w:val="000000"/>
          <w:sz w:val="22"/>
        </w:rPr>
        <w:t>The following tables provide a reconciliation of Goodwill, net reported on the Condensed</w:t>
      </w:r>
      <w:r>
        <w:rPr>
          <w:color w:val="000000"/>
        </w:rPr>
        <w:t xml:space="preserve"> </w:t>
      </w:r>
      <w:r>
        <w:rPr>
          <w:rFonts w:ascii="Times New Roman;sans-serif" w:hAnsi="Times New Roman;sans-serif"/>
          <w:b w:val="false"/>
          <w:color w:val="000000"/>
          <w:sz w:val="22"/>
        </w:rPr>
        <w:t>Consolidated Statement of Financial Position and Condensed</w:t>
      </w:r>
      <w:r>
        <w:rPr>
          <w:color w:val="000000"/>
        </w:rPr>
        <w:t xml:space="preserve"> </w:t>
      </w:r>
      <w:r>
        <w:rPr>
          <w:rFonts w:ascii="Times New Roman;sans-serif" w:hAnsi="Times New Roman;sans-serif"/>
          <w:b w:val="false"/>
          <w:color w:val="000000"/>
          <w:sz w:val="22"/>
        </w:rPr>
        <w:t>Consolidated Statement of Financial Position as of March 31, 2025 and December 31, 2024, respectively.</w:t>
      </w:r>
    </w:p>
    <w:tbl>
      <w:tblPr>
        <w:tblW w:w="10205" w:type="dxa"/>
        <w:jc w:val="left"/>
        <w:tblInd w:w="0" w:type="dxa"/>
        <w:tblLayout w:type="fixed"/>
        <w:tblCellMar>
          <w:top w:w="28" w:type="dxa"/>
          <w:left w:w="28" w:type="dxa"/>
          <w:bottom w:w="28" w:type="dxa"/>
          <w:right w:w="28" w:type="dxa"/>
        </w:tblCellMar>
      </w:tblPr>
      <w:tblGrid>
        <w:gridCol w:w="1303"/>
        <w:gridCol w:w="1144"/>
        <w:gridCol w:w="1152"/>
        <w:gridCol w:w="445"/>
        <w:gridCol w:w="1746"/>
        <w:gridCol w:w="230"/>
        <w:gridCol w:w="109"/>
        <w:gridCol w:w="109"/>
        <w:gridCol w:w="109"/>
        <w:gridCol w:w="646"/>
        <w:gridCol w:w="1245"/>
        <w:gridCol w:w="336"/>
        <w:gridCol w:w="109"/>
        <w:gridCol w:w="109"/>
        <w:gridCol w:w="109"/>
        <w:gridCol w:w="211"/>
        <w:gridCol w:w="826"/>
        <w:gridCol w:w="109"/>
        <w:gridCol w:w="158"/>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Wealth &amp; Capital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4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58"/>
        <w:gridCol w:w="1168"/>
        <w:gridCol w:w="1175"/>
        <w:gridCol w:w="434"/>
        <w:gridCol w:w="1704"/>
        <w:gridCol w:w="224"/>
        <w:gridCol w:w="109"/>
        <w:gridCol w:w="109"/>
        <w:gridCol w:w="109"/>
        <w:gridCol w:w="434"/>
        <w:gridCol w:w="1520"/>
        <w:gridCol w:w="228"/>
        <w:gridCol w:w="109"/>
        <w:gridCol w:w="109"/>
        <w:gridCol w:w="109"/>
        <w:gridCol w:w="211"/>
        <w:gridCol w:w="826"/>
        <w:gridCol w:w="109"/>
        <w:gridCol w:w="160"/>
      </w:tblGrid>
      <w:tr>
        <w:trPr/>
        <w:tc>
          <w:tcPr>
            <w:tcW w:w="13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Wealth &amp; Capital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Resegmentation of U.S. Asset Management </w:t>
            </w:r>
            <w:r>
              <w:rPr>
                <w:rFonts w:ascii="Times New Roman;sans-serif" w:hAnsi="Times New Roman;sans-serif"/>
                <w:b/>
                <w:color w:val="000000"/>
                <w:sz w:val="13"/>
              </w:rPr>
              <w:t>(1)</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56,688 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During the third quarter ended September 30, 2024, the Company changed its segments. See Note 17 (Segment Reporting) for more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part of the Company’s strategic review of its Real Estate Businesses, the Company realigned its operating segments which resulted in a change to our reporting units as of the third quarter ended September 30, 2024. We determined that triggering events had occurred due to changes in the composition of our reporting units in addition to declining revenues and increased expenses associated with the Real Estate Businesses. As such, a goodwill impairment test of the reporting units was performed prior to their realignment. During the year ended December 31, 2024, the Company recognized an impairment charge of $44.9 million related to TIG’s Investment management agreements (“IMAs”), which is classified as an indefinite-lived intangible asset. See Note 10 (Intangible Assets, Net) for further details. Additionally, during the year ended December 31, 2024, the Company recognized a $29.4 million and $40.4 million impairment to goodwill for its Wealth &amp; Capital Solutions and International Real Estate segments, respectively. The primary drivers of impairment are the financial projections and discount rate for the IMAs and financial projections, discount rate,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multiples for goodwill. As of December 31, 2024, all goodwill allocated to the International Real Estate segment was written off. See Note 17 (Segment Reporting) for further information about changes to the Company’s segments. </w:t>
      </w:r>
    </w:p>
    <w:p>
      <w:pPr>
        <w:pStyle w:val="TextBody"/>
        <w:bidi w:val="0"/>
        <w:spacing w:before="0" w:after="0"/>
        <w:ind w:left="0" w:right="0" w:firstLine="167"/>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condensed</w:t>
      </w:r>
      <w:r>
        <w:rPr>
          <w:color w:val="000000"/>
        </w:rPr>
        <w:t xml:space="preserve"> </w:t>
      </w:r>
      <w:r>
        <w:rPr>
          <w:rFonts w:ascii="Times New Roman;sans-serif" w:hAnsi="Times New Roman;sans-serif"/>
          <w:b w:val="false"/>
          <w:color w:val="000000"/>
          <w:sz w:val="22"/>
        </w:rPr>
        <w:t xml:space="preserve">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(14) Debt, net of unamortized deferred financing cost</w:t>
      </w:r>
    </w:p>
    <w:p>
      <w:pPr>
        <w:pStyle w:val="TextBody"/>
        <w:bidi w:val="0"/>
        <w:spacing w:lineRule="auto" w:line="288" w:before="240" w:after="283"/>
        <w:jc w:val="both"/>
        <w:rPr>
          <w:rFonts w:ascii="Times New Roman;sans-serif" w:hAnsi="Times New Roman;sans-serif"/>
          <w:b/>
          <w:i/>
          <w:color w:val="000000"/>
          <w:sz w:val="22"/>
        </w:rPr>
      </w:pPr>
      <w:r>
        <w:rPr>
          <w:rFonts w:ascii="Times New Roman;sans-serif" w:hAnsi="Times New Roman;sans-serif"/>
          <w:b/>
          <w:i/>
          <w:color w:val="000000"/>
          <w:sz w:val="22"/>
        </w:rPr>
        <w:t>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Subsequent to entering into the Credit Agreement and prior to the pay down of its debt in its entirety (see discussion below), the Company entered into multiple amendments during 2023 and 2024, which included a reduction of the aggregate commitment amount under the Revolving Credit Facility from $150.0 million to $110.0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 Loans and Revolving Credit Facility bore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ranged between 1.0% and 2.0% for base rate loans and between 2.0% and 3.0% for SOFR loans. The Company paid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was subject to quarterly amortization payments and matured on December 31, 2024. The Revolving Credit Facility terminated on December 31, 2024. As security for the Term Loans and Revolving Credit Facility, the borrower and the guarantors thereunder pledged substantially all of their assets, subject to agreed-upon exclusions. The guarantor group consisted of the Company’s U.S. and non-U.S. subsidiaries, subject to an agreed-upon materiality threshold. </w:t>
      </w:r>
    </w:p>
    <w:p>
      <w:pPr>
        <w:pStyle w:val="TextBody"/>
        <w:bidi w:val="0"/>
        <w:spacing w:lineRule="auto" w:line="288" w:before="200" w:after="283"/>
        <w:jc w:val="both"/>
        <w:rPr/>
      </w:pPr>
      <w:r>
        <w:rPr>
          <w:rFonts w:ascii="Times New Roman;sans-serif" w:hAnsi="Times New Roman;sans-serif"/>
          <w:b w:val="false"/>
          <w:color w:val="000000"/>
          <w:sz w:val="22"/>
        </w:rPr>
        <w:t>On December 19, 2024, the Company paid off its debt outstanding in the amount of $133.4 million related to the BMO Credit Facility, with the proceeds raised from the Allianz Transaction and the Constellation Transaction (see Note 1 (Description of the Business)). This debt was due to terminate on December 31, 2024. The Company recognized a write-off of the deferred issuance costs related to the extinguishment of this debt in the amount of $4.5 million, which was recorded in the line Interest expense in the Condensed</w:t>
      </w:r>
      <w:r>
        <w:rPr>
          <w:color w:val="000000"/>
        </w:rPr>
        <w:t xml:space="preserve"> </w:t>
      </w:r>
      <w:r>
        <w:rPr>
          <w:rFonts w:ascii="Times New Roman;sans-serif" w:hAnsi="Times New Roman;sans-serif"/>
          <w:b w:val="false"/>
          <w:color w:val="000000"/>
          <w:sz w:val="22"/>
        </w:rPr>
        <w:t>Consolidated Statement of Operations during the year ended December 31, 2024.</w:t>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Allianz Tranche Right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Company evaluated the Allianz Tranche Right in which Allianz, at their option, can purchase up to a total of 50,000 additional shares of Series A Preferred Stock at $1,000 per share. See Note 1 (Description of the Business) for details. As of March 31, 2025 and December 31, 2024, the Allianz Tranche Right of $1.4 million and $3.9 million, respectively, is classified as a liability in accordance with ASC 480, </w:t>
      </w:r>
      <w:r>
        <w:rPr>
          <w:rFonts w:ascii="Times New Roman;sans-serif" w:hAnsi="Times New Roman;sans-serif"/>
          <w:b w:val="false"/>
          <w:i/>
          <w:color w:val="000000"/>
          <w:sz w:val="22"/>
        </w:rPr>
        <w:t>Liabilities</w:t>
      </w:r>
      <w:r>
        <w:rPr>
          <w:rFonts w:ascii="Times New Roman;sans-serif" w:hAnsi="Times New Roman;sans-serif"/>
          <w:b w:val="false"/>
          <w:color w:val="000000"/>
          <w:sz w:val="22"/>
        </w:rPr>
        <w:t>, and is recorded in the line item Preferred stock tranche liability on the Company’s Condensed</w:t>
      </w:r>
      <w:r>
        <w:rPr>
          <w:color w:val="000000"/>
        </w:rPr>
        <w:t xml:space="preserve"> </w:t>
      </w:r>
      <w:r>
        <w:rPr>
          <w:rFonts w:ascii="Times New Roman;sans-serif" w:hAnsi="Times New Roman;sans-serif"/>
          <w:b w:val="false"/>
          <w:color w:val="000000"/>
          <w:sz w:val="22"/>
        </w:rPr>
        <w:t xml:space="preserve">Consolidated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2"/>
        </w:rPr>
        <w:t>of Financial Position. For the three months ended March 31, 2025, the change in fair value of the Allianz Tranche Right is $2.5 million, which is recorded in the line item Gain (loss) on preferred stock liability in the Condensed</w:t>
      </w:r>
      <w:r>
        <w:rPr>
          <w:color w:val="000000"/>
        </w:rPr>
        <w:t xml:space="preserve"> </w:t>
      </w:r>
      <w:r>
        <w:rPr>
          <w:rFonts w:ascii="Times New Roman;sans-serif" w:hAnsi="Times New Roman;sans-serif"/>
          <w:b w:val="false"/>
          <w:color w:val="000000"/>
          <w:sz w:val="22"/>
        </w:rPr>
        <w:t xml:space="preserve">Consolidated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(15) Retirement Plans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 </w:t>
      </w:r>
    </w:p>
    <w:tbl>
      <w:tblPr>
        <w:tblW w:w="6505" w:type="dxa"/>
        <w:jc w:val="left"/>
        <w:tblInd w:w="0" w:type="dxa"/>
        <w:tblLayout w:type="fixed"/>
        <w:tblCellMar>
          <w:top w:w="28" w:type="dxa"/>
          <w:left w:w="28" w:type="dxa"/>
          <w:bottom w:w="28" w:type="dxa"/>
          <w:right w:w="28" w:type="dxa"/>
        </w:tblCellMar>
      </w:tblPr>
      <w:tblGrid>
        <w:gridCol w:w="624"/>
        <w:gridCol w:w="548"/>
        <w:gridCol w:w="552"/>
        <w:gridCol w:w="109"/>
        <w:gridCol w:w="109"/>
        <w:gridCol w:w="275"/>
        <w:gridCol w:w="275"/>
        <w:gridCol w:w="532"/>
        <w:gridCol w:w="1177"/>
        <w:gridCol w:w="275"/>
        <w:gridCol w:w="109"/>
        <w:gridCol w:w="109"/>
        <w:gridCol w:w="109"/>
        <w:gridCol w:w="324"/>
        <w:gridCol w:w="948"/>
        <w:gridCol w:w="167"/>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2029" w:type="dxa"/>
            <w:gridSpan w:val="8"/>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2"/>
        </w:rPr>
        <w:t>As of March 31, 2025, $0.8 million in contributions was payable, which is included in Accounts payable and accrued expenses on the Condensed</w:t>
      </w:r>
      <w:r>
        <w:rPr>
          <w:color w:val="000000"/>
        </w:rPr>
        <w:t xml:space="preserve"> </w:t>
      </w:r>
      <w:r>
        <w:rPr>
          <w:rFonts w:ascii="Times New Roman;sans-serif" w:hAnsi="Times New Roman;sans-serif"/>
          <w:b w:val="false"/>
          <w:color w:val="000000"/>
          <w:sz w:val="22"/>
        </w:rPr>
        <w:t xml:space="preserve">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 xml:space="preserve">(16) Related Party Transactions </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1904"/>
        <w:gridCol w:w="1274"/>
        <w:gridCol w:w="1283"/>
        <w:gridCol w:w="109"/>
        <w:gridCol w:w="109"/>
        <w:gridCol w:w="109"/>
        <w:gridCol w:w="744"/>
        <w:gridCol w:w="744"/>
        <w:gridCol w:w="746"/>
        <w:gridCol w:w="222"/>
        <w:gridCol w:w="870"/>
        <w:gridCol w:w="114"/>
        <w:gridCol w:w="234"/>
        <w:gridCol w:w="918"/>
        <w:gridCol w:w="121"/>
        <w:gridCol w:w="109"/>
        <w:gridCol w:w="109"/>
        <w:gridCol w:w="109"/>
        <w:gridCol w:w="109"/>
        <w:gridCol w:w="109"/>
        <w:gridCol w:w="159"/>
      </w:tblGrid>
      <w:tr>
        <w:trPr/>
        <w:tc>
          <w:tcPr>
            <w:tcW w:w="190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 Line Item</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March 31, </w:t>
              <w:br/>
              <w:t>2025</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December 31, </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Certain TWMH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Alvarium related fee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TIG related fee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 with Allianz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Non-Controlling Interest Holders in Connection with the Tax Receivable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TWMH Members, TIG GP Members, TIG MGMT Members and Alvarium Shareholders in connection with the Business Combination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 at fair value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EEA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 at fair value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 deferred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Envoi earn-out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 at fair value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Envoi earn-out growth consideration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 at fair value</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tranche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tranche liability</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Cumulative Convertible Preferred Stock</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Series C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Redeemable Cumulative Convertible Preferred Stock</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Allianz Warrants,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Constellation Warrants,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Due from TWMH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principal and accrued interest, shall be forgiven. Upon termination of employment, any outstanding amount of loan not forgiven becomes due within 30 days. The additional notes totaling $0.4 million were paid back in full to the Company as of December 31, 2022. On March 14, 2024, a certain member repaid their note totaling $0.7 million.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For the three months ended March 31, 2025 and March 31, 2024, the Company recognized $56 thousand and $58 thousand, respectively, of forgiveness of principal debt and accrued interest within Compensation and employee benefits expense on the Condensed</w:t>
      </w:r>
      <w:r>
        <w:rPr>
          <w:color w:val="000000"/>
        </w:rPr>
        <w:t xml:space="preserve"> </w:t>
      </w:r>
      <w:r>
        <w:rPr>
          <w:rFonts w:ascii="Times New Roman;sans-serif" w:hAnsi="Times New Roman;sans-serif"/>
          <w:b w:val="false"/>
          <w:color w:val="000000"/>
          <w:sz w:val="22"/>
        </w:rPr>
        <w:t xml:space="preserve">Consolidated Statement of Operations.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w:t>
      </w:r>
      <w:r>
        <w:rPr>
          <w:color w:val="000000"/>
        </w:rPr>
        <w:t xml:space="preserve"> </w:t>
      </w:r>
      <w:r>
        <w:rPr>
          <w:rFonts w:ascii="Times New Roman;sans-serif" w:hAnsi="Times New Roman;sans-serif"/>
          <w:b w:val="false"/>
          <w:color w:val="000000"/>
          <w:sz w:val="22"/>
        </w:rPr>
        <w:t>Consolidated Statement of Financial Condition. As of March 31, 2025 and December 31, 2024, the balances of loans to members was $0.4 million and $0.4 million,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Equity Method Investees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Company’s transactions with Equity Method Investees include receivables related to loans, fees, and expenses, which are presented in Other assets on the Condensed</w:t>
      </w:r>
      <w:r>
        <w:rPr>
          <w:color w:val="000000"/>
        </w:rPr>
        <w:t xml:space="preserve"> </w:t>
      </w:r>
      <w:r>
        <w:rPr>
          <w:rFonts w:ascii="Times New Roman;sans-serif" w:hAnsi="Times New Roman;sans-serif"/>
          <w:b w:val="false"/>
          <w:color w:val="000000"/>
          <w:sz w:val="22"/>
        </w:rPr>
        <w:t>Consolidated Statement of Financial Condition, and payables related to loans, fees and expenses, which are presented in Accounts payable and accrued expenses and Other Liabilities on the Condensed</w:t>
      </w:r>
      <w:r>
        <w:rPr>
          <w:color w:val="000000"/>
        </w:rPr>
        <w:t xml:space="preserve"> </w:t>
      </w:r>
      <w:r>
        <w:rPr>
          <w:rFonts w:ascii="Times New Roman;sans-serif" w:hAnsi="Times New Roman;sans-serif"/>
          <w:b w:val="false"/>
          <w:color w:val="000000"/>
          <w:sz w:val="22"/>
        </w:rPr>
        <w:t xml:space="preserve">Consolidated Statement of Financial Condition.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Company recognized Management/advisory fees, Compensation and employee benefits, Other income/fees and Interest income from its equity method investees on the Condensed</w:t>
      </w:r>
      <w:r>
        <w:rPr>
          <w:color w:val="000000"/>
        </w:rPr>
        <w:t xml:space="preserve"> </w:t>
      </w:r>
      <w:r>
        <w:rPr>
          <w:rFonts w:ascii="Times New Roman;sans-serif" w:hAnsi="Times New Roman;sans-serif"/>
          <w:b w:val="false"/>
          <w:color w:val="000000"/>
          <w:sz w:val="22"/>
        </w:rPr>
        <w:t>Consolidated Statement of Operations, as summarized in the following table:</w:t>
      </w:r>
    </w:p>
    <w:p>
      <w:pPr>
        <w:pStyle w:val="TextBody"/>
        <w:bidi w:val="0"/>
        <w:spacing w:before="0" w:after="0"/>
        <w:jc w:val="both"/>
        <w:rPr/>
      </w:pPr>
      <w:r>
        <w:rPr/>
      </w:r>
    </w:p>
    <w:tbl>
      <w:tblPr>
        <w:tblW w:w="6870" w:type="dxa"/>
        <w:jc w:val="left"/>
        <w:tblInd w:w="0" w:type="dxa"/>
        <w:tblLayout w:type="fixed"/>
        <w:tblCellMar>
          <w:top w:w="28" w:type="dxa"/>
          <w:left w:w="28" w:type="dxa"/>
          <w:bottom w:w="28" w:type="dxa"/>
          <w:right w:w="28" w:type="dxa"/>
        </w:tblCellMar>
      </w:tblPr>
      <w:tblGrid>
        <w:gridCol w:w="836"/>
        <w:gridCol w:w="734"/>
        <w:gridCol w:w="739"/>
        <w:gridCol w:w="109"/>
        <w:gridCol w:w="109"/>
        <w:gridCol w:w="292"/>
        <w:gridCol w:w="292"/>
        <w:gridCol w:w="566"/>
        <w:gridCol w:w="1090"/>
        <w:gridCol w:w="292"/>
        <w:gridCol w:w="109"/>
        <w:gridCol w:w="109"/>
        <w:gridCol w:w="109"/>
        <w:gridCol w:w="296"/>
        <w:gridCol w:w="972"/>
        <w:gridCol w:w="21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Tax Receivable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The TRA is recognized on the Condensed</w:t>
      </w:r>
      <w:r>
        <w:rPr>
          <w:color w:val="000000"/>
        </w:rPr>
        <w:t xml:space="preserve"> </w:t>
      </w:r>
      <w:r>
        <w:rPr>
          <w:rFonts w:ascii="Times New Roman;sans-serif" w:hAnsi="Times New Roman;sans-serif"/>
          <w:b w:val="false"/>
          <w:color w:val="000000"/>
          <w:sz w:val="22"/>
        </w:rPr>
        <w:t xml:space="preserve">Consolidated Statement of Financial Condition as the TRA Liability. The value of the TRA Liability as of March 31, 2025 and December 31, 2024 was $29.6 million and $28.8 million, respectively. As of March 31, 2025 and December 31, 2024, the Company carried $9.1 million and $9.4 million, respectively, of its TRA Liability at fair value, as it is contingent consideration from the Business Combination. The remaining portion related to the TRA Exchange of $20.6 million and $19.4 million as of March 31, 2025 and December 31, 2024, respectively, is recorded at its carrying value. For the three months ended March 31, 2025 and March 31, 2024, the Company recognized a gain of $0.3 million and a gain of $5.9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2"/>
        </w:rPr>
        <w:t>million, respectively, which is recorded in Gain (loss) on TRA in the Condensed</w:t>
      </w:r>
      <w:r>
        <w:rPr>
          <w:color w:val="000000"/>
        </w:rPr>
        <w:t xml:space="preserve"> </w:t>
      </w:r>
      <w:r>
        <w:rPr>
          <w:rFonts w:ascii="Times New Roman;sans-serif" w:hAnsi="Times New Roman;sans-serif"/>
          <w:b w:val="false"/>
          <w:color w:val="000000"/>
          <w:sz w:val="22"/>
        </w:rPr>
        <w:t xml:space="preserve">Consolidated Statement of Operations. </w:t>
      </w:r>
    </w:p>
    <w:p>
      <w:pPr>
        <w:pStyle w:val="TextBody"/>
        <w:bidi w:val="0"/>
        <w:spacing w:lineRule="auto" w:line="268" w:before="200" w:after="283"/>
        <w:jc w:val="both"/>
        <w:rPr/>
      </w:pPr>
      <w:r>
        <w:rPr>
          <w:rFonts w:ascii="Times New Roman;sans-serif" w:hAnsi="Times New Roman;sans-serif"/>
          <w:b w:val="false"/>
          <w:color w:val="000000"/>
          <w:sz w:val="22"/>
        </w:rPr>
        <w:t xml:space="preserve">As of March 31, 2025, </w:t>
      </w:r>
      <w:r>
        <w:rPr>
          <w:rFonts w:ascii="Times New Roman;sans-serif" w:hAnsi="Times New Roman;sans-serif"/>
          <w:b w:val="false"/>
          <w:color w:val="000000"/>
          <w:sz w:val="22"/>
          <w:shd w:fill="FFFFFF" w:val="clear"/>
        </w:rPr>
        <w:t xml:space="preserve">holders of Class B Units have exchanged a total of </w:t>
      </w:r>
      <w:r>
        <w:rPr>
          <w:rFonts w:ascii="Times New Roman;sans-serif" w:hAnsi="Times New Roman;sans-serif"/>
          <w:b w:val="false"/>
          <w:color w:val="000000"/>
          <w:sz w:val="22"/>
        </w:rPr>
        <w:t xml:space="preserve">9,922,737 Class B </w:t>
      </w:r>
      <w:r>
        <w:rPr>
          <w:rFonts w:ascii="Times New Roman;sans-serif" w:hAnsi="Times New Roman;sans-serif"/>
          <w:b w:val="false"/>
          <w:color w:val="000000"/>
          <w:sz w:val="22"/>
          <w:shd w:fill="FFFFFF" w:val="clear"/>
        </w:rPr>
        <w:t xml:space="preserve">Paired Interests with the Company, for shares of Class A Common Stock on a 1:1 basis totaling an amount equal to the weighted average price of </w:t>
      </w:r>
      <w:r>
        <w:rPr>
          <w:rFonts w:ascii="Times New Roman;sans-serif" w:hAnsi="Times New Roman;sans-serif"/>
          <w:b w:val="false"/>
          <w:color w:val="000000"/>
          <w:sz w:val="22"/>
        </w:rPr>
        <w:t>$5.79</w:t>
      </w:r>
      <w:r>
        <w:rPr>
          <w:color w:val="000000"/>
          <w:shd w:fill="FFFFFF" w:val="clear"/>
        </w:rPr>
        <w:t xml:space="preserve"> </w:t>
      </w:r>
      <w:r>
        <w:rPr>
          <w:rFonts w:ascii="Times New Roman;sans-serif" w:hAnsi="Times New Roman;sans-serif"/>
          <w:b w:val="false"/>
          <w:color w:val="000000"/>
          <w:sz w:val="22"/>
          <w:shd w:fill="FFFFFF" w:val="clear"/>
        </w:rPr>
        <w:t xml:space="preserve">multiplied by the total number of shares of Class A Common Stock received at the time of the transactions. </w:t>
      </w:r>
      <w:r>
        <w:rPr>
          <w:rFonts w:ascii="Times New Roman;sans-serif" w:hAnsi="Times New Roman;sans-serif"/>
          <w:b w:val="false"/>
          <w:color w:val="000000"/>
          <w:sz w:val="22"/>
        </w:rPr>
        <w:t>For the three months ended March 31, 2025, the Company did not make any tax distributions to Class B Units 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Business Combination Earn-out Liability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March 31, 2025 and December 31, 2024, the fair value of the Business Combination Earn-out Liability was $12.3 million and $23.8 million, respectively, and is reported in Earn-out liabilities, at fair value, in the Condensed</w:t>
      </w:r>
      <w:r>
        <w:rPr>
          <w:color w:val="000000"/>
        </w:rPr>
        <w:t xml:space="preserve"> </w:t>
      </w:r>
      <w:r>
        <w:rPr>
          <w:rFonts w:ascii="Times New Roman;sans-serif" w:hAnsi="Times New Roman;sans-serif"/>
          <w:b w:val="false"/>
          <w:color w:val="000000"/>
          <w:sz w:val="22"/>
        </w:rPr>
        <w:t>Consolidated Statement of Financial Position. The Company recognized the change in fair value of $11.5 million and $39.5 million for the three months ended March 31, 2025 and March 31, 2024, respectively, which is recorded in Gain (loss) on earnout liabilities in the Condensed</w:t>
      </w:r>
      <w:r>
        <w:rPr>
          <w:color w:val="000000"/>
        </w:rPr>
        <w:t xml:space="preserve"> </w:t>
      </w:r>
      <w:r>
        <w:rPr>
          <w:rFonts w:ascii="Times New Roman;sans-serif" w:hAnsi="Times New Roman;sans-serif"/>
          <w:b w:val="false"/>
          <w:color w:val="000000"/>
          <w:sz w:val="22"/>
        </w:rPr>
        <w:t>Consolidated Statement of Operations and in Fair value (gain) loss on earnout liability in the Condensed</w:t>
      </w:r>
      <w:r>
        <w:rPr>
          <w:color w:val="000000"/>
        </w:rPr>
        <w:t xml:space="preserve"> </w:t>
      </w:r>
      <w:r>
        <w:rPr>
          <w:rFonts w:ascii="Times New Roman;sans-serif" w:hAnsi="Times New Roman;sans-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EEA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(or EEA earn-out liability). As of March 31, 2025 and December 31, 2024, the EEA earn-out liability of $29.5 million and $29.9 million, respectively, is reported in Earn-out liabilities, at fair value, in the Condensed</w:t>
      </w:r>
      <w:r>
        <w:rPr>
          <w:color w:val="000000"/>
        </w:rPr>
        <w:t xml:space="preserve"> </w:t>
      </w:r>
      <w:r>
        <w:rPr>
          <w:rFonts w:ascii="Times New Roman;sans-serif" w:hAnsi="Times New Roman;sans-serif"/>
          <w:b w:val="false"/>
          <w:color w:val="000000"/>
          <w:sz w:val="22"/>
        </w:rPr>
        <w:t xml:space="preserve">Consolidated Statement of Financial Position. The fair value will be remeasured at each reporting date in accordance with ASC 820, </w:t>
      </w:r>
      <w:r>
        <w:rPr>
          <w:rFonts w:ascii="Times New Roman;sans-serif" w:hAnsi="Times New Roman;sans-serif"/>
          <w:b w:val="false"/>
          <w:i/>
          <w:color w:val="000000"/>
          <w:sz w:val="22"/>
        </w:rPr>
        <w:t xml:space="preserve">Fair Value Measurement. </w:t>
      </w:r>
      <w:r>
        <w:rPr>
          <w:rFonts w:ascii="Times New Roman;sans-serif" w:hAnsi="Times New Roman;sans-serif"/>
          <w:b w:val="false"/>
          <w:color w:val="000000"/>
          <w:sz w:val="22"/>
        </w:rPr>
        <w:t>The Company recognized the change in fair value of $0.3 million for the three months ended March 31, 2025, which is recorded in Gain (loss) on earnout liabilities in the Condensed</w:t>
      </w:r>
      <w:r>
        <w:rPr>
          <w:color w:val="000000"/>
        </w:rPr>
        <w:t xml:space="preserve"> </w:t>
      </w:r>
      <w:r>
        <w:rPr>
          <w:rFonts w:ascii="Times New Roman;sans-serif" w:hAnsi="Times New Roman;sans-serif"/>
          <w:b w:val="false"/>
          <w:color w:val="000000"/>
          <w:sz w:val="22"/>
        </w:rPr>
        <w:t>Consolidated Statement of Operations and in Fair value (gain) loss on earnout liability in the Condensed</w:t>
      </w:r>
      <w:r>
        <w:rPr>
          <w:color w:val="000000"/>
        </w:rPr>
        <w:t xml:space="preserve"> </w:t>
      </w:r>
      <w:r>
        <w:rPr>
          <w:rFonts w:ascii="Times New Roman;sans-serif" w:hAnsi="Times New Roman;sans-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Envoi Earn-out Liabilities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March 31, 2025 and December 31, 2024, the Envoi earn-out consideration liability of $9.3 million and $9.6 million, respectively, and the Envoi earn-out growth consideration liability of $1.3 million and $1.3 million, respectively, are reported in the Earn-out liabilities, at fair value, in the Condensed</w:t>
      </w:r>
      <w:r>
        <w:rPr>
          <w:color w:val="000000"/>
        </w:rPr>
        <w:t xml:space="preserve"> </w:t>
      </w:r>
      <w:r>
        <w:rPr>
          <w:rFonts w:ascii="Times New Roman;sans-serif" w:hAnsi="Times New Roman;sans-serif"/>
          <w:b w:val="false"/>
          <w:color w:val="000000"/>
          <w:sz w:val="22"/>
        </w:rPr>
        <w:t>Consolidated Statement of Financial Position. The Company recognized the change in fair value for the Envoi earn-out consideration liability and the Envoi earn-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2"/>
        </w:rPr>
        <w:t>out growth consideration liability of $0.3 million and $30.0 thousand, respectively, for the three months ended March 31, 2025, which is recorded in Gain (loss) on earnout liabilities in the Condensed</w:t>
      </w:r>
      <w:r>
        <w:rPr>
          <w:color w:val="000000"/>
        </w:rPr>
        <w:t xml:space="preserve"> </w:t>
      </w:r>
      <w:r>
        <w:rPr>
          <w:rFonts w:ascii="Times New Roman;sans-serif" w:hAnsi="Times New Roman;sans-serif"/>
          <w:b w:val="false"/>
          <w:color w:val="000000"/>
          <w:sz w:val="22"/>
        </w:rPr>
        <w:t>Consolidated Statement of Operations and in Fair value (gain) loss on earnout liability in the Condensed</w:t>
      </w:r>
      <w:r>
        <w:rPr>
          <w:color w:val="000000"/>
        </w:rPr>
        <w:t xml:space="preserve"> </w:t>
      </w:r>
      <w:r>
        <w:rPr>
          <w:rFonts w:ascii="Times New Roman;sans-serif" w:hAnsi="Times New Roman;sans-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Pointwise Deferred Consideration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w:t>
      </w:r>
      <w:r>
        <w:rPr>
          <w:color w:val="000000"/>
        </w:rPr>
        <w:t xml:space="preserve"> </w:t>
      </w:r>
      <w:r>
        <w:rPr>
          <w:rFonts w:ascii="Times New Roman;sans-serif" w:hAnsi="Times New Roman;sans-serif"/>
          <w:b w:val="false"/>
          <w:color w:val="000000"/>
          <w:sz w:val="22"/>
        </w:rPr>
        <w:t>Consolidated Statement of Financial Position. The deferred consideration was paid during the three months ended March 31, 2025, in cash and equity totaling $3.0 million. For the three months ended March 31, 2025, the Company recognized the change in fair value for the deferred consideration liability of $372.6 thousand, of which $390.7 thousand is recorded in Gain (loss) on earnout liabilities and $(18.1) thousand is recorded in Interest expense, both in the Condensed</w:t>
      </w:r>
      <w:r>
        <w:rPr>
          <w:color w:val="000000"/>
        </w:rPr>
        <w:t xml:space="preserve"> </w:t>
      </w:r>
      <w:r>
        <w:rPr>
          <w:rFonts w:ascii="Times New Roman;sans-serif" w:hAnsi="Times New Roman;sans-serif"/>
          <w:b w:val="false"/>
          <w:color w:val="000000"/>
          <w:sz w:val="22"/>
        </w:rPr>
        <w:t xml:space="preserve">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Fees Receivable, net</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2"/>
        </w:rPr>
        <w:t>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Condensed</w:t>
      </w:r>
      <w:r>
        <w:rPr>
          <w:color w:val="000000"/>
        </w:rPr>
        <w:t xml:space="preserve"> </w:t>
      </w:r>
      <w:r>
        <w:rPr>
          <w:rFonts w:ascii="Times New Roman;sans-serif" w:hAnsi="Times New Roman;sans-serif"/>
          <w:b w:val="false"/>
          <w:color w:val="000000"/>
          <w:sz w:val="22"/>
        </w:rPr>
        <w:t xml:space="preserve">Consolidated Statement of Financial Condition as Fees Receivable, net. As of March 31, 2025 and December 31, 2024, fees due from Alvarium related fee arrangements were $19.0 thousand and $116.0 thousand, respectively. Additionally, as of March 31, 2025 and December 31, 2024, management and incentive fees receivable due from TIG related fee agreements were $0.6 million and $0.8 million, respectively.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2"/>
        </w:rPr>
      </w:pPr>
      <w:r>
        <w:rPr>
          <w:rFonts w:ascii="Times New Roman;sans-serif" w:hAnsi="Times New Roman;sans-serif"/>
          <w:b/>
          <w:i/>
          <w:color w:val="000000"/>
          <w:sz w:val="22"/>
        </w:rPr>
        <w:t>Allianz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31, 2024, the Company closed on the Allianz Transaction which resulted in the issuance of 140,000 shares of Series A Preferred Stock, 19,318,580.96 shares of Class A Common Stock, the Allianz Warrants to purchase 5,000,000 shares of Class A Common Stock, and the Allianz Tranche Right which permits Allianz, at its option, to purchase up to 50,000 additional shares of Series A Preferred Stock up to an aggregate amount equal to $50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the Board established a Transaction Committee for purposes of reviewing and assessing all proposals, plans, or recommendations by the Company’s management with respect to potential or proposed merger, acquisition or investment (including minority investments and investments into any funds); (ii) material asset purchase (including the hiring of groups of key employees of target businesses in lieu of acquiring legal entities or property); (iii) divestiture or disposition of a material asset or a material portion of any business; and (iv) financing of any of the foregoing.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Allianz Investor Rights Agreement, Allianz has the right to nominate two directors (the “Investor Designees”) until such time as Allianz ceases to own at least 50% of the initial shares of Class A Common Stock. For so long as Allianz is permitted to designate the Investor Designees, one Investor Designee will serve as a member of the Transaction Committee and each Investor Designee will serve as a member of at least one other Board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Based on Allianz’s rights under the Investor Rights Agreement, including to hold Board seats, the Company has concluded that Allianz represents a related party. As of both March 31, 2025 and December 31, 2024, the Allianz Warrants of $6.6 million are recorded as a component of equity in the line item Additional paid-in capital on the Company’s Condensed</w:t>
      </w:r>
      <w:r>
        <w:rPr>
          <w:color w:val="000000"/>
        </w:rPr>
        <w:t xml:space="preserve"> </w:t>
      </w:r>
      <w:r>
        <w:rPr>
          <w:rFonts w:ascii="Times New Roman;sans-serif" w:hAnsi="Times New Roman;sans-serif"/>
          <w:b w:val="false"/>
          <w:color w:val="000000"/>
          <w:sz w:val="22"/>
        </w:rPr>
        <w:t xml:space="preserve">Consolidated Statement of Financial Position.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As of March 31, 2025 and December 31, 2024, the Allianz Tranche Right of $1.4 million and $3.9 million, respectively, is recorded in the line item Preferred stock tranche liability on the Company’s Condensed</w:t>
      </w:r>
      <w:r>
        <w:rPr>
          <w:color w:val="000000"/>
        </w:rPr>
        <w:t xml:space="preserve"> </w:t>
      </w:r>
      <w:r>
        <w:rPr>
          <w:rFonts w:ascii="Times New Roman;sans-serif" w:hAnsi="Times New Roman;sans-serif"/>
          <w:b w:val="false"/>
          <w:color w:val="000000"/>
          <w:sz w:val="22"/>
        </w:rPr>
        <w:t>Consolidated Statement of Financial Position. For the three months ended March 31, 2025, the change in fair value of the Allianz Tranche Right is $2.5 million and is recorded in the line item Gain (loss) on preferred stock tranche liability in the Condensed</w:t>
      </w:r>
      <w:r>
        <w:rPr>
          <w:color w:val="000000"/>
        </w:rPr>
        <w:t xml:space="preserve"> </w:t>
      </w:r>
      <w:r>
        <w:rPr>
          <w:rFonts w:ascii="Times New Roman;sans-serif" w:hAnsi="Times New Roman;sans-serif"/>
          <w:b w:val="false"/>
          <w:color w:val="000000"/>
          <w:sz w:val="22"/>
        </w:rPr>
        <w:t xml:space="preserve">Consolidated Statement of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Series A Preferred Stock of 144,618 is classified outside of permanent equity as mezzanine equity in the accompanying Condensed</w:t>
      </w:r>
      <w:r>
        <w:rPr>
          <w:color w:val="000000"/>
        </w:rPr>
        <w:t xml:space="preserve"> </w:t>
      </w:r>
      <w:r>
        <w:rPr>
          <w:rFonts w:ascii="Times New Roman;sans-serif" w:hAnsi="Times New Roman;sans-serif"/>
          <w:b w:val="false"/>
          <w:color w:val="000000"/>
          <w:sz w:val="22"/>
        </w:rPr>
        <w:t xml:space="preserve">Consolidated Statement of Financial Position and is presented net of issuance costs and inclusive of accrued dividends. Refer to Note 1 (Description of the Business), Note 7 (Fair Value Disclosures), and Note 13 (Debt, net of unamortized deferred financing cost) for additional details around instruments related to the Allianz Transaction.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As of December 31, 2024, the Company entered into an equity method investment of $20.3 million with Allianz, which was recorded in the line item Equity method investments on the Company’s Condensed</w:t>
      </w:r>
      <w:r>
        <w:rPr>
          <w:color w:val="000000"/>
        </w:rPr>
        <w:t xml:space="preserve"> </w:t>
      </w:r>
      <w:r>
        <w:rPr>
          <w:rFonts w:ascii="Times New Roman;sans-serif" w:hAnsi="Times New Roman;sans-serif"/>
          <w:b w:val="false"/>
          <w:color w:val="000000"/>
          <w:sz w:val="22"/>
        </w:rPr>
        <w:t xml:space="preserve">Consolidated Statement of Financial Position. As of March 31, 2025, the equity method investment was sold at cost along with an immaterial gain.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2"/>
        </w:rPr>
      </w:pPr>
      <w:r>
        <w:rPr>
          <w:rFonts w:ascii="Times New Roman;sans-serif" w:hAnsi="Times New Roman;sans-serif"/>
          <w:b/>
          <w:i/>
          <w:color w:val="000000"/>
          <w:sz w:val="22"/>
        </w:rPr>
        <w:t>Constellation Transaction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first quarter ended March 31, 2024, the Company entered into an agreement with Constellation for the sale and issuance of 150,000 shares of Series C Preferred Stock that occurred in two transactions,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March 31, 2025, the 150,000 outstanding shares of Series C Preferred Stock represent 7.5% of the total voting power of all shares.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2"/>
        </w:rPr>
        <w:t>Additionally, the Company issued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No Constellation Warrants were exercised during the three months ended March 31, 2025. As of both March 31, 2025 and December 31, 2024, the Constellation Warrants of $3.0 million, are recorded as a component of equity in the line item Additional paid-in capital on the Company’s Condensed</w:t>
      </w:r>
      <w:r>
        <w:rPr>
          <w:color w:val="000000"/>
        </w:rPr>
        <w:t xml:space="preserve"> </w:t>
      </w:r>
      <w:r>
        <w:rPr>
          <w:rFonts w:ascii="Times New Roman;sans-serif" w:hAnsi="Times New Roman;sans-serif"/>
          <w:b w:val="false"/>
          <w:color w:val="000000"/>
          <w:sz w:val="22"/>
        </w:rPr>
        <w:t xml:space="preserve">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(17) Segment Reporting</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Effective as of September 30, 2024, certain changes were made to the composition of our operating segment information related to the strategic review of our Real Estate Businesses. We determined this change was necessary to align external reporting with how management views the current state of the business in addition to how our chief operating decision maker (“CODM”), currently, our Chief Executive Officer, assesses the Company’s performance and allocation of resources. The CODM considers segment revenue as a key metric to assist with the evaluation of strategic business decisions, including potential acquisitions or divestitures and whether to invest in certain products or services, and expense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maintains two operating segments: Wealth and Capital Solutions includes the results Wealth Management business, the internally managed event driven strategy, and our stakes in three externally managed alternative investment strategies. International Real Estate, includes the businesses previously reported as Real Estate Co-investment and Real Estate Fund Management, as well as all current and former Alvarium International Asset Management businesses. A corporate reconciling column (“Corporate”) has been included to provide a reconciliation between our total reportable segment activities and consolidated amounts. Corporate does not qualify to be reported as an operating segment.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Prior period amounts have been recast to conform to the Company’s current period segment presentation. The Company’s operating segment information was prepared using the following methodologies and generally represents the information that is relied upon by management in its decision-making process.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Revenues and expenses directly associated with each operating segment are included in determining net income/(loss) by segment.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Indirect expenses (such as general and administrative expenses including executive and indirect overhead costs) not directly associated with specific operating segments are allocated to the operating segments’ statement of operations.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expense categories that are regularly reviewed by the CODM are presented in the Company's Condensed</w:t>
      </w:r>
      <w:r>
        <w:rPr>
          <w:color w:val="000000"/>
        </w:rPr>
        <w:t xml:space="preserve"> </w:t>
      </w:r>
      <w:r>
        <w:rPr>
          <w:rFonts w:ascii="Times New Roman;sans-serif" w:hAnsi="Times New Roman;sans-serif"/>
          <w:b w:val="false"/>
          <w:color w:val="000000"/>
          <w:sz w:val="22"/>
        </w:rPr>
        <w:t xml:space="preserve">Consolidated Statement of Operations. Items regularly reviewed consist of non-compensation expenses, such as professional fees, sales, distribution and marketing, travel and entertainment, systems, technology and telephone, occupancy costs and general, administrative, and other.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See Note 1 (Description of the Business) and the tables below for more detail on unallocated items.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the financial information for the Company’s segments for the periods indicated.</w:t>
      </w:r>
    </w:p>
    <w:p>
      <w:pPr>
        <w:pStyle w:val="TextBody"/>
        <w:bidi w:val="0"/>
        <w:spacing w:before="0" w:after="0"/>
        <w:jc w:val="both"/>
        <w:rPr/>
      </w:pPr>
      <w:r>
        <w:rPr/>
      </w:r>
    </w:p>
    <w:tbl>
      <w:tblPr>
        <w:tblW w:w="11078" w:type="dxa"/>
        <w:jc w:val="left"/>
        <w:tblInd w:w="0" w:type="dxa"/>
        <w:tblLayout w:type="fixed"/>
        <w:tblCellMar>
          <w:top w:w="28" w:type="dxa"/>
          <w:left w:w="28" w:type="dxa"/>
          <w:bottom w:w="28" w:type="dxa"/>
          <w:right w:w="28" w:type="dxa"/>
        </w:tblCellMar>
      </w:tblPr>
      <w:tblGrid>
        <w:gridCol w:w="510"/>
        <w:gridCol w:w="277"/>
        <w:gridCol w:w="279"/>
        <w:gridCol w:w="196"/>
        <w:gridCol w:w="646"/>
        <w:gridCol w:w="109"/>
        <w:gridCol w:w="109"/>
        <w:gridCol w:w="109"/>
        <w:gridCol w:w="109"/>
        <w:gridCol w:w="287"/>
        <w:gridCol w:w="618"/>
        <w:gridCol w:w="161"/>
        <w:gridCol w:w="109"/>
        <w:gridCol w:w="109"/>
        <w:gridCol w:w="109"/>
        <w:gridCol w:w="240"/>
        <w:gridCol w:w="497"/>
        <w:gridCol w:w="134"/>
        <w:gridCol w:w="109"/>
        <w:gridCol w:w="109"/>
        <w:gridCol w:w="109"/>
        <w:gridCol w:w="196"/>
        <w:gridCol w:w="646"/>
        <w:gridCol w:w="109"/>
        <w:gridCol w:w="109"/>
        <w:gridCol w:w="109"/>
        <w:gridCol w:w="109"/>
        <w:gridCol w:w="196"/>
        <w:gridCol w:w="646"/>
        <w:gridCol w:w="109"/>
        <w:gridCol w:w="109"/>
        <w:gridCol w:w="109"/>
        <w:gridCol w:w="109"/>
        <w:gridCol w:w="242"/>
        <w:gridCol w:w="688"/>
        <w:gridCol w:w="136"/>
        <w:gridCol w:w="109"/>
        <w:gridCol w:w="109"/>
        <w:gridCol w:w="109"/>
        <w:gridCol w:w="240"/>
        <w:gridCol w:w="497"/>
        <w:gridCol w:w="134"/>
        <w:gridCol w:w="109"/>
        <w:gridCol w:w="109"/>
        <w:gridCol w:w="109"/>
        <w:gridCol w:w="196"/>
        <w:gridCol w:w="64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4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 by Segment</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Wealth &amp; Capital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Wealth &amp; Capital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Management/advisory fees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Incentive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4,207 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50,812 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7055" w:type="dxa"/>
        <w:jc w:val="left"/>
        <w:tblInd w:w="0" w:type="dxa"/>
        <w:tblLayout w:type="fixed"/>
        <w:tblCellMar>
          <w:top w:w="28" w:type="dxa"/>
          <w:left w:w="28" w:type="dxa"/>
          <w:bottom w:w="28" w:type="dxa"/>
          <w:right w:w="28" w:type="dxa"/>
        </w:tblCellMar>
      </w:tblPr>
      <w:tblGrid>
        <w:gridCol w:w="858"/>
        <w:gridCol w:w="753"/>
        <w:gridCol w:w="759"/>
        <w:gridCol w:w="310"/>
        <w:gridCol w:w="1435"/>
        <w:gridCol w:w="160"/>
        <w:gridCol w:w="109"/>
        <w:gridCol w:w="109"/>
        <w:gridCol w:w="109"/>
        <w:gridCol w:w="356"/>
        <w:gridCol w:w="1650"/>
        <w:gridCol w:w="184"/>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44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 by Segment</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&amp; Capital Solutions</w:t>
            </w:r>
          </w:p>
        </w:tc>
        <w:tc>
          <w:tcPr>
            <w:tcW w:w="1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1,160,272 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Real Estate</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1,212,807 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1,255,833 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(18) Earnings Per Share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Company’s treatment for basic and diluted earnings (loss) per share for instruments outstanding of the Company. Potentially dilutive instruments are only considered in the calculation to the extent they would be dilutive.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0"/>
        <w:gridCol w:w="544"/>
        <w:gridCol w:w="494"/>
        <w:gridCol w:w="109"/>
        <w:gridCol w:w="109"/>
        <w:gridCol w:w="109"/>
        <w:gridCol w:w="366"/>
        <w:gridCol w:w="366"/>
        <w:gridCol w:w="378"/>
        <w:gridCol w:w="119"/>
        <w:gridCol w:w="119"/>
        <w:gridCol w:w="119"/>
        <w:gridCol w:w="726"/>
        <w:gridCol w:w="726"/>
        <w:gridCol w:w="739"/>
        <w:gridCol w:w="112"/>
        <w:gridCol w:w="112"/>
        <w:gridCol w:w="112"/>
        <w:gridCol w:w="366"/>
        <w:gridCol w:w="366"/>
        <w:gridCol w:w="378"/>
        <w:gridCol w:w="118"/>
        <w:gridCol w:w="118"/>
        <w:gridCol w:w="118"/>
        <w:gridCol w:w="650"/>
        <w:gridCol w:w="650"/>
        <w:gridCol w:w="942"/>
      </w:tblGrid>
      <w:tr>
        <w:trPr/>
        <w:tc>
          <w:tcPr>
            <w:tcW w:w="11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Class B Common Stock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If-converted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If-converted method</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Series A Preferred Stock</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Two-class method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dilutive of two-class method or if-converted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Series C Preferred Stock</w:t>
            </w:r>
            <w:r>
              <w:rPr>
                <w:color w:val="000000"/>
              </w:rPr>
              <w:t xml:space="preser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Two-class method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dilutive of two-class method or if-converted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Two-class method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dilutive of two-class method or if-converted method</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Allianz Tranche Right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dilutive of two-class method or if-converted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Allianz and Constellation Warrants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Earn-Out Shares</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PW Deferred Consideration Shares</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Acquisition-Related Awards</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Unvested PRSUs</w:t>
            </w:r>
            <w:r>
              <w:rPr>
                <w:color w:val="000000"/>
              </w:rPr>
              <w:t xml:space="preserve">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68" w:before="24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For the three months ended March 31, 2025, 1,028,652 of Class B shares were converted into Class A Common Stock. For the three months ended March 31, 2024, no adjustments were made related to the Class B Common Stock. </w:t>
      </w:r>
    </w:p>
    <w:p>
      <w:pPr>
        <w:pStyle w:val="TextBody"/>
        <w:bidi w:val="0"/>
        <w:spacing w:lineRule="auto" w:line="268" w:before="120" w:after="283"/>
        <w:jc w:val="both"/>
        <w:rPr/>
      </w:pPr>
      <w:r>
        <w:rPr>
          <w:rFonts w:ascii="Times New Roman;sans-serif" w:hAnsi="Times New Roman;sans-serif"/>
          <w:b/>
          <w:color w:val="000000"/>
          <w:sz w:val="12"/>
        </w:rPr>
        <w:t>(2)</w:t>
      </w:r>
      <w:r>
        <w:rPr>
          <w:color w:val="000000"/>
        </w:rPr>
        <w:t xml:space="preserve"> </w:t>
      </w:r>
      <w:r>
        <w:rPr>
          <w:rFonts w:ascii="Times New Roman;sans-serif" w:hAnsi="Times New Roman;sans-serif"/>
          <w:b w:val="false"/>
          <w:color w:val="000000"/>
          <w:sz w:val="18"/>
        </w:rPr>
        <w:t xml:space="preserve">On July 31, 2024, the Company issued shares of Series A Preferred Stock and warrants for shares of Class A Common Stock. The Series A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months ended March 31, 2025, the shares of Series A Preferred Stock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ans-serif" w:hAnsi="Times New Roman;sans-serif"/>
          <w:b/>
          <w:color w:val="000000"/>
          <w:sz w:val="12"/>
        </w:rPr>
        <w:t>(3)</w:t>
      </w:r>
      <w:r>
        <w:rPr>
          <w:color w:val="000000"/>
        </w:rPr>
        <w:t xml:space="preserve"> </w:t>
      </w:r>
      <w:r>
        <w:rPr>
          <w:rFonts w:ascii="Times New Roman;sans-serif" w:hAnsi="Times New Roman;sans-serif"/>
          <w:b w:val="false"/>
          <w:color w:val="000000"/>
          <w:sz w:val="18"/>
        </w:rPr>
        <w:t xml:space="preserve">During the first quarter ended March 31, 2024, the Company issued shares of Series C Preferred Stock and warrants for shares of Class A Common Stock. The Series C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months ended March 31, 2025 and March 31, 2024, the shares of Series C Preferred Stock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The Allianz Tranche Right was issued as part of the Allianz Transaction, which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as described in Note 1 (Description of the Business). The Allianz Tranche Right is classified as a contingently convertible instrument and will be included in our diluted earnings per share if the right has been exercised within the reporting period. For the three months ended March 31, 2025, no shares under the Allianz Tranche Right had been issued.</w:t>
      </w:r>
    </w:p>
    <w:p>
      <w:pPr>
        <w:pStyle w:val="TextBody"/>
        <w:bidi w:val="0"/>
        <w:spacing w:lineRule="auto" w:line="268" w:before="120" w:after="283"/>
        <w:jc w:val="both"/>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 xml:space="preserve">As mentioned in footnotes 2 and 3 above, the Company issued shares of Series A and C Preferred Stock in addition to warrants for Class A Shares. The warrants do not participate in dividends declared on common stock and are excluded from the calculation of basic earnings per share. Since the warrants are classified as a component of equity and can be exercised in exchange for Class A Shares, application of the treasury stock method for calculation of diluted earnings per share is applied. For the three months ended March 31, 2025, the warrants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ans-serif" w:hAnsi="Times New Roman;sans-serif"/>
          <w:b w:val="false"/>
          <w:color w:val="000000"/>
          <w:sz w:val="12"/>
        </w:rPr>
        <w:t xml:space="preserve">(6) </w:t>
      </w:r>
      <w:r>
        <w:rPr>
          <w:rFonts w:ascii="Times New Roman;sans-serif" w:hAnsi="Times New Roman;sans-serif"/>
          <w:b w:val="false"/>
          <w:color w:val="000000"/>
          <w:sz w:val="18"/>
        </w:rPr>
        <w:t xml:space="preserve">Earn-Out Shares are the portion of estimated contingent consideration related to our Business Combination, EEA earn-out liability, and Envoi growth-consideration liability that could be paid out in Class A Common Stock. Earn-Out Shares are excluded from the calculation of basic earnings per share if it’s determined that the contingency period has not been completed as of the current reporting period. The treasury stock method is applied for calculating diluted earnings per share since our Earn-Outs are classified as liabilities and remeasured at fair value each period and includes reversing the income statement effect of the fair value remeasurement for the period. See Note 3 (Business Combinations and Divestitures) for additional information related to our Earn-Outs. For the three months ended March 31, 2025 and March 31, 2024, the Earn-Out Shares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ans-serif" w:hAnsi="Times New Roman;sans-serif"/>
          <w:b w:val="false"/>
          <w:color w:val="000000"/>
          <w:sz w:val="12"/>
        </w:rPr>
        <w:t xml:space="preserve">(7) </w:t>
      </w:r>
      <w:r>
        <w:rPr>
          <w:rFonts w:ascii="Times New Roman;sans-serif" w:hAnsi="Times New Roman;sans-serif"/>
          <w:b w:val="false"/>
          <w:color w:val="000000"/>
          <w:sz w:val="18"/>
        </w:rPr>
        <w:t xml:space="preserve">PW Deferred Consideration Shares relate to the portion of deferred consideration payable in Class A Common Stock upon meeting certain revenue thresholds related to our PW acquisition. See Note 3 (Business Combinations and Divestitures) for additional information. As of March 31, 2025, the PW Deferred Consideration Shares were issued to the sellers and are included in the Company’s basic earnings per share. There are no further contingent shares outstanding related to the PW Deferred Consideration Shares. Refer to Note 3 (Business Combinations) for further details. </w:t>
      </w:r>
    </w:p>
    <w:p>
      <w:pPr>
        <w:pStyle w:val="TextBody"/>
        <w:bidi w:val="0"/>
        <w:spacing w:lineRule="auto" w:line="268" w:before="120" w:after="283"/>
        <w:jc w:val="both"/>
        <w:rPr/>
      </w:pPr>
      <w:r>
        <w:rPr>
          <w:rFonts w:ascii="Times New Roman;sans-serif" w:hAnsi="Times New Roman;sans-serif"/>
          <w:b w:val="false"/>
          <w:color w:val="000000"/>
          <w:sz w:val="12"/>
        </w:rPr>
        <w:t>(8)</w:t>
      </w:r>
      <w:r>
        <w:rPr>
          <w:color w:val="000000"/>
        </w:rPr>
        <w:t xml:space="preserve"> </w:t>
      </w:r>
      <w:r>
        <w:rPr>
          <w:rFonts w:ascii="Times New Roman;sans-serif" w:hAnsi="Times New Roman;sans-serif"/>
          <w:b w:val="false"/>
          <w:color w:val="000000"/>
          <w:sz w:val="18"/>
        </w:rPr>
        <w:t xml:space="preserve">Acquisition-Related Awards include the Holbein Earn-Ins, EEA Equity Awards, and Envoi Equity Awards. Certain compensatory awards related to the PW acquisition (the “PW Equity Awards”) were reclassified to be paid out fully in cash rather than equity as of March 31, 2025. As such, the PW Equity Awards are excluded from the Company’s earnings (loss) per share calculations. </w:t>
      </w:r>
    </w:p>
    <w:p>
      <w:pPr>
        <w:pStyle w:val="TextBody"/>
        <w:bidi w:val="0"/>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Service periods related to the Holbein Earn-Ins and EEA Equity Awards had not been completed as of the reporting period, and therefore such shares have not been included in the calculation of basic earnings (loss) per share for the three months ended March 31, 2025 and March 31, 2024. </w:t>
      </w:r>
    </w:p>
    <w:p>
      <w:pPr>
        <w:pStyle w:val="TextBody"/>
        <w:bidi w:val="0"/>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calculating the Company’s diluted earnings (loss) per share, the Company utilized the treasury stock method to determine the potential number of dilutive shares for the three months ended March 31, 2025 and March 31, 2024 for the Acquisition-Related Awards.</w:t>
      </w:r>
    </w:p>
    <w:p>
      <w:pPr>
        <w:pStyle w:val="TextBody"/>
        <w:bidi w:val="0"/>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2025 and March 31, 2024, the Holbein Earn-In shares were excluded from the Company’s diluted earnings per share calculation as the Earn-In shares were classified as contingently issuable common shares.</w:t>
      </w:r>
    </w:p>
    <w:p>
      <w:pPr>
        <w:pStyle w:val="TextBody"/>
        <w:bidi w:val="0"/>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2025, the EEA Equity Awards and Envoi Equity Awards were excluded from the Company’s diluted earnings per share calculation as the effects were determined to be anti-dilutive. Refer to Note 5 (Equity-Based Compensation) for additional details for the Acquisition-Related Awards.</w:t>
      </w:r>
    </w:p>
    <w:p>
      <w:pPr>
        <w:pStyle w:val="TextBody"/>
        <w:bidi w:val="0"/>
        <w:spacing w:lineRule="auto" w:line="268" w:before="120" w:after="283"/>
        <w:jc w:val="both"/>
        <w:rPr/>
      </w:pPr>
      <w:r>
        <w:rPr>
          <w:rFonts w:ascii="Times New Roman;sans-serif" w:hAnsi="Times New Roman;sans-serif"/>
          <w:b w:val="false"/>
          <w:color w:val="000000"/>
          <w:sz w:val="12"/>
        </w:rPr>
        <w:t>(9)</w:t>
      </w:r>
      <w:r>
        <w:rPr>
          <w:color w:val="000000"/>
        </w:rPr>
        <w:t xml:space="preserve"> </w:t>
      </w:r>
      <w:r>
        <w:rPr>
          <w:rFonts w:ascii="Times New Roman;sans-serif" w:hAnsi="Times New Roman;sans-serif"/>
          <w:b w:val="false"/>
          <w:color w:val="000000"/>
          <w:sz w:val="18"/>
        </w:rPr>
        <w:t>During the second quarter ended June 30, 2024, the Company granted PRSUs to selected members of AlTi’s executive team. Vesting of the PRSUs is based on meeting certain market conditions and the requisite service period. Unvested PRSUs would be excluded from Basic EPS calculation, but once vested, they would be included in the Basic EPS calculation. The PRSUs would be included in the computation of diluted EPS using the treasury stock method. Assumed proceeds under the treasury stock method consist of unamortized compensation cost. If dilutive, the unvested restricted stock would be considered outstanding as of the later of the beginning of the period or the grant date for diluted EPS computation purposes. If anti-dilutive, it should be excluded from the diluted EPS computation. For the three months ended March 31, 2025, the PRSUs were excluded from the Company’s diluted earnings per share calculation as the effects were determined to be anti-dilutive. See discussion of PRSUs in Note 5 (Equity-Based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anti-dilutive. The following table shows the computation of basic and diluted earnings per share based on income attributable to common shareholders:</w:t>
      </w:r>
    </w:p>
    <w:tbl>
      <w:tblPr>
        <w:tblW w:w="9874" w:type="dxa"/>
        <w:jc w:val="left"/>
        <w:tblInd w:w="0" w:type="dxa"/>
        <w:tblLayout w:type="fixed"/>
        <w:tblCellMar>
          <w:top w:w="28" w:type="dxa"/>
          <w:left w:w="28" w:type="dxa"/>
          <w:bottom w:w="28" w:type="dxa"/>
          <w:right w:w="28" w:type="dxa"/>
        </w:tblCellMar>
      </w:tblPr>
      <w:tblGrid>
        <w:gridCol w:w="2201"/>
        <w:gridCol w:w="1934"/>
        <w:gridCol w:w="1940"/>
        <w:gridCol w:w="109"/>
        <w:gridCol w:w="109"/>
        <w:gridCol w:w="157"/>
        <w:gridCol w:w="157"/>
        <w:gridCol w:w="304"/>
        <w:gridCol w:w="995"/>
        <w:gridCol w:w="157"/>
        <w:gridCol w:w="109"/>
        <w:gridCol w:w="109"/>
        <w:gridCol w:w="109"/>
        <w:gridCol w:w="288"/>
        <w:gridCol w:w="986"/>
        <w:gridCol w:w="210"/>
      </w:tblGrid>
      <w:tr>
        <w:trPr/>
        <w:tc>
          <w:tcPr>
            <w:tcW w:w="2201"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the Company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94,883,803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66,718,427 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94,883,803 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120,561,316 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securities that would have been considered in the calculation of diluted earnings per share if the company had reported net income attributable to common shareholders. As income attributable to common shareholders is in a net loss position, these securities were not evaluated for potential dilution:</w:t>
      </w:r>
    </w:p>
    <w:tbl>
      <w:tblPr>
        <w:tblW w:w="8517" w:type="dxa"/>
        <w:jc w:val="left"/>
        <w:tblInd w:w="0" w:type="dxa"/>
        <w:tblLayout w:type="fixed"/>
        <w:tblCellMar>
          <w:top w:w="28" w:type="dxa"/>
          <w:left w:w="28" w:type="dxa"/>
          <w:bottom w:w="28" w:type="dxa"/>
          <w:right w:w="28" w:type="dxa"/>
        </w:tblCellMar>
      </w:tblPr>
      <w:tblGrid>
        <w:gridCol w:w="1275"/>
        <w:gridCol w:w="1121"/>
        <w:gridCol w:w="1129"/>
        <w:gridCol w:w="109"/>
        <w:gridCol w:w="109"/>
        <w:gridCol w:w="353"/>
        <w:gridCol w:w="353"/>
        <w:gridCol w:w="478"/>
        <w:gridCol w:w="478"/>
        <w:gridCol w:w="483"/>
        <w:gridCol w:w="345"/>
        <w:gridCol w:w="345"/>
        <w:gridCol w:w="346"/>
        <w:gridCol w:w="479"/>
        <w:gridCol w:w="479"/>
        <w:gridCol w:w="481"/>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w:t>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593" w:type="dxa"/>
            <w:gridSpan w:val="4"/>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and Class B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49,069,963</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Allianz and Constellation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1,533,333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35,560,784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35,560,784</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14,036,048</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10,396,318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2,418,340</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3,624,166</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(19) Commitments and Contingencies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Tax Receivable Agreement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2025 and December 31, 2024, the liability associated with the TRA was approximately $29.6 million and $28.8 million, respectively. Payments under the TRA that are on account of liabilities arising in connection with the Business Combination will be revalued at the end of each reporting period with the gain or loss recognized in earnings. As of March 31, 2025 and December 31, 2024, the Company carried $9.1 million and $9.4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pPr>
      <w:r>
        <w:rPr>
          <w:rFonts w:ascii="Times New Roman;sans-serif" w:hAnsi="Times New Roman;sans-serif"/>
          <w:b w:val="false"/>
          <w:color w:val="000000"/>
          <w:sz w:val="22"/>
        </w:rPr>
        <w:t xml:space="preserve">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ans-serif" w:hAnsi="Times New Roman;sans-serif"/>
          <w:b w:val="false"/>
          <w:i/>
          <w:color w:val="000000"/>
          <w:sz w:val="22"/>
        </w:rPr>
        <w:t>Contingencies</w:t>
      </w:r>
      <w:r>
        <w:rPr>
          <w:rFonts w:ascii="Times New Roman;sans-serif" w:hAnsi="Times New Roman;sans-serif"/>
          <w:b w:val="false"/>
          <w:color w:val="000000"/>
          <w:sz w:val="22"/>
        </w:rPr>
        <w:t xml:space="preserve">. </w:t>
      </w:r>
    </w:p>
    <w:p>
      <w:pPr>
        <w:pStyle w:val="TextBody"/>
        <w:bidi w:val="0"/>
        <w:spacing w:lineRule="auto" w:line="268" w:before="200" w:after="283"/>
        <w:jc w:val="both"/>
        <w:rPr/>
      </w:pPr>
      <w:r>
        <w:rPr>
          <w:rFonts w:ascii="Times New Roman;sans-serif" w:hAnsi="Times New Roman;sans-serif"/>
          <w:b w:val="false"/>
          <w:color w:val="000000"/>
          <w:sz w:val="22"/>
        </w:rPr>
        <w:t xml:space="preserve">As of March 31, 2025, </w:t>
      </w:r>
      <w:r>
        <w:rPr>
          <w:rFonts w:ascii="Times New Roman;sans-serif" w:hAnsi="Times New Roman;sans-serif"/>
          <w:b w:val="false"/>
          <w:color w:val="000000"/>
          <w:sz w:val="22"/>
          <w:shd w:fill="FFFFFF" w:val="clear"/>
        </w:rPr>
        <w:t xml:space="preserve">holders of Class B Units have exchanged a total of </w:t>
      </w:r>
      <w:r>
        <w:rPr>
          <w:rFonts w:ascii="Times New Roman;sans-serif" w:hAnsi="Times New Roman;sans-serif"/>
          <w:b w:val="false"/>
          <w:color w:val="000000"/>
          <w:sz w:val="22"/>
        </w:rPr>
        <w:t xml:space="preserve">9,922,737 Class B </w:t>
      </w:r>
      <w:r>
        <w:rPr>
          <w:rFonts w:ascii="Times New Roman;sans-serif" w:hAnsi="Times New Roman;sans-serif"/>
          <w:b w:val="false"/>
          <w:color w:val="000000"/>
          <w:sz w:val="22"/>
          <w:shd w:fill="FFFFFF" w:val="clear"/>
        </w:rPr>
        <w:t xml:space="preserve">Paired Interests with the Company, for shares of Class A Common Stock on a 1:1 basis totaling an amount equal to the weighted average price of </w:t>
      </w:r>
      <w:r>
        <w:rPr>
          <w:rFonts w:ascii="Times New Roman;sans-serif" w:hAnsi="Times New Roman;sans-serif"/>
          <w:b w:val="false"/>
          <w:color w:val="000000"/>
          <w:sz w:val="22"/>
        </w:rPr>
        <w:t>$5.79</w:t>
      </w:r>
      <w:r>
        <w:rPr>
          <w:color w:val="000000"/>
          <w:shd w:fill="FFFFFF" w:val="clear"/>
        </w:rPr>
        <w:t xml:space="preserve"> </w:t>
      </w:r>
      <w:r>
        <w:rPr>
          <w:rFonts w:ascii="Times New Roman;sans-serif" w:hAnsi="Times New Roman;sans-serif"/>
          <w:b w:val="false"/>
          <w:color w:val="000000"/>
          <w:sz w:val="22"/>
          <w:shd w:fill="FFFFFF" w:val="clear"/>
        </w:rPr>
        <w:t>multiplied by the total number of shares of Class A Common Stock received at the time of the transactions.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2025, assuming no material changes in the relevant tax laws and that the Company generates sufficient taxable income to realize the full tax benefit of the increased amortization resulting from the increase in tax basis of certain of AlTi’s assets, we expect to pay approximately $29.6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56" w:before="20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Business Combination Earn-out Liability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Earn-out Securities, comprised of 3.3 million Class A Shares, 7.1 million shares of Class B Common Stock, and 7.1 million Class B Units (one Class B share and one Class B Unit comprising a Paired Interest, as described in Note 3 (Business Combinations and Divestitures)),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March 31, 2025 and December 31, 2024, the fair value of the earn-out shares was $12.3 million and $23.8 million, respectively. See Note 2 (Summary of Significant Accounting Policies) for additional detail.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EEA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March 31, 2025 and December 31, 2024, the EEA earn-out liability of $29.5 million and $29.9 million, respectively, is reported in Earn-out liabilities, at fair value, in the Condensed</w:t>
      </w:r>
      <w:r>
        <w:rPr>
          <w:color w:val="000000"/>
        </w:rPr>
        <w:t xml:space="preserve"> </w:t>
      </w:r>
      <w:r>
        <w:rPr>
          <w:rFonts w:ascii="Times New Roman;sans-serif" w:hAnsi="Times New Roman;sans-serif"/>
          <w:b w:val="false"/>
          <w:color w:val="000000"/>
          <w:sz w:val="22"/>
        </w:rPr>
        <w:t>Consolidated Statement of Financial Position. Since the EEA earn-out liability meets the definition of a derivative, it is recorded at fair value as a derivative liability on the Condensed</w:t>
      </w:r>
      <w:r>
        <w:rPr>
          <w:color w:val="000000"/>
        </w:rPr>
        <w:t xml:space="preserve"> </w:t>
      </w:r>
      <w:r>
        <w:rPr>
          <w:rFonts w:ascii="Times New Roman;sans-serif" w:hAnsi="Times New Roman;sans-serif"/>
          <w:b w:val="false"/>
          <w:color w:val="000000"/>
          <w:sz w:val="22"/>
        </w:rPr>
        <w:t xml:space="preserve">Consolidated Statement of Financial Position and 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changes in fair value to be recognized in Gain (loss) on earnout liabilities in the Condensed</w:t>
      </w:r>
      <w:r>
        <w:rPr>
          <w:color w:val="000000"/>
        </w:rPr>
        <w:t xml:space="preserve"> </w:t>
      </w:r>
      <w:r>
        <w:rPr>
          <w:rFonts w:ascii="Times New Roman;sans-serif" w:hAnsi="Times New Roman;sans-serif"/>
          <w:b w:val="false"/>
          <w:color w:val="000000"/>
          <w:sz w:val="22"/>
        </w:rPr>
        <w:t>Consolidated Statement of Operations and in Fair value (gain) loss on earnout liability in the Condensed</w:t>
      </w:r>
      <w:r>
        <w:rPr>
          <w:color w:val="000000"/>
        </w:rPr>
        <w:t xml:space="preserve"> </w:t>
      </w:r>
      <w:r>
        <w:rPr>
          <w:rFonts w:ascii="Times New Roman;sans-serif" w:hAnsi="Times New Roman;sans-serif"/>
          <w:b w:val="false"/>
          <w:color w:val="000000"/>
          <w:sz w:val="22"/>
        </w:rPr>
        <w:t>Consolidated Statement of Cash Flows in the period of change.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Pointwise Deferred Consideration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w:t>
      </w:r>
      <w:r>
        <w:rPr>
          <w:color w:val="000000"/>
        </w:rPr>
        <w:t xml:space="preserve"> </w:t>
      </w:r>
      <w:r>
        <w:rPr>
          <w:rFonts w:ascii="Times New Roman;sans-serif" w:hAnsi="Times New Roman;sans-serif"/>
          <w:b w:val="false"/>
          <w:color w:val="000000"/>
          <w:sz w:val="22"/>
        </w:rPr>
        <w:t xml:space="preserve">Consolidated Statement of Financial Position. The deferred consideration was paid during the three months ended March 31, 2025, in cash and equity totaling $3.0 million.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Envoi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March 31, 2025 and December 31, 2024, the Envoi earn-out consideration liability of $9.3 million and $9.6 million, respectively, and the Envoi earn-out growth consideration liability of $1.3 million and $1.3 million, respectively, are reported in the Earn-out liabilities, at fair value, in the Condensed</w:t>
      </w:r>
      <w:r>
        <w:rPr>
          <w:color w:val="000000"/>
        </w:rPr>
        <w:t xml:space="preserve"> </w:t>
      </w:r>
      <w:r>
        <w:rPr>
          <w:rFonts w:ascii="Times New Roman;sans-serif" w:hAnsi="Times New Roman;sans-serif"/>
          <w:b w:val="false"/>
          <w:color w:val="000000"/>
          <w:sz w:val="22"/>
        </w:rPr>
        <w:t xml:space="preserve">Consolidated Statement of Financial Position. The fair values will be remeasured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which changes in the fair value of the Envoi earn-out liability recognized in Gain (loss) on earnout liabilities in the Condensed</w:t>
      </w:r>
      <w:r>
        <w:rPr>
          <w:color w:val="000000"/>
        </w:rPr>
        <w:t xml:space="preserve"> </w:t>
      </w:r>
      <w:r>
        <w:rPr>
          <w:rFonts w:ascii="Times New Roman;sans-serif" w:hAnsi="Times New Roman;sans-serif"/>
          <w:b w:val="false"/>
          <w:color w:val="000000"/>
          <w:sz w:val="22"/>
        </w:rPr>
        <w:t>Consolidated Statement of Operations and in Fair value (gain) loss on earnout liability in the Condensed</w:t>
      </w:r>
      <w:r>
        <w:rPr>
          <w:color w:val="000000"/>
        </w:rPr>
        <w:t xml:space="preserve"> </w:t>
      </w:r>
      <w:r>
        <w:rPr>
          <w:rFonts w:ascii="Times New Roman;sans-serif" w:hAnsi="Times New Roman;sans-serif"/>
          <w:b w:val="false"/>
          <w:color w:val="000000"/>
          <w:sz w:val="22"/>
        </w:rPr>
        <w:t>Consolidated Statement of Cash Flows in the period of change.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Letter of Credit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both March 31, 2025 and December 31, 2024, the Company has existing letters of credit in the amount of $3.4 million under the Facility Agreement.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March 31, 2025 for any potential liability related to any current legal or regulatory proceeding or claim that would individually or in the aggregate materially affect our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Home REIT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Home REIT is a real estate investment trust company listed on the London Stock Exchange. AFM UK was its alternative investment fund manager (“AIFM”) until August 21, 2023 and AHRA was its investment adviser until June 30, 2023. Services are no longer provided by any AlTi companies or any legacy Alvarium companies to Home REIT. AFM UK is a wholly owned subsidiary of the Company. AHRA was owned by ARE (another wholly owned subsidiary of the Company)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It is not possible at this point in time for us to reliably assess AFM UK’s and/or ARE’s potential exposure, though they may potentially be material. Our intent is that any litigation or other action commenced by current and/or former shareholders of Home REIT against AFM UK and/or ARE will be defended vigorously. However, if any claims were commenced, we would anticipate that such claims may involve complex questions of law and fact, and significant legal expenses may be incurred in defending such litigation.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ans-serif" w:hAnsi="Times New Roman;sans-serif"/>
          <w:b w:val="false"/>
          <w:color w:val="000000"/>
          <w:sz w:val="22"/>
        </w:rPr>
        <w:t xml:space="preserve">UK and ARE and state their intention to bring claims against those entities: (i) for a 100% contribution to any losses incurred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It is not possible at this point in time for us to reliably assess AFM UK’s and ARE’s potential exposure, though they may potentially be material. Our intent is that any litigation or other action commenced by Home REIT and/or its directors against AFM UK and/or ARE will be defended vigorously. However, if any claims were commenced, we would anticipate that such claims may involve complex questions of law and fact, and significant legal expenses may be incurred in defending such 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2024, the UK FCA commenced investigations into the historic performance of certain group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Tolleson Wealth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The lost fee clause is applicable for two years from date of departure and requires payment of 75% of one year of lost revenue for each departing client that follows the former Tolleson employees, to be paid over two years.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September 2024, despite offers by the Company to pay for the departed clients, Tolleson filed a lawsuit against AlTi and the former Tolleson employees. The parties reached an agreement in September 2024, dismissing the litigation and agreeing to mediation.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31, 2024, the Company and Tolleson reached a tentative out-of-court settlement agreement during mediation. The settlement consisted of $4.1 million related to 125% of one year of lost revenue for Tolleson and $1 million in attorneys’ fees to be paid by the Company to Tolleson. The Company and Tolleson entered a binding settlement agreement on February 19, 2025, memorializing the terms agreed to in mediation and concluding this matter. On March 13, 2025, the settlement amount of $5.1 million was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(20) Equity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2025 and December 31, 2024, there were 97,128,692 and 93,686,980, respectively, shares of Class A Common Stock outstanding. Of those shares, 754,968 are subject to performance targets under the terms of the Business Combination Earn-out as of both March 31, 2025 and December 31, 2024. The holders of the Class A Common Stock represent the controlling interest of the Company.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B Common Stock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March 31, 2025 and December 31, 2024, there were 45,110,224 and 46,138,876, respectively, shares of Class B Common Stock outstanding.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Treasury Stock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the Company may repurchase common shares related to its equity-based compensation award programs. As of March 31, 2025, 817,730 shares of Class A Common Stock were repurchased and classified as Treasury Stock on the Condensed Consolidated Statement of Financial Position. Treasury Stock is recorded at cost, representing the market price on the repurchase date, and is accounted for as a reduction of shareholders’ equity.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Series A Preferred Stock</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As part of the Allianz Transaction, the Company issued 140,000 shares of Series A Preferred Stock to Allianz, which is classified outside of permanent equity as mezzanine equity in the accompanying Condensed</w:t>
      </w:r>
      <w:r>
        <w:rPr>
          <w:color w:val="000000"/>
        </w:rPr>
        <w:t xml:space="preserve"> </w:t>
      </w:r>
      <w:r>
        <w:rPr>
          <w:rFonts w:ascii="Times New Roman;sans-serif" w:hAnsi="Times New Roman;sans-serif"/>
          <w:b w:val="false"/>
          <w:color w:val="000000"/>
          <w:sz w:val="22"/>
        </w:rPr>
        <w:t xml:space="preserve">Consolidated Statement of Financial Position as they are not mandatorily redeemable as of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Series C Preferred Stock</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In connection with the Constellation Transaction, the Company issued 150,000 shares of Series C Preferred Stock to Constellation. The Series C Preferred Stock is classified outside of permanent equity as mezzanine equity in the accompanying Condensed</w:t>
      </w:r>
      <w:r>
        <w:rPr>
          <w:color w:val="000000"/>
        </w:rPr>
        <w:t xml:space="preserve"> </w:t>
      </w:r>
      <w:r>
        <w:rPr>
          <w:rFonts w:ascii="Times New Roman;sans-serif" w:hAnsi="Times New Roman;sans-serif"/>
          <w:b w:val="false"/>
          <w:color w:val="000000"/>
          <w:sz w:val="22"/>
        </w:rPr>
        <w:t xml:space="preserve">Consolidated Statement of Financial Position as they are not mandatorily redeemable as of March 31, 2025.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Allianz and Constellation Warrants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connection with the Constellation and Allianz Transactions, the Company evaluated the Constellation and Allianz Warrants in accordance with ASC 815-40, </w:t>
      </w:r>
      <w:r>
        <w:rPr>
          <w:rFonts w:ascii="Times New Roman;sans-serif" w:hAnsi="Times New Roman;sans-serif"/>
          <w:b w:val="false"/>
          <w:i/>
          <w:color w:val="000000"/>
          <w:sz w:val="22"/>
        </w:rPr>
        <w:t>Contracts in an Entity’s Own Equity,</w:t>
      </w:r>
      <w:r>
        <w:rPr>
          <w:color w:val="000000"/>
        </w:rPr>
        <w:t xml:space="preserve"> </w:t>
      </w:r>
      <w:r>
        <w:rPr>
          <w:rFonts w:ascii="Times New Roman;sans-serif" w:hAnsi="Times New Roman;sans-serif"/>
          <w:b w:val="false"/>
          <w:color w:val="000000"/>
          <w:sz w:val="22"/>
        </w:rPr>
        <w:t>and concluded that the warrants are derivatives that meet the equity classification criteria. As of March 31, 2025, the Constellation and Allianz Warrants of $3.0 million and $6.6 million, respectively, are recorded as a component of equity net of issuance costs in the line item Additional paid-in capital on the Company’s Condensed</w:t>
      </w:r>
      <w:r>
        <w:rPr>
          <w:color w:val="000000"/>
        </w:rPr>
        <w:t xml:space="preserve"> </w:t>
      </w:r>
      <w:r>
        <w:rPr>
          <w:rFonts w:ascii="Times New Roman;sans-serif" w:hAnsi="Times New Roman;sans-serif"/>
          <w:b w:val="false"/>
          <w:color w:val="000000"/>
          <w:sz w:val="22"/>
        </w:rPr>
        <w:t xml:space="preserve">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(21) Subsequent Events</w:t>
      </w:r>
    </w:p>
    <w:p>
      <w:pPr>
        <w:pStyle w:val="TextBody"/>
        <w:bidi w:val="0"/>
        <w:spacing w:lineRule="auto" w:line="288" w:before="200" w:after="283"/>
        <w:jc w:val="both"/>
        <w:rPr/>
      </w:pPr>
      <w:r>
        <w:rPr>
          <w:rFonts w:ascii="Times New Roman;sans-serif" w:hAnsi="Times New Roman;sans-serif"/>
          <w:b w:val="false"/>
          <w:color w:val="000000"/>
          <w:sz w:val="22"/>
        </w:rPr>
        <w:t>Management evaluated events and transactions through the date of issuance of these financial statements. Based on management’s evaluation there are no events subsequent to March 31, 2025 that require adjustment to or disclosure in the condensed</w:t>
      </w:r>
      <w:r>
        <w:rPr>
          <w:color w:val="000000"/>
        </w:rPr>
        <w:t xml:space="preserve"> </w:t>
      </w:r>
      <w:r>
        <w:rPr>
          <w:rFonts w:ascii="Times New Roman;sans-serif" w:hAnsi="Times New Roman;sans-serif"/>
          <w:b w:val="false"/>
          <w:color w:val="000000"/>
          <w:sz w:val="22"/>
        </w:rPr>
        <w:t>consolidated financial statements, except as noted below.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Kontora Family Office GmbH</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6, 2025, the Company announced its agreement to acquire Kontora Family Office GmbH (“Kontora”). Kontora is a multi-family office and asset management company headquartered in Hamburg, Germany, focused on ultra high net worth families, entrepreneurs and select institutions. Kontora has AUM of approximately €14 billion as of the announcement date. The transaction closed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 FINANCIAL CONDITION AND RESULTS OF OPERATIONS OF ALTI GLOBAL, INC.</w:t>
      </w:r>
    </w:p>
    <w:p>
      <w:pPr>
        <w:pStyle w:val="TextBody"/>
        <w:bidi w:val="0"/>
        <w:spacing w:lineRule="auto" w:line="288" w:before="200" w:after="283"/>
        <w:jc w:val="both"/>
        <w:rPr/>
      </w:pPr>
      <w:r>
        <w:rPr>
          <w:rFonts w:ascii="Times New Roman;sans-serif" w:hAnsi="Times New Roman;sans-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condensed</w:t>
      </w:r>
      <w:r>
        <w:rPr>
          <w:color w:val="000000"/>
        </w:rPr>
        <w:t xml:space="preserve"> </w:t>
      </w:r>
      <w:r>
        <w:rPr>
          <w:rFonts w:ascii="Times New Roman;sans-serif" w:hAnsi="Times New Roman;sans-serif"/>
          <w:b w:val="false"/>
          <w:i/>
          <w:color w:val="000000"/>
          <w:sz w:val="22"/>
        </w:rPr>
        <w:t>consolidated audited financial statements and the related notes included in this Quarterly Report.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Amounts and percentages presented throughout our discussion and analysis of the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AlTi is an independent global wealth manager providing entrepreneurs, multi-generational families, institutions, and emerging next-generation leaders with fiduciary capabilities as well as alternative investment strategies, underscored by a commitment to impact or values-aligned investing. We manage or advise approximately $75.9 billion in combined assets as of March 31, 2025. We have approximately 430 professionals operating in 19 cities in 8 countries across three continents as of March 31,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Separately, we have one internally managed fund and stakes in three externally-managed funds in our alternatives platform, with a largely institutional client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Fee Structure</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services generate a diverse array of revenue streams that fall broadly into four categories: (i) recurring management, advisory, trustee, or administration fees (“management fees”); (ii) performance or incentive fees; (iii) distributions from investments and (iv) other income or fees: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2"/>
        </w:rPr>
        <w:t xml:space="preserve">Management / advisory fees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Incentive or performance fees are comprised primarily of annual performance or incentive fees which may be earned by providing investment management and advisory as well as fund management activities to our Capital Solutions and international wealth management businesses.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2"/>
        </w:rPr>
        <w:t>Distributions from investments are generated from the equity interests we have in three external managers. Distributions from each external manager are recorded upon receipt of the distribution.</w:t>
      </w:r>
      <w:r>
        <w:rPr>
          <w:color w:val="000000"/>
        </w:rPr>
        <w:t xml:space="preserve"> </w:t>
      </w:r>
      <w:r>
        <w:rPr>
          <w:rFonts w:ascii="Times New Roman;sans-serif" w:hAnsi="Times New Roman;sans-serif"/>
          <w:b w:val="false"/>
          <w:color w:val="000000"/>
          <w:sz w:val="22"/>
        </w:rPr>
        <w:t>These distributions are generated through our equity interest in the external manager’s management fees and incentive fees.</w:t>
      </w:r>
      <w:r>
        <w:rPr>
          <w:color w:val="000000"/>
        </w:rPr>
        <w:t xml:space="preserve"> </w:t>
      </w:r>
      <w:r>
        <w:rPr>
          <w:rFonts w:ascii="Times New Roman;sans-serif" w:hAnsi="Times New Roman;sans-serif"/>
          <w:b w:val="false"/>
          <w:color w:val="000000"/>
          <w:sz w:val="22"/>
        </w:rPr>
        <w:t>The management fee component of the distributions is recurring in nature, while the incentive portion, which is performance based, is more susceptible to impact from exogenous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2"/>
        </w:rPr>
        <w:t xml:space="preserve">Other income or fees included primarily transaction fees from businesses we are in the process of exiting such as brokerage and placement agency services. Transaction fees are generally non-recurring in nature, are typically commission based, and are payable on the successful completion of a transaction. </w:t>
      </w:r>
    </w:p>
    <w:p>
      <w:pPr>
        <w:pStyle w:val="TextBody"/>
        <w:bidi w:val="0"/>
        <w:spacing w:lineRule="auto" w:line="288" w:before="18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Wealth &amp; Capital Solutions Income </w:t>
      </w:r>
    </w:p>
    <w:p>
      <w:pPr>
        <w:pStyle w:val="TextBody"/>
        <w:bidi w:val="0"/>
        <w:spacing w:lineRule="auto" w:line="256" w:before="18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 Fees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 management or advisory fees are the primary source of revenue in our Wealth &amp; Capital Solutions segment. 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AUM refers to the market value of all assets that we manage, provide discretionary investment advisory services on, and have execution responsibility for, including both billable assets (on which we charge fees) and non-billable assets (exempt from fees, such as cash and cash equivalents in certain client agreements). AUM also includes assets managed or supervised by operating partner subsidiaries, affiliates, and joint ventures in which the Company holds a majority or minority stake. AUA consists of all assets we oversee and report on, regardless of whether fees are charged. While billable assets are those on which we charge fees, non-billable assets—such as cash and cash equivalents in certain agreed-upon situations, personally owned real estate, and other designated assets—are exempt. Our calculations of AUM and AUA may differ from those used by other wealth managers, and as a result, these measures may not be comparable to similar metrics presented by others in the industry.</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18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TIG Arbitrage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selected jurisdictions, certain wealth management clients pay performance or incentive fees, in addition to management fees, if their portfolio achieves returns in excess of an agreed benchmark or hurdle rate. Typically, such fees are paid annually upon crystallization and are not accrued prior to being earned.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Distributions from Investments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 are earned through our profit or revenue sharing arrangements with the External Strategic Managers.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2"/>
        </w:rPr>
        <w:t>Real Estate Bridge Lending Strategy—21% profit share;</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2"/>
        </w:rPr>
        <w:t>European Equities—25% revenue share; and</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2"/>
        </w:rPr>
        <w:t>Asian Credit and Special Situations—12% revenue share</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i/>
          <w:color w:val="000000"/>
          <w:sz w:val="22"/>
        </w:rPr>
        <w:t>International Real Estate</w:t>
      </w:r>
      <w:r>
        <w:rPr>
          <w:color w:val="000000"/>
        </w:rPr>
        <w:t xml:space="preserve"> </w:t>
      </w:r>
      <w:r>
        <w:rPr>
          <w:rFonts w:ascii="Times New Roman;sans-serif" w:hAnsi="Times New Roman;sans-serif"/>
          <w:b/>
          <w:i/>
          <w:color w:val="000000"/>
          <w:sz w:val="22"/>
        </w:rPr>
        <w:t>Income</w:t>
      </w:r>
    </w:p>
    <w:p>
      <w:pPr>
        <w:pStyle w:val="TextBody"/>
        <w:bidi w:val="0"/>
        <w:spacing w:lineRule="auto" w:line="288" w:before="18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We earn management fees through private real estate fund advisory and recurring fees. These fees, governed by an investment advisory agreement, are calculated on a sliding scale based on the fund’s net asset value. As a sponsor of private market transactions, the Co-Investment businesses generate income from debt and equity structures, including arrangement, management, advisory, performance, and transaction fees. If we established feeder vehicles for clients, additional administration and advisory fees also applied.</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Market Trends and Business Environment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performance is directly and indirectly influenced by U.S. and to a lesser extent, global financial market and macroeconomic conditions including economic growth, interest rates and inflation.. These factors shape market behavior and client decision-making, which in turn impact the demand for our wealth management services and the composition of assets under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first quarter of 2025, both U.S. and global markets experienced considerable volatility, primarily due to new U.S. trade policies and their international ramifications. The U.S. stock market struggled early in the year, with the S&amp;P 500 and Nasdaq Composite dropping 4.6% and 10.5%, respectively, as of March 31, 2025, marking the steepest quarterly declines since 2022. During the first week of April 2025, global financial markets saw significant turbulence, largely due to the announcement of comprehensive tariffs aimed at reducing the U.S. trade deficit. This policy sparked widespread declines across major global indices, as concerns over the potential for a global trade war and its economic consequences mounted.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According to the U.S. Bureau of Economic Analysis, real GDP decreased at an annual rate of 0.3% in the first quarter of 2025, reflecting a pullback in consumer spending and private inventory investment. This marks the first quarterly economic contraction since early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Inflation also remained elevated. According to the U.S. Bureau of Economic Analysis, core Personal Consumption Expenditures (PCE) price index—a key inflation gauge—rose at an annualized rate of 3.6% in Q1 2025. Persistently high inflation continues to erode purchasing power and drive increased interest in real assets, private credit, and other inflation-hedging strategies.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first quarter of the year, the unemployment rate has remained relatively stable, ranging from 4.0% in January to 4.2% in March, according to the U.S. Bureau of Labor Statistics.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U.S. Bureau of Labor Statistics reported that the unemployment rate rose to 4.2% in March, up from 4.1% in February, and 4.0% in January.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operations are also impacted by interest rates, which cause the value of our clients’ portfolios to fluctuate, and consequently impact our revenue. Changes in interest rates are largely influenced by Federal Reserve policy decisions to address the state of the economy, specifically employment and inflation. In its March 2025 meeting, the Federal Reserve maintained the federal funds rate in the range of 4.25% to 4.50%, a decision reflecting a cautious stance amidst ongoing global and domestic uncertainties.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continue to monitor developments related to these macroeconomic factors and assess their potential impact on both financial markets and our business. A slowdown in inflows or sustained market declines could negatively affect our future results, potentially leading to reduced management fees. At this time, the full impact of these events on financial markets, the broader economy, and our financial statements remains uncertain. For more information, please refer to Part I, Item 1A. “Risk Factors” of our Annual Report for previously disclosed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Managing Business Performance and Key Financial Measures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Non-US GAAP Financial Measures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 taxes adjusted for the components outlined in the following table which presents the non-US GAAP financial measures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6"/>
        <w:gridCol w:w="1448"/>
        <w:gridCol w:w="1397"/>
        <w:gridCol w:w="271"/>
        <w:gridCol w:w="994"/>
        <w:gridCol w:w="130"/>
        <w:gridCol w:w="114"/>
        <w:gridCol w:w="114"/>
        <w:gridCol w:w="114"/>
        <w:gridCol w:w="271"/>
        <w:gridCol w:w="994"/>
        <w:gridCol w:w="130"/>
        <w:gridCol w:w="109"/>
        <w:gridCol w:w="109"/>
        <w:gridCol w:w="109"/>
        <w:gridCol w:w="412"/>
        <w:gridCol w:w="1292"/>
        <w:gridCol w:w="291"/>
      </w:tblGrid>
      <w:tr>
        <w:trPr/>
        <w:tc>
          <w:tcPr>
            <w:tcW w:w="190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Favorable (Unfavorable)</w:t>
            </w:r>
          </w:p>
        </w:tc>
      </w:tr>
      <w:tr>
        <w:trPr/>
        <w:tc>
          <w:tcPr>
            <w:tcW w:w="4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Thousands)</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Change</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Revenues</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45,650 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46,224 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income/fees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Revenues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57,963 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50,812 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7,151 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22,085 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(24,967)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(4,689)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Income tax expense (benefit)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&amp; Amortization</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1,782 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EBITDA Reported</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(29,849)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(a)</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 Legacy (b)</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 expenses (c)</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on investments and non-recurring realized gain/losses on sales (d)</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1,375 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earnout liabilities (e)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(12,583)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(39,454)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26,871 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TRA liability (f)</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5,629 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streamlining cost (g)</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Impairment (non-cash) (h)</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1,865 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Losses on EMI/Carried Interest (non-cash) (i)</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EMI Adjustments (Interest, Depreciation, Taxes &amp; Amortization) (j)</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Preferred stock tranche liability (k)</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Adjusted EBITDA</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9,391 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6,818 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2,573 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awards of Class A Common stock (approved post-Business Combination).</w:t>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awards of Class A Common stock (approved pre-Business Combination).</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subsequent acquisitions or divestitures, and issuance of preferred and common stock, including compensation arrangements, legal fees, accounting advisory fees, litigation settlements, and M&amp;A-related audit fees among others.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(d)Add-back of the change in unrealized gains/losses related to Investments held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(e)</w:t>
      </w:r>
      <w:r>
        <w:rPr>
          <w:rFonts w:ascii="Times New Roman;sans-serif" w:hAnsi="Times New Roman;sans-serif"/>
          <w:b w:val="false"/>
          <w:color w:val="000000"/>
          <w:sz w:val="22"/>
        </w:rPr>
        <w:t>Add-back of the change in fair value of the earnout liabilities.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(f)Add-back of the change in unrealized gains/losses related primarily to the TRA liability.</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(g)</w:t>
      </w:r>
      <w:r>
        <w:rPr>
          <w:rFonts w:ascii="Times New Roman;sans-serif" w:hAnsi="Times New Roman;sans-serif"/>
          <w:b w:val="false"/>
          <w:color w:val="000000"/>
          <w:sz w:val="22"/>
        </w:rPr>
        <w:t>Add-back of cost to implement organization change to derive cost synergy, including consulting fees, severance charges, technology implementation costs, and bad debt expense related to strategic portfolio realignment.</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(h)Add-back of impairment of carried interest/equity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(i)Add-back of the amortization of the step-up in 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(j)Add-back of reported interest, depreciation, amortization, and tax adjustments of the Company’s equity method investments.</w:t>
      </w:r>
    </w:p>
    <w:p>
      <w:pPr>
        <w:pStyle w:val="TextBody"/>
        <w:bidi w:val="0"/>
        <w:spacing w:lineRule="auto" w:line="288" w:before="0" w:after="0"/>
        <w:ind w:left="0" w:right="0" w:hanging="360"/>
        <w:jc w:val="left"/>
        <w:rPr/>
      </w:pPr>
      <w:r>
        <w:rPr>
          <w:rFonts w:ascii="Times New Roman;sans-serif" w:hAnsi="Times New Roman;sans-serif"/>
          <w:b w:val="false"/>
          <w:color w:val="000000"/>
          <w:sz w:val="22"/>
        </w:rPr>
        <w:t>(k)</w:t>
      </w:r>
      <w:r>
        <w:rPr>
          <w:color w:val="000000"/>
        </w:rPr>
        <w:t xml:space="preserve"> </w:t>
      </w:r>
      <w:r>
        <w:rPr>
          <w:rFonts w:ascii="Times New Roman;sans-serif" w:hAnsi="Times New Roman;sans-serif"/>
          <w:b w:val="false"/>
          <w:color w:val="000000"/>
          <w:sz w:val="22"/>
        </w:rPr>
        <w:t>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Reconciliation of Consolidated US GAAP Financial Measures to Certain Non-US GAAP Measures</w:t>
      </w:r>
    </w:p>
    <w:p>
      <w:pPr>
        <w:pStyle w:val="TextBody"/>
        <w:bidi w:val="0"/>
        <w:spacing w:lineRule="auto" w:line="288" w:before="240" w:after="283"/>
        <w:jc w:val="both"/>
        <w:rPr/>
      </w:pPr>
      <w:r>
        <w:rPr>
          <w:rFonts w:ascii="Times New Roman;sans-serif" w:hAnsi="Times New Roman;sans-serif"/>
          <w:b w:val="false"/>
          <w:color w:val="000000"/>
          <w:sz w:val="22"/>
          <w:shd w:fill="FFFFFF" w:val="clear"/>
        </w:rPr>
        <w:t xml:space="preserve">We use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non-US GAAP measures to assess and track our performance.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presented in this Quarterly Report are supplemental measures of our performance that are not required by, or presented in accordance with,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2"/>
          <w:shd w:fill="FFFFFF" w:val="clear"/>
        </w:rPr>
        <w:t xml:space="preserve">The following table presents the reconciliation of net income as reported in our </w:t>
      </w:r>
      <w:r>
        <w:rPr>
          <w:rFonts w:ascii="Times New Roman;sans-serif" w:hAnsi="Times New Roman;sans-serif"/>
          <w:b w:val="false"/>
          <w:color w:val="000000"/>
          <w:sz w:val="22"/>
        </w:rPr>
        <w:t>Condensed</w:t>
      </w:r>
      <w:r>
        <w:rPr>
          <w:color w:val="000000"/>
        </w:rPr>
        <w:t xml:space="preserve"> </w:t>
      </w:r>
      <w:r>
        <w:rPr>
          <w:rFonts w:ascii="Times New Roman;sans-serif" w:hAnsi="Times New Roman;sans-serif"/>
          <w:b w:val="false"/>
          <w:color w:val="000000"/>
          <w:sz w:val="22"/>
          <w:shd w:fill="FFFFFF" w:val="clear"/>
        </w:rPr>
        <w:t xml:space="preserve">Consolidated Statement of Operations to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EBITDA for the periods indicated:</w:t>
      </w:r>
    </w:p>
    <w:tbl>
      <w:tblPr>
        <w:tblW w:w="12824" w:type="dxa"/>
        <w:jc w:val="left"/>
        <w:tblInd w:w="0" w:type="dxa"/>
        <w:tblLayout w:type="fixed"/>
        <w:tblCellMar>
          <w:top w:w="28" w:type="dxa"/>
          <w:left w:w="28" w:type="dxa"/>
          <w:bottom w:w="28" w:type="dxa"/>
          <w:right w:w="28" w:type="dxa"/>
        </w:tblCellMar>
      </w:tblPr>
      <w:tblGrid>
        <w:gridCol w:w="711"/>
        <w:gridCol w:w="282"/>
        <w:gridCol w:w="283"/>
        <w:gridCol w:w="196"/>
        <w:gridCol w:w="646"/>
        <w:gridCol w:w="109"/>
        <w:gridCol w:w="109"/>
        <w:gridCol w:w="109"/>
        <w:gridCol w:w="109"/>
        <w:gridCol w:w="238"/>
        <w:gridCol w:w="694"/>
        <w:gridCol w:w="134"/>
        <w:gridCol w:w="109"/>
        <w:gridCol w:w="109"/>
        <w:gridCol w:w="109"/>
        <w:gridCol w:w="196"/>
        <w:gridCol w:w="571"/>
        <w:gridCol w:w="109"/>
        <w:gridCol w:w="109"/>
        <w:gridCol w:w="109"/>
        <w:gridCol w:w="109"/>
        <w:gridCol w:w="196"/>
        <w:gridCol w:w="571"/>
        <w:gridCol w:w="109"/>
        <w:gridCol w:w="109"/>
        <w:gridCol w:w="109"/>
        <w:gridCol w:w="109"/>
        <w:gridCol w:w="196"/>
        <w:gridCol w:w="646"/>
        <w:gridCol w:w="109"/>
        <w:gridCol w:w="109"/>
        <w:gridCol w:w="109"/>
        <w:gridCol w:w="109"/>
        <w:gridCol w:w="238"/>
        <w:gridCol w:w="694"/>
        <w:gridCol w:w="134"/>
        <w:gridCol w:w="109"/>
        <w:gridCol w:w="109"/>
        <w:gridCol w:w="109"/>
        <w:gridCol w:w="196"/>
        <w:gridCol w:w="646"/>
        <w:gridCol w:w="109"/>
        <w:gridCol w:w="109"/>
        <w:gridCol w:w="109"/>
        <w:gridCol w:w="109"/>
        <w:gridCol w:w="196"/>
        <w:gridCol w:w="646"/>
        <w:gridCol w:w="109"/>
        <w:gridCol w:w="109"/>
        <w:gridCol w:w="109"/>
        <w:gridCol w:w="109"/>
        <w:gridCol w:w="109"/>
        <w:gridCol w:w="109"/>
        <w:gridCol w:w="109"/>
        <w:gridCol w:w="109"/>
        <w:gridCol w:w="109"/>
        <w:gridCol w:w="109"/>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Wealth &amp; Capital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Wealth &amp; Capital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Income and Adjusted EBITDA</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income before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based compensation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based compensation - Legacy (b)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expenses (c)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(gains)/losses on TRA (d)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fair value of (gains)/losses on investments and non-recurring realized gain/losses on sales (e)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earnout liabilities (f)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Organization streamlining cost (g)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Impairment (non-cash) (h)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(Gains)/Losses on EMI/Carried Interest (non-cash) (i)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EMI Adjustments (Interest, Depreciation, Taxes &amp; Amortization) (j)</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Preferred stock tranche liability (k)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income (loss) before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income tax (expense)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tax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awards of Class A Common stock (approved post-Business Combination).</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awards of Class A Common stock (approved pre-Business Combination).</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subsequent acquisitions or divestitures, and issuance of preferred and common stock, including compensation arrangements, legal fees, accounting advisory fees, litigation settlements, and M&amp;A-related audit fees among others.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(d)Add-back of the change in unrealized gains/losses related primarily to the TRA liability.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(e)Add-back of the change in unrealized gains/losses related to Investments held at fair value.</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Add-back of the change in fair value of the earnout liabilities.</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(g)</w:t>
      </w:r>
      <w:r>
        <w:rPr>
          <w:rFonts w:ascii="Times New Roman;sans-serif" w:hAnsi="Times New Roman;sans-serif"/>
          <w:b w:val="false"/>
          <w:color w:val="000000"/>
          <w:sz w:val="22"/>
        </w:rPr>
        <w:t>Add-back of cost to implement organization change to derive cost synergy, including consulting fees, severance charges, technology implementation costs, and bad debt expense related to strategic portfolio realignment.</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(h)Add-back of impairment of carried interest/equity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(i)Add-back of the amortization of the step-up in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(j)Add-back of reported interest, depreciation, amortization, and tax adjustments of the Company’s equity method investments.</w:t>
      </w:r>
    </w:p>
    <w:p>
      <w:pPr>
        <w:pStyle w:val="TextBody"/>
        <w:bidi w:val="0"/>
        <w:spacing w:lineRule="auto" w:line="288" w:before="0" w:after="0"/>
        <w:ind w:left="0" w:right="0" w:hanging="360"/>
        <w:jc w:val="left"/>
        <w:rPr/>
      </w:pPr>
      <w:r>
        <w:rPr>
          <w:rFonts w:ascii="Times New Roman;sans-serif" w:hAnsi="Times New Roman;sans-serif"/>
          <w:b w:val="false"/>
          <w:color w:val="000000"/>
          <w:sz w:val="22"/>
        </w:rPr>
        <w:t>(k)</w:t>
      </w:r>
      <w:r>
        <w:rPr>
          <w:color w:val="000000"/>
        </w:rPr>
        <w:t xml:space="preserve"> </w:t>
      </w:r>
      <w:r>
        <w:rPr>
          <w:rFonts w:ascii="Times New Roman;sans-serif" w:hAnsi="Times New Roman;sans-serif"/>
          <w:b w:val="false"/>
          <w:color w:val="000000"/>
          <w:sz w:val="22"/>
        </w:rPr>
        <w:t>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Operating Metrics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monitor certain operating metrics that are common to the wealth and asset management industry, which are discussed below.</w:t>
      </w:r>
    </w:p>
    <w:tbl>
      <w:tblPr>
        <w:tblW w:w="6002" w:type="dxa"/>
        <w:jc w:val="left"/>
        <w:tblInd w:w="0" w:type="dxa"/>
        <w:tblLayout w:type="fixed"/>
        <w:tblCellMar>
          <w:top w:w="28" w:type="dxa"/>
          <w:left w:w="28" w:type="dxa"/>
          <w:bottom w:w="28" w:type="dxa"/>
          <w:right w:w="28" w:type="dxa"/>
        </w:tblCellMar>
      </w:tblPr>
      <w:tblGrid>
        <w:gridCol w:w="1013"/>
        <w:gridCol w:w="890"/>
        <w:gridCol w:w="542"/>
        <w:gridCol w:w="208"/>
        <w:gridCol w:w="208"/>
        <w:gridCol w:w="208"/>
        <w:gridCol w:w="742"/>
        <w:gridCol w:w="742"/>
        <w:gridCol w:w="750"/>
        <w:gridCol w:w="109"/>
        <w:gridCol w:w="109"/>
        <w:gridCol w:w="109"/>
        <w:gridCol w:w="109"/>
        <w:gridCol w:w="109"/>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3" w:type="dxa"/>
            <w:gridSpan w:val="9"/>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Times New Roman;sans-serif" w:hAnsi="Times New Roman;sans-serif"/>
                <w:b/>
                <w:color w:val="FFFFFF"/>
                <w:sz w:val="20"/>
              </w:rPr>
              <w:t>AlTi Global, Inc.</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FFFFFF"/>
                <w:sz w:val="20"/>
              </w:rPr>
            </w:pPr>
            <w:r>
              <w:rPr>
                <w:rFonts w:ascii="Times New Roman;sans-serif" w:hAnsi="Times New Roman;sans-serif"/>
                <w:b/>
                <w:color w:val="FFFFFF"/>
                <w:sz w:val="20"/>
              </w:rPr>
              <w:t>AUM:</w:t>
            </w:r>
          </w:p>
        </w:tc>
        <w:tc>
          <w:tcPr>
            <w:tcW w:w="624" w:type="dxa"/>
            <w:gridSpan w:val="3"/>
            <w:tcBorders>
              <w:top w:val="single" w:sz="8" w:space="0" w:color="000000"/>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2F5496"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$44.8 billion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FFFFFF"/>
                <w:sz w:val="20"/>
              </w:rPr>
            </w:pPr>
            <w:r>
              <w:rPr>
                <w:rFonts w:ascii="Times New Roman;sans-serif" w:hAnsi="Times New Roman;sans-serif"/>
                <w:b/>
                <w:color w:val="FFFFFF"/>
                <w:sz w:val="20"/>
              </w:rPr>
              <w:t xml:space="preserve">AUA: </w:t>
            </w:r>
          </w:p>
        </w:tc>
        <w:tc>
          <w:tcPr>
            <w:tcW w:w="624" w:type="dxa"/>
            <w:gridSpan w:val="3"/>
            <w:tcBorders>
              <w:top w:val="single" w:sz="8" w:space="0" w:color="000000"/>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2F5496"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$75.9 billion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bottom w:val="single" w:sz="8" w:space="0" w:color="000000"/>
            </w:tcBorders>
            <w:shd w:fill="7B7B7B"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Wealth &amp; Capital Solutions</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$44.5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$67.2 billion</w:t>
            </w:r>
          </w:p>
        </w:tc>
        <w:tc>
          <w:tcPr>
            <w:tcW w:w="62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left w:val="single" w:sz="8" w:space="0" w:color="000000"/>
              <w:bottom w:val="single" w:sz="8" w:space="0" w:color="000000"/>
            </w:tcBorders>
            <w:shd w:fill="538135"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International Real Estate</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$0.3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$8.7 billion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Wealth Management &amp; Capital Solutions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Wealth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Wealth Management - AUM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AUM for the wealth management businesses within the Wealth &amp; Capital Solutions segment for the periods indicated:</w:t>
      </w:r>
    </w:p>
    <w:p>
      <w:pPr>
        <w:pStyle w:val="TextBody"/>
        <w:bidi w:val="0"/>
        <w:spacing w:before="0" w:after="0"/>
        <w:jc w:val="both"/>
        <w:rPr/>
      </w:pPr>
      <w:r>
        <w:rPr/>
      </w:r>
    </w:p>
    <w:tbl>
      <w:tblPr>
        <w:tblW w:w="9812" w:type="dxa"/>
        <w:jc w:val="left"/>
        <w:tblInd w:w="0" w:type="dxa"/>
        <w:tblLayout w:type="fixed"/>
        <w:tblCellMar>
          <w:top w:w="28" w:type="dxa"/>
          <w:left w:w="28" w:type="dxa"/>
          <w:bottom w:w="28" w:type="dxa"/>
          <w:right w:w="28" w:type="dxa"/>
        </w:tblCellMar>
      </w:tblPr>
      <w:tblGrid>
        <w:gridCol w:w="1672"/>
        <w:gridCol w:w="1472"/>
        <w:gridCol w:w="1476"/>
        <w:gridCol w:w="109"/>
        <w:gridCol w:w="109"/>
        <w:gridCol w:w="232"/>
        <w:gridCol w:w="232"/>
        <w:gridCol w:w="481"/>
        <w:gridCol w:w="1761"/>
        <w:gridCol w:w="232"/>
        <w:gridCol w:w="109"/>
        <w:gridCol w:w="109"/>
        <w:gridCol w:w="109"/>
        <w:gridCol w:w="320"/>
        <w:gridCol w:w="1171"/>
        <w:gridCol w:w="218"/>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2036"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43,091 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34,525 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client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Flow,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Market Performance,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1,583 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Assets subject to change in billing methodology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42,877 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35,458 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42,984 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34,992 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Wealth Management - AUA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AUA for the wealth management businesses within the Wealth &amp; Capital Solutions segment for the periods indicated:</w:t>
      </w:r>
    </w:p>
    <w:p>
      <w:pPr>
        <w:pStyle w:val="TextBody"/>
        <w:bidi w:val="0"/>
        <w:spacing w:before="0" w:after="0"/>
        <w:jc w:val="both"/>
        <w:rPr/>
      </w:pPr>
      <w:r>
        <w:rPr/>
      </w:r>
    </w:p>
    <w:tbl>
      <w:tblPr>
        <w:tblW w:w="7232" w:type="dxa"/>
        <w:jc w:val="left"/>
        <w:tblInd w:w="0" w:type="dxa"/>
        <w:tblLayout w:type="fixed"/>
        <w:tblCellMar>
          <w:top w:w="28" w:type="dxa"/>
          <w:left w:w="28" w:type="dxa"/>
          <w:bottom w:w="28" w:type="dxa"/>
          <w:right w:w="28" w:type="dxa"/>
        </w:tblCellMar>
      </w:tblPr>
      <w:tblGrid>
        <w:gridCol w:w="738"/>
        <w:gridCol w:w="650"/>
        <w:gridCol w:w="652"/>
        <w:gridCol w:w="109"/>
        <w:gridCol w:w="109"/>
        <w:gridCol w:w="232"/>
        <w:gridCol w:w="232"/>
        <w:gridCol w:w="481"/>
        <w:gridCol w:w="1761"/>
        <w:gridCol w:w="232"/>
        <w:gridCol w:w="109"/>
        <w:gridCol w:w="109"/>
        <w:gridCol w:w="109"/>
        <w:gridCol w:w="320"/>
        <w:gridCol w:w="1171"/>
        <w:gridCol w:w="21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2036"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60,473 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51,036 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60,611 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53,500 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60,542 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52,268 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Capital Solutions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Investments in Alternative Platforms - AUM/AUA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Within the Alternatives platform, assets consist of assets managed by TIG Arbitrage (AUM $1.6 billion and $1.7 billion as of March 31, 2025 and December 31, 2024, respectively), and the External Strategic Managers (AUA $5.0 billion and $5.1 billion as of March 31, 2025 and December 31, 2024, respectively).</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tables below present the change in our total AUM/AUA by strategy and product for our alternatives platform for the three months ended March 31, 2025 and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500"/>
        <w:gridCol w:w="400"/>
        <w:gridCol w:w="403"/>
        <w:gridCol w:w="281"/>
        <w:gridCol w:w="797"/>
        <w:gridCol w:w="156"/>
        <w:gridCol w:w="351"/>
        <w:gridCol w:w="620"/>
        <w:gridCol w:w="196"/>
        <w:gridCol w:w="288"/>
        <w:gridCol w:w="599"/>
        <w:gridCol w:w="162"/>
        <w:gridCol w:w="287"/>
        <w:gridCol w:w="618"/>
        <w:gridCol w:w="161"/>
        <w:gridCol w:w="274"/>
        <w:gridCol w:w="609"/>
        <w:gridCol w:w="153"/>
        <w:gridCol w:w="311"/>
        <w:gridCol w:w="550"/>
        <w:gridCol w:w="175"/>
        <w:gridCol w:w="278"/>
        <w:gridCol w:w="790"/>
        <w:gridCol w:w="154"/>
        <w:gridCol w:w="234"/>
        <w:gridCol w:w="664"/>
        <w:gridCol w:w="194"/>
      </w:tblGrid>
      <w:tr>
        <w:trPr/>
        <w:tc>
          <w:tcPr>
            <w:tcW w:w="5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January 1, 2025</w:t>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Appreciation</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March 31, 2025</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AUM/AUA</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TIG Arbitrage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Real Estate Bridge Lending Strategy</w:t>
            </w:r>
            <w:r>
              <w:rPr>
                <w:color w:val="000000"/>
              </w:rPr>
              <w:t xml:space="preserve"> </w:t>
            </w:r>
            <w:r>
              <w:rPr>
                <w:rFonts w:ascii="Times New Roman;sans-serif" w:hAnsi="Times New Roman;sans-serif"/>
                <w:b/>
                <w:color w:val="000000"/>
                <w:sz w:val="10"/>
              </w:rPr>
              <w:t>(1)</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European Equities</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 Credit and Special Situation</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 Subtotal</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0"/>
        <w:gridCol w:w="400"/>
        <w:gridCol w:w="403"/>
        <w:gridCol w:w="281"/>
        <w:gridCol w:w="797"/>
        <w:gridCol w:w="156"/>
        <w:gridCol w:w="351"/>
        <w:gridCol w:w="620"/>
        <w:gridCol w:w="196"/>
        <w:gridCol w:w="288"/>
        <w:gridCol w:w="599"/>
        <w:gridCol w:w="162"/>
        <w:gridCol w:w="287"/>
        <w:gridCol w:w="618"/>
        <w:gridCol w:w="161"/>
        <w:gridCol w:w="274"/>
        <w:gridCol w:w="609"/>
        <w:gridCol w:w="153"/>
        <w:gridCol w:w="311"/>
        <w:gridCol w:w="550"/>
        <w:gridCol w:w="175"/>
        <w:gridCol w:w="278"/>
        <w:gridCol w:w="790"/>
        <w:gridCol w:w="154"/>
        <w:gridCol w:w="234"/>
        <w:gridCol w:w="664"/>
        <w:gridCol w:w="194"/>
      </w:tblGrid>
      <w:tr>
        <w:trPr/>
        <w:tc>
          <w:tcPr>
            <w:tcW w:w="5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January 1, 2024</w:t>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Appreciation</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March 31, 2024</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AUM/AUA</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TIG Arbitrage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Real Estate Bridge Lending Strategy</w:t>
            </w:r>
            <w:r>
              <w:rPr>
                <w:color w:val="000000"/>
              </w:rPr>
              <w:t xml:space="preserve"> </w:t>
            </w:r>
            <w:r>
              <w:rPr>
                <w:rFonts w:ascii="Times New Roman;sans-serif" w:hAnsi="Times New Roman;sans-serif"/>
                <w:b/>
                <w:color w:val="000000"/>
                <w:sz w:val="10"/>
              </w:rPr>
              <w:t>(1)</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European Equities</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 Credit and Special Situation</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 Subtotal</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International Real Estate - AUM/AUA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International Real Estate AUM/AUA includes the following:</w:t>
      </w:r>
    </w:p>
    <w:p>
      <w:pPr>
        <w:pStyle w:val="TextBody"/>
        <w:bidi w:val="0"/>
        <w:spacing w:lineRule="auto" w:line="288" w:before="200" w:after="283"/>
        <w:ind w:left="0" w:right="0" w:hanging="360"/>
        <w:jc w:val="both"/>
        <w:rPr/>
      </w:pPr>
      <w:r>
        <w:rPr>
          <w:color w:val="231F20"/>
        </w:rPr>
        <w:t>•</w:t>
      </w:r>
      <w:r>
        <w:rPr>
          <w:rFonts w:ascii="Times New Roman;sans-serif" w:hAnsi="Times New Roman;sans-serif"/>
          <w:b w:val="false"/>
          <w:color w:val="000000"/>
          <w:sz w:val="22"/>
        </w:rPr>
        <w:t>Co-investment real estate advisory services, where we include the value of our private market direct and co-investment real estate investments (AUA $8.4 billion and $8.1 billion as of March 31, 2025 and December 31, 2024, respectively); and</w:t>
      </w:r>
    </w:p>
    <w:p>
      <w:pPr>
        <w:pStyle w:val="TextBody"/>
        <w:bidi w:val="0"/>
        <w:spacing w:lineRule="auto" w:line="288" w:before="200" w:after="283"/>
        <w:ind w:left="0" w:right="0" w:hanging="360"/>
        <w:jc w:val="both"/>
        <w:rPr/>
      </w:pPr>
      <w:r>
        <w:rPr>
          <w:color w:val="231F20"/>
        </w:rPr>
        <w:t>•</w:t>
      </w:r>
      <w:r>
        <w:rPr>
          <w:rFonts w:ascii="Times New Roman;sans-serif" w:hAnsi="Times New Roman;sans-serif"/>
          <w:b w:val="false"/>
          <w:color w:val="000000"/>
          <w:sz w:val="22"/>
        </w:rPr>
        <w:t>Assets managed in a private real estate investment fund (AUM $0.3 billion and $0.3 billion as of March 31, 2025 and December 31, 2024, respectively) from which we generate fee revenue. The Company’s reported value of these assets is either the net asset value or the market capitalization of the fund.</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presents the change in our total AUM/AUA for our Real Estate - Private Funds for our International Real Estate segment for the periods indicated: </w:t>
      </w:r>
    </w:p>
    <w:tbl>
      <w:tblPr>
        <w:tblW w:w="7082" w:type="dxa"/>
        <w:jc w:val="left"/>
        <w:tblInd w:w="0" w:type="dxa"/>
        <w:tblLayout w:type="fixed"/>
        <w:tblCellMar>
          <w:top w:w="28" w:type="dxa"/>
          <w:left w:w="28" w:type="dxa"/>
          <w:bottom w:w="28" w:type="dxa"/>
          <w:right w:w="28" w:type="dxa"/>
        </w:tblCellMar>
      </w:tblPr>
      <w:tblGrid>
        <w:gridCol w:w="764"/>
        <w:gridCol w:w="672"/>
        <w:gridCol w:w="679"/>
        <w:gridCol w:w="109"/>
        <w:gridCol w:w="109"/>
        <w:gridCol w:w="254"/>
        <w:gridCol w:w="254"/>
        <w:gridCol w:w="527"/>
        <w:gridCol w:w="1649"/>
        <w:gridCol w:w="254"/>
        <w:gridCol w:w="109"/>
        <w:gridCol w:w="109"/>
        <w:gridCol w:w="109"/>
        <w:gridCol w:w="278"/>
        <w:gridCol w:w="1017"/>
        <w:gridCol w:w="189"/>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8,396 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12,720 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8,725 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9,973 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8,561 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11,347 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 AUA is reported with a one quarter lag for HLIF as management fees are billed on that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Components of Consolidated Results of Income</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Distributions from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recurring management fees and non-recurring incentive fees based on performance of the underlying investments.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brokerage fees which are similar to arrangement fees except that they are generally paid for assisting public companies in raising capital.</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200" w:after="283"/>
        <w:jc w:val="both"/>
        <w:rPr/>
      </w:pPr>
      <w:r>
        <w:rPr>
          <w:rFonts w:ascii="Times New Roman;sans-serif" w:hAnsi="Times New Roman;sans-serif"/>
          <w:b w:val="false"/>
          <w:i/>
          <w:color w:val="000000"/>
          <w:sz w:val="22"/>
        </w:rPr>
        <w:t xml:space="preserve">Compensation and Employee Benefits: </w:t>
      </w:r>
      <w:r>
        <w:rPr>
          <w:rFonts w:ascii="Times New Roman;sans-serif" w:hAnsi="Times New Roman;sans-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200" w:after="283"/>
        <w:jc w:val="both"/>
        <w:rPr/>
      </w:pPr>
      <w:r>
        <w:rPr>
          <w:rFonts w:ascii="Times New Roman;sans-serif" w:hAnsi="Times New Roman;sans-serif"/>
          <w:b w:val="false"/>
          <w:i/>
          <w:color w:val="000000"/>
          <w:sz w:val="22"/>
        </w:rPr>
        <w:t xml:space="preserve">General, Administrative and Other Expenses: </w:t>
      </w:r>
      <w:r>
        <w:rPr>
          <w:rFonts w:ascii="Times New Roman;sans-serif" w:hAnsi="Times New Roman;sans-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200" w:after="283"/>
        <w:jc w:val="both"/>
        <w:rPr/>
      </w:pPr>
      <w:r>
        <w:rPr>
          <w:rFonts w:ascii="Times New Roman;sans-serif" w:hAnsi="Times New Roman;sans-serif"/>
          <w:b w:val="false"/>
          <w:i/>
          <w:color w:val="000000"/>
          <w:sz w:val="22"/>
        </w:rPr>
        <w:t xml:space="preserve">Depreciation and Amortization Expenses: </w:t>
      </w:r>
      <w:r>
        <w:rPr>
          <w:rFonts w:ascii="Times New Roman;sans-serif" w:hAnsi="Times New Roman;sans-serif"/>
          <w:b w:val="false"/>
          <w:color w:val="000000"/>
          <w:sz w:val="22"/>
        </w:rPr>
        <w:t>Fixed assets are depreciated or amortized on a straight-line basis, with the corresponding depreciation and amortization expense included within depreciation and amortization in the Company’s Condensed</w:t>
      </w:r>
      <w:r>
        <w:rPr>
          <w:color w:val="000000"/>
        </w:rPr>
        <w:t xml:space="preserve"> </w:t>
      </w:r>
      <w:r>
        <w:rPr>
          <w:rFonts w:ascii="Times New Roman;sans-serif" w:hAnsi="Times New Roman;sans-serif"/>
          <w:b w:val="false"/>
          <w:color w:val="000000"/>
          <w:sz w:val="22"/>
        </w:rPr>
        <w:t>Consolidated Statement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200" w:after="283"/>
        <w:jc w:val="both"/>
        <w:rPr/>
      </w:pPr>
      <w:r>
        <w:rPr>
          <w:rFonts w:ascii="Times New Roman;sans-serif" w:hAnsi="Times New Roman;sans-serif"/>
          <w:b w:val="false"/>
          <w:i/>
          <w:color w:val="000000"/>
          <w:sz w:val="22"/>
        </w:rPr>
        <w:t xml:space="preserve">Interest Expense: </w:t>
      </w:r>
      <w:r>
        <w:rPr>
          <w:rFonts w:ascii="Times New Roman;sans-serif" w:hAnsi="Times New Roman;sans-serif"/>
          <w:b w:val="false"/>
          <w:color w:val="000000"/>
          <w:sz w:val="22"/>
          <w:shd w:fill="FFFFFF" w:val="clear"/>
        </w:rPr>
        <w:t>I</w:t>
      </w:r>
      <w:r>
        <w:rPr>
          <w:rFonts w:ascii="Times New Roman;sans-serif" w:hAnsi="Times New Roman;sans-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200" w:after="283"/>
        <w:jc w:val="both"/>
        <w:rPr/>
      </w:pPr>
      <w:r>
        <w:rPr>
          <w:rFonts w:ascii="Times New Roman;sans-serif" w:hAnsi="Times New Roman;sans-serif"/>
          <w:b w:val="false"/>
          <w:i/>
          <w:color w:val="000000"/>
          <w:sz w:val="22"/>
        </w:rPr>
        <w:t xml:space="preserve">Income Tax Expense: </w:t>
      </w:r>
      <w:r>
        <w:rPr>
          <w:rFonts w:ascii="Times New Roman;sans-serif" w:hAnsi="Times New Roman;sans-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Condensed Consolidated Results of Operations – For the Three Months Ended March 31, 2025 Compared to the Three Months Ended March 31, 2024</w:t>
      </w:r>
    </w:p>
    <w:tbl>
      <w:tblPr>
        <w:tblW w:w="10205" w:type="dxa"/>
        <w:jc w:val="left"/>
        <w:tblInd w:w="0" w:type="dxa"/>
        <w:tblLayout w:type="fixed"/>
        <w:tblCellMar>
          <w:top w:w="28" w:type="dxa"/>
          <w:left w:w="28" w:type="dxa"/>
          <w:bottom w:w="28" w:type="dxa"/>
          <w:right w:w="28" w:type="dxa"/>
        </w:tblCellMar>
      </w:tblPr>
      <w:tblGrid>
        <w:gridCol w:w="1127"/>
        <w:gridCol w:w="851"/>
        <w:gridCol w:w="843"/>
        <w:gridCol w:w="272"/>
        <w:gridCol w:w="932"/>
        <w:gridCol w:w="140"/>
        <w:gridCol w:w="112"/>
        <w:gridCol w:w="112"/>
        <w:gridCol w:w="112"/>
        <w:gridCol w:w="272"/>
        <w:gridCol w:w="932"/>
        <w:gridCol w:w="140"/>
        <w:gridCol w:w="109"/>
        <w:gridCol w:w="109"/>
        <w:gridCol w:w="109"/>
        <w:gridCol w:w="297"/>
        <w:gridCol w:w="1109"/>
        <w:gridCol w:w="153"/>
        <w:gridCol w:w="153"/>
        <w:gridCol w:w="153"/>
        <w:gridCol w:w="153"/>
        <w:gridCol w:w="109"/>
        <w:gridCol w:w="109"/>
        <w:gridCol w:w="109"/>
        <w:gridCol w:w="109"/>
        <w:gridCol w:w="109"/>
        <w:gridCol w:w="109"/>
        <w:gridCol w:w="109"/>
        <w:gridCol w:w="109"/>
        <w:gridCol w:w="109"/>
        <w:gridCol w:w="109"/>
        <w:gridCol w:w="109"/>
        <w:gridCol w:w="109"/>
        <w:gridCol w:w="109"/>
        <w:gridCol w:w="109"/>
        <w:gridCol w:w="109"/>
        <w:gridCol w:w="109"/>
        <w:gridCol w:w="109"/>
        <w:gridCol w:w="162"/>
      </w:tblGrid>
      <w:tr>
        <w:trPr/>
        <w:tc>
          <w:tcPr>
            <w:tcW w:w="112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taxes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(expense)/benefit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Management / advisory fees. </w:t>
      </w:r>
      <w:r>
        <w:rPr>
          <w:rFonts w:ascii="Times New Roman;sans-serif" w:hAnsi="Times New Roman;sans-serif"/>
          <w:b w:val="false"/>
          <w:color w:val="000000"/>
          <w:sz w:val="22"/>
        </w:rPr>
        <w:t xml:space="preserve">Management and advisory fees for the three months ended March 31, 2025, decreased by $0.6 million compared to the three months ended March 31, 2024. Fees were relatively flat driven by higher fees in in our US Wealth Management sector, primarily due to the inclusion of EEA and Envoi in our results. These gains were partially offset by lower management fees in the TIG Arbitrage strategy due to fund outflows, in the international wealth management sector due to the disposition of its FOS strategy, and in International Real Estate, due to the disposition of LRA.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Incentive fees. F</w:t>
      </w:r>
      <w:r>
        <w:rPr>
          <w:rFonts w:ascii="Times New Roman;sans-serif" w:hAnsi="Times New Roman;sans-serif"/>
          <w:b w:val="false"/>
          <w:color w:val="000000"/>
          <w:sz w:val="22"/>
        </w:rPr>
        <w:t>or the three months ended March 31, 2025, incentive fees decreased by $0.1 million compared to the three months ended March 31, 2024. This decline is primarily attributable to lower performance in the TIG Arbitrage strategy within Wealth &amp; Capital Solutions for the current year, which led to higher crystallized incentive fees in the prior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Distributions from investments. </w:t>
      </w:r>
      <w:r>
        <w:rPr>
          <w:rFonts w:ascii="Times New Roman;sans-serif" w:hAnsi="Times New Roman;sans-serif"/>
          <w:b w:val="false"/>
          <w:color w:val="000000"/>
          <w:sz w:val="22"/>
        </w:rPr>
        <w:t>Distributions from investments for the three months ended March 31, 2025 increased by $8.0 million compared to the three months ended March 31, 2024. This increase was primarily due to higher distributions related to incentive fees in the European Equities and Asian Credit and Special Situation strategies within Wealth &amp; Capital Solutions in the current period resulting from stronger performance in both of these strategies compared to the prior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Other fees / income. </w:t>
      </w:r>
      <w:r>
        <w:rPr>
          <w:rFonts w:ascii="Times New Roman;sans-serif" w:hAnsi="Times New Roman;sans-serif"/>
          <w:b w:val="false"/>
          <w:color w:val="000000"/>
          <w:sz w:val="22"/>
        </w:rPr>
        <w:t>Other fees and income for the three months ended March 31, 2025 decreased by $0.2 million compared to the three months ended March 31, 2024. This decrease was primarily driven by lower transactional income in Wealth and Capital Solutions, as we are in the process of exiting businesses that generate such fees, which generated $6.0 thousand in fees for the three months ended March 31, 2025, compared to $0.2 million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Compensation expense. </w:t>
      </w:r>
      <w:r>
        <w:rPr>
          <w:rFonts w:ascii="Times New Roman;sans-serif" w:hAnsi="Times New Roman;sans-serif"/>
          <w:b w:val="false"/>
          <w:color w:val="000000"/>
          <w:sz w:val="22"/>
        </w:rPr>
        <w:t xml:space="preserve">Compensation expense for the three months ended March 31, 2025 increased by $2.7 million compared to the three months ended March 31, 2024. This increase was primarily due to higher compensation costs tied to acquisition-related earn-outs and to organizational streamlining initiatives that continue to be undertaken in 2025.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Non-compensation expense. </w:t>
      </w:r>
      <w:r>
        <w:rPr>
          <w:rFonts w:ascii="Times New Roman;sans-serif" w:hAnsi="Times New Roman;sans-serif"/>
          <w:b w:val="false"/>
          <w:color w:val="000000"/>
          <w:sz w:val="22"/>
        </w:rPr>
        <w:t xml:space="preserve">Non-compensation expenses for the three months ended March 31, 2025 increased by $3.3 million as compared to the three months ended March 31, 2024, primarily driven by a $1.2 million increase in systems, technology and telephone costs, and a $1.8 million increase in depreciation costs due to the increase in leasehold improvements at the Company’s corporate headquarter.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Other income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income (expenses) for the three months ended March 31, 2025 decreased by $(28.1) million compared to the three months ended March 31, 2024, primarily driven by the change in fair value of earn-out liabilities as a result of share price changes and forecasted performance. During the three months ended March 31, 2025, Gain (loss) on earn-out liabilities of $12.6 million was recognized as compared to a Gain (loss) on earn-out liabilities of $39.5 million for the three months ended March 31, 2024.</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Taxes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effective tax rate was 35.9% for the three months ended March 31, 2025 compared to 1.6% for three months ended March 31, 2024. The difference in effective tax rate for the year ended March 31, 2024 was primarily driven by the tax impact of mark-to-market losses associated with contingent liabilities, equity consideration in the Business Combination, and nondeductible professional fees incurred in connection with the Business Combination. The effective tax rate for the three months ended March 31, 2025 differed from the statutory U.S. corporate tax rate primarily due to the impact of valuation allowance with respect to deferred tax assets generated in the Company’s subsidiaries in the U.K. and in the Company’s investment in subsidiary, certain gains recognized on contingent liabilities for which no tax liability is recognized, and state and local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During the fourth quarter ended December 31 2024, the Company repaid its debt outstanding under the bank credit facility (see Note 14 (Debt, net of unamortized deferred financing costs) to our condensed</w:t>
      </w:r>
      <w:r>
        <w:rPr>
          <w:color w:val="000000"/>
        </w:rPr>
        <w:t xml:space="preserve"> </w:t>
      </w:r>
      <w:r>
        <w:rPr>
          <w:rFonts w:ascii="Times New Roman;sans-serif" w:hAnsi="Times New Roman;sans-serif"/>
          <w:b w:val="false"/>
          <w:color w:val="000000"/>
          <w:sz w:val="22"/>
        </w:rPr>
        <w:t>consolidated financial statements included in this Quarterly Report) with the proceeds raised from the Allianz Transaction and the Constellation Transaction (see Note 1 (Description of the Business) to our condensed</w:t>
      </w:r>
      <w:r>
        <w:rPr>
          <w:color w:val="000000"/>
        </w:rPr>
        <w:t xml:space="preserve"> </w:t>
      </w:r>
      <w:r>
        <w:rPr>
          <w:rFonts w:ascii="Times New Roman;sans-serif" w:hAnsi="Times New Roman;sans-serif"/>
          <w:b w:val="false"/>
          <w:color w:val="000000"/>
          <w:sz w:val="22"/>
        </w:rPr>
        <w:t xml:space="preserve">consolidated financial statements included in this Quarterly Report). On January 3, 2023, concurrent with the consummation of the Business Combination, the Company had entered into a $250.0 million credit facility with a syndicate led by BMO Capital Markets Corp. The facility, which had a term of five years and was comprised of a $150.0 million revolving credit facility and a $100.0 million term loan facility, was to be used to pay down subsidiary debt and fund growth initiatives.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Allianz and Constellation 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March 31, 2025, none of the Allianz Warrants have been exercised.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Consummation of the Allianz Transaction closed as of July 31, 2024. Refer to Note 1 (Description of the Business) in our accompanying condensed</w:t>
      </w:r>
      <w:r>
        <w:rPr>
          <w:color w:val="000000"/>
        </w:rPr>
        <w:t xml:space="preserve"> </w:t>
      </w:r>
      <w:r>
        <w:rPr>
          <w:rFonts w:ascii="Times New Roman;sans-serif" w:hAnsi="Times New Roman;sans-serif"/>
          <w:b w:val="false"/>
          <w:color w:val="000000"/>
          <w:sz w:val="22"/>
        </w:rPr>
        <w:t>consolidated financial statements for additional details.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March 31, 2025, none of the Constellation Warrants have been exercised.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For the Three Months Ended March 31, 2025 Compared to the Three Months Ended March 31, 2024</w:t>
      </w:r>
    </w:p>
    <w:p>
      <w:pPr>
        <w:pStyle w:val="TextBody"/>
        <w:bidi w:val="0"/>
        <w:spacing w:lineRule="auto" w:line="288" w:before="200" w:after="283"/>
        <w:jc w:val="both"/>
        <w:rPr/>
      </w:pPr>
      <w:r>
        <w:rPr>
          <w:rFonts w:ascii="Times New Roman;sans-serif" w:hAnsi="Times New Roman;sans-serif"/>
          <w:b w:val="false"/>
          <w:color w:val="000000"/>
          <w:sz w:val="22"/>
        </w:rPr>
        <w:t>The following tables and discussion summarize our Condensed</w:t>
      </w:r>
      <w:r>
        <w:rPr>
          <w:color w:val="000000"/>
        </w:rPr>
        <w:t xml:space="preserve"> </w:t>
      </w:r>
      <w:r>
        <w:rPr>
          <w:rFonts w:ascii="Times New Roman;sans-serif" w:hAnsi="Times New Roman;sans-serif"/>
          <w:b w:val="false"/>
          <w:color w:val="000000"/>
          <w:sz w:val="22"/>
        </w:rPr>
        <w:t>Consolidated Statement of Cash Flows by activity attributable to AlTi for the periods indicated.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541"/>
        <w:gridCol w:w="1349"/>
        <w:gridCol w:w="1361"/>
        <w:gridCol w:w="270"/>
        <w:gridCol w:w="1021"/>
        <w:gridCol w:w="139"/>
        <w:gridCol w:w="109"/>
        <w:gridCol w:w="109"/>
        <w:gridCol w:w="109"/>
        <w:gridCol w:w="263"/>
        <w:gridCol w:w="1033"/>
        <w:gridCol w:w="136"/>
        <w:gridCol w:w="109"/>
        <w:gridCol w:w="109"/>
        <w:gridCol w:w="109"/>
        <w:gridCol w:w="374"/>
        <w:gridCol w:w="1601"/>
        <w:gridCol w:w="193"/>
        <w:gridCol w:w="109"/>
        <w:gridCol w:w="161"/>
      </w:tblGrid>
      <w:tr>
        <w:trPr/>
        <w:tc>
          <w:tcPr>
            <w:tcW w:w="15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270" w:type="dxa"/>
            <w:gridSpan w:val="2"/>
            <w:tcBorders/>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balances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(12,654)</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(132,035)</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decreased by $12.7 million during the three months ended March 31, 2025 primarily due to the Company’s net operating activities during the period, partially offset by the Company’s net investing activities during the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professional fees, and interest on our debt obligations. Our net operating cash outflow of $30.2 million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March 31, 2025, was primarily driven by decreases in Accrued compensation and profit sharing in addition to Accounts payable and accrued expenses of $23.4 million and $8.3 million, respectively. Management believes that continued efforts to implement cost rationalization initiatives and to deploy recently raised capital in accretive businesses will further reduce operating cash outflows as the Company scales and matures.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net operating cash outflow of $15.5 million for the three months ended March 31, 2024, was primarily driven by the decrease in Accrued compensation and profit sharing of $27.4 million and the level of professional fees and resulting decrease in Accounts payable and accrued expenses of $5.2 million, which were elevated during that period due to the high usage of professional services firms in connection with capital raising and other financing activities and related to supporting the Company’s evolving financial reporting infrastructure.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cash provided by investing activities of $19.9 million during the three months ended March 31, 2025, was driven primarily by the proceeds received of $20.4 million from the sale of an equity method investment.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cash provided by investing activities of $31.0 million during the three months ended March 31, 2024, primarily related to proceeds received of $32.2 million from the sale of LXi.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Net cash used in financing activities of $2.8 million during the three months ended March 31, 2025, primarily resulted from the repurchase of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Net cash provided by financing activities of $104.1 million for the three months ended March 31, 2024, primarily were driven by the issuance of preferred equity and warrants to Constellation Wealth Capital of $113.6 million, net of transaction costs paid.</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For the Three Months Ended March 31, 2025 Compared to the Three Months Ended December 31, 2024</w:t>
      </w:r>
    </w:p>
    <w:p>
      <w:pPr>
        <w:pStyle w:val="TextBody"/>
        <w:bidi w:val="0"/>
        <w:spacing w:lineRule="auto" w:line="288" w:before="200" w:after="283"/>
        <w:jc w:val="both"/>
        <w:rPr/>
      </w:pPr>
      <w:r>
        <w:rPr>
          <w:rFonts w:ascii="Times New Roman;sans-serif" w:hAnsi="Times New Roman;sans-serif"/>
          <w:b w:val="false"/>
          <w:color w:val="000000"/>
          <w:sz w:val="22"/>
        </w:rPr>
        <w:t>The following tables and discussion summarize our Condensed</w:t>
      </w:r>
      <w:r>
        <w:rPr>
          <w:color w:val="000000"/>
        </w:rPr>
        <w:t xml:space="preserve"> </w:t>
      </w:r>
      <w:r>
        <w:rPr>
          <w:rFonts w:ascii="Times New Roman;sans-serif" w:hAnsi="Times New Roman;sans-serif"/>
          <w:b w:val="false"/>
          <w:color w:val="000000"/>
          <w:sz w:val="22"/>
        </w:rPr>
        <w:t>Consolidated Statement of Cash Flows by activity attributable to AlTi for the periods indicated.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484"/>
        <w:gridCol w:w="1290"/>
        <w:gridCol w:w="1302"/>
        <w:gridCol w:w="267"/>
        <w:gridCol w:w="1005"/>
        <w:gridCol w:w="137"/>
        <w:gridCol w:w="109"/>
        <w:gridCol w:w="109"/>
        <w:gridCol w:w="109"/>
        <w:gridCol w:w="291"/>
        <w:gridCol w:w="1240"/>
        <w:gridCol w:w="150"/>
        <w:gridCol w:w="109"/>
        <w:gridCol w:w="109"/>
        <w:gridCol w:w="109"/>
        <w:gridCol w:w="389"/>
        <w:gridCol w:w="1525"/>
        <w:gridCol w:w="202"/>
        <w:gridCol w:w="109"/>
        <w:gridCol w:w="160"/>
      </w:tblGrid>
      <w:tr>
        <w:trPr/>
        <w:tc>
          <w:tcPr>
            <w:tcW w:w="14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269" w:type="dxa"/>
            <w:gridSpan w:val="2"/>
            <w:tcBorders/>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balances</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(156,643)</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143,989 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decreased by $12.7 million during the three months ended March 31, 2025 primarily due to the Company’s net operating activities during the period, partially offset by the Company’s net investing activities during the period.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professional fees, and interest on our debt obligations. Our net operating cash outflow of $30.2 million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March 31, 2025, primarily driven by decreases in Accrued compensation and profit sharing and Accounts payable and accrued expenses of $23.4 million and $8.3 million, respectively. Management believes that continued efforts to implement cost rationalization initiatives and to deploy recently raised capital in accretive businesses will further reduce operating cash outflows as the Company scales and matures.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net operating cash outflow of $0.1 million for the three months ended December 31, 2024, primarily reflects the Company’s net operating loss for the three months ended, as operating expenses exceeded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cash provided by investing activities of $19.9 million during the three months ended March 31, 2025, was driven primarily by the proceeds received of $20.4 million from the sale of an equity method investment.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cash used in investing activities of $22.2 million during the three months ended December 31, 2024, primarily related to the deployment of approximately $20.3 million of capital related to the acquisition of an equity method investment.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Net cash used in financing activities of $2.8 million during the three months ended March 31, 2025, resulted from the repurchase of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Net cash used in financing activities of $132.5 million for the three months ended December 31, 2024, primarily relates to the net pay down of $131.2 million of our credit facility.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may engage in off-balance sheet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Contractual Obligations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Tax Receivable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As discussed in Note 19 (Commitments and Contingencies) to our condensed</w:t>
      </w:r>
      <w:r>
        <w:rPr>
          <w:color w:val="000000"/>
        </w:rPr>
        <w:t xml:space="preserve"> </w:t>
      </w:r>
      <w:r>
        <w:rPr>
          <w:rFonts w:ascii="Times New Roman;sans-serif" w:hAnsi="Times New Roman;sans-serif"/>
          <w:b w:val="false"/>
          <w:color w:val="000000"/>
          <w:sz w:val="22"/>
        </w:rPr>
        <w:t xml:space="preserve">consolidated financial statements included in this Quarterly Report, we may in the future be required to make payments under the TRA.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2025 and December 31, 2024, the liability associated with the TRA was approximately $29.6 million and $28.8 million, respectively. Payments under the TRA that are on account of liabilities arising in connection with the Business Combination will be revalued at the end of each reporting period with the gain or loss recognized in earnings. As of March 31, 2025 and December 31, 2024, the Company carried $9.1 million and $9.4 million, respectively, of its TRA liability at fair value, as it is contingent consideration from the Business Combination. The remaining portion of the TRA liability is carried at a value equal to the expected future payments under the TRA.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jc w:val="both"/>
        <w:rPr/>
      </w:pPr>
      <w:r>
        <w:rPr>
          <w:rFonts w:ascii="Times New Roman;sans-serif" w:hAnsi="Times New Roman;sans-serif"/>
          <w:b w:val="false"/>
          <w:color w:val="000000"/>
          <w:sz w:val="22"/>
        </w:rPr>
        <w:t xml:space="preserve">As of March 31, 2025, </w:t>
      </w:r>
      <w:r>
        <w:rPr>
          <w:rFonts w:ascii="Times New Roman;sans-serif" w:hAnsi="Times New Roman;sans-serif"/>
          <w:b w:val="false"/>
          <w:color w:val="000000"/>
          <w:sz w:val="22"/>
          <w:shd w:fill="FFFFFF" w:val="clear"/>
        </w:rPr>
        <w:t xml:space="preserve">holders of Class B Units have exchanged a total of </w:t>
      </w:r>
      <w:r>
        <w:rPr>
          <w:rFonts w:ascii="Times New Roman;sans-serif" w:hAnsi="Times New Roman;sans-serif"/>
          <w:b w:val="false"/>
          <w:color w:val="000000"/>
          <w:sz w:val="22"/>
        </w:rPr>
        <w:t xml:space="preserve">9,922,737 Class B </w:t>
      </w:r>
      <w:r>
        <w:rPr>
          <w:rFonts w:ascii="Times New Roman;sans-serif" w:hAnsi="Times New Roman;sans-serif"/>
          <w:b w:val="false"/>
          <w:color w:val="000000"/>
          <w:sz w:val="22"/>
          <w:shd w:fill="FFFFFF" w:val="clear"/>
        </w:rPr>
        <w:t xml:space="preserve">Paired Interests with the Company, for shares of Class A Common Stock on a 1:1 basis totaling an amount equal to the weighted average price of </w:t>
      </w:r>
      <w:r>
        <w:rPr>
          <w:rFonts w:ascii="Times New Roman;sans-serif" w:hAnsi="Times New Roman;sans-serif"/>
          <w:b w:val="false"/>
          <w:color w:val="000000"/>
          <w:sz w:val="22"/>
        </w:rPr>
        <w:t>$5.79</w:t>
      </w:r>
      <w:r>
        <w:rPr>
          <w:color w:val="000000"/>
          <w:shd w:fill="FFFFFF" w:val="clear"/>
        </w:rPr>
        <w:t xml:space="preserve"> </w:t>
      </w:r>
      <w:r>
        <w:rPr>
          <w:rFonts w:ascii="Times New Roman;sans-serif" w:hAnsi="Times New Roman;sans-serif"/>
          <w:b w:val="false"/>
          <w:color w:val="000000"/>
          <w:sz w:val="22"/>
          <w:shd w:fill="FFFFFF" w:val="clear"/>
        </w:rPr>
        <w:t>multiplied by the total number of shares of Class A Common Stock received at the time of the transactions.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2025, assuming no material changes in the relevant tax laws and that the Company generates sufficient taxable income to realize the full tax benefit of the increased amortization resulting from the increase in tax basis of certain of AlTi’s assets, we expect to pay approximately $29.6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Warrants</w:t>
      </w:r>
    </w:p>
    <w:p>
      <w:pPr>
        <w:pStyle w:val="TextBody"/>
        <w:bidi w:val="0"/>
        <w:spacing w:lineRule="auto" w:line="264"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March 31, 2025, none of the Constellation Warrants have been exercised.</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July 31, 2024, the Company issued the Allianz Warrants to purchase 5,000,000 shares of the Company’s Class A Common Stock. As of March 31, 2025, none of the Allianz Warrants have been exercised.</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Business Combination Earn-out </w:t>
      </w:r>
    </w:p>
    <w:p>
      <w:pPr>
        <w:pStyle w:val="TextBody"/>
        <w:bidi w:val="0"/>
        <w:spacing w:lineRule="auto" w:line="288" w:before="200" w:after="283"/>
        <w:jc w:val="both"/>
        <w:rPr/>
      </w:pPr>
      <w:r>
        <w:rPr>
          <w:rFonts w:ascii="Times New Roman;sans-serif" w:hAnsi="Times New Roman;sans-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March 31, 2025 and December 31, 2024, the fair value of the earn-out share liability was $12.3 million and $23.8 million, respectively, which is included in Earn-out liabilities, at fair value presented on the Condensed</w:t>
      </w:r>
      <w:r>
        <w:rPr>
          <w:color w:val="000000"/>
        </w:rPr>
        <w:t xml:space="preserve"> </w:t>
      </w:r>
      <w:r>
        <w:rPr>
          <w:rFonts w:ascii="Times New Roman;sans-serif" w:hAnsi="Times New Roman;sans-serif"/>
          <w:b w:val="false"/>
          <w:color w:val="000000"/>
          <w:sz w:val="22"/>
        </w:rPr>
        <w:t>Consolidated Statement of Financial Position. See Note 2 (Summary of Significant Accounting Policies) to our condensed</w:t>
      </w:r>
      <w:r>
        <w:rPr>
          <w:color w:val="000000"/>
        </w:rPr>
        <w:t xml:space="preserve"> </w:t>
      </w:r>
      <w:r>
        <w:rPr>
          <w:rFonts w:ascii="Times New Roman;sans-serif" w:hAnsi="Times New Roman;sans-serif"/>
          <w:b w:val="false"/>
          <w:color w:val="000000"/>
          <w:sz w:val="22"/>
        </w:rPr>
        <w:t>consolidated financial statements included in this Quarterly Report for additional detail.</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East End Advisors Contingent Consideration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March 31, 2025 and December 31, 2024, the fair value of the earn-out share liability was $29.5 million and $29.9 million, respectively, which is included in Earn-out liabilities, at fair value presented on the Condensed</w:t>
      </w:r>
      <w:r>
        <w:rPr>
          <w:color w:val="000000"/>
        </w:rPr>
        <w:t xml:space="preserve"> </w:t>
      </w:r>
      <w:r>
        <w:rPr>
          <w:rFonts w:ascii="Times New Roman;sans-serif" w:hAnsi="Times New Roman;sans-serif"/>
          <w:b w:val="false"/>
          <w:color w:val="000000"/>
          <w:sz w:val="22"/>
        </w:rPr>
        <w:t>Consolidated Statement of Financial Position.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Pointwise Deferred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w:t>
      </w:r>
      <w:r>
        <w:rPr>
          <w:color w:val="000000"/>
        </w:rPr>
        <w:t xml:space="preserve"> </w:t>
      </w:r>
      <w:r>
        <w:rPr>
          <w:rFonts w:ascii="Times New Roman;sans-serif" w:hAnsi="Times New Roman;sans-serif"/>
          <w:b w:val="false"/>
          <w:color w:val="000000"/>
          <w:sz w:val="22"/>
        </w:rPr>
        <w:t xml:space="preserve">Consolidated Statement of Financial Position. The deferred consideration was paid during the three months ended March 31, 2025, in cash and equity totaling $3.0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Envoi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March 31, 2025 and December 31, 2024, the Envoi earn-out consideration liability of $9.3 million and $9.6 million, respectively, and the Envoi earn-out growth consideration liability of $1.3 million and $1.3 million, respectively, are included in Earn-out liabilities, at fair value presented on the Condensed</w:t>
      </w:r>
      <w:r>
        <w:rPr>
          <w:color w:val="000000"/>
        </w:rPr>
        <w:t xml:space="preserve"> </w:t>
      </w:r>
      <w:r>
        <w:rPr>
          <w:rFonts w:ascii="Times New Roman;sans-serif" w:hAnsi="Times New Roman;sans-serif"/>
          <w:b w:val="false"/>
          <w:color w:val="000000"/>
          <w:sz w:val="22"/>
        </w:rPr>
        <w:t>Consolidated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bidi w:val="0"/>
        <w:spacing w:lineRule="auto" w:line="288" w:before="200" w:after="283"/>
        <w:jc w:val="both"/>
        <w:rPr/>
      </w:pPr>
      <w:r>
        <w:rPr>
          <w:rFonts w:ascii="Times New Roman;sans-serif" w:hAnsi="Times New Roman;sans-serif"/>
          <w:b w:val="false"/>
          <w:color w:val="000000"/>
          <w:sz w:val="22"/>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w:t>
      </w:r>
      <w:r>
        <w:rPr>
          <w:color w:val="000000"/>
        </w:rPr>
        <w:t xml:space="preserve"> </w:t>
      </w:r>
      <w:r>
        <w:rPr>
          <w:rFonts w:ascii="Times New Roman;sans-serif" w:hAnsi="Times New Roman;sans-serif"/>
          <w:b w:val="false"/>
          <w:color w:val="000000"/>
          <w:sz w:val="22"/>
        </w:rPr>
        <w:t xml:space="preserve">Consolidated Statement of Financial Position. As of March 31, 2025, the Company has not had prior claims or losses pursuant to these contracts and expects the risk of material loss to be remote.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200" w:after="283"/>
        <w:jc w:val="both"/>
        <w:rPr/>
      </w:pPr>
      <w:r>
        <w:rPr>
          <w:rFonts w:ascii="Times New Roman;sans-serif" w:hAnsi="Times New Roman;sans-serif"/>
          <w:b w:val="false"/>
          <w:color w:val="000000"/>
          <w:sz w:val="22"/>
        </w:rPr>
        <w:t>We prepare our condensed</w:t>
      </w:r>
      <w:r>
        <w:rPr>
          <w:color w:val="000000"/>
        </w:rPr>
        <w:t xml:space="preserve"> </w:t>
      </w:r>
      <w:r>
        <w:rPr>
          <w:rFonts w:ascii="Times New Roman;sans-serif" w:hAnsi="Times New Roman;sans-serif"/>
          <w:b w:val="false"/>
          <w:color w:val="000000"/>
          <w:sz w:val="22"/>
        </w:rPr>
        <w:t>consolidated financial statements in accordance with US GAAP. In applying many of these accounting principles, we need to make assumptions, estimates, and/or judgments that affect the reported amounts of assets, liabilities, revenues, and expenses in our condensed</w:t>
      </w:r>
      <w:r>
        <w:rPr>
          <w:color w:val="000000"/>
        </w:rPr>
        <w:t xml:space="preserve"> </w:t>
      </w:r>
      <w:r>
        <w:rPr>
          <w:rFonts w:ascii="Times New Roman;sans-serif" w:hAnsi="Times New Roman;sans-serif"/>
          <w:b w:val="false"/>
          <w:color w:val="000000"/>
          <w:sz w:val="22"/>
        </w:rPr>
        <w:t>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ans-serif" w:hAnsi="Times New Roman;sans-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condensed</w:t>
      </w:r>
      <w:r>
        <w:rPr>
          <w:color w:val="000000"/>
        </w:rPr>
        <w:t xml:space="preserve"> </w:t>
      </w:r>
      <w:r>
        <w:rPr>
          <w:rFonts w:ascii="Times New Roman;sans-serif" w:hAnsi="Times New Roman;sans-serif"/>
          <w:b w:val="false"/>
          <w:color w:val="000000"/>
          <w:sz w:val="22"/>
        </w:rPr>
        <w:t>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Estimation of Fair Values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at Fair Value – External Strategic Managers:</w:t>
      </w:r>
      <w:r>
        <w:rPr>
          <w:color w:val="000000"/>
        </w:rPr>
        <w:t xml:space="preserve"> </w:t>
      </w:r>
      <w:r>
        <w:rPr>
          <w:rFonts w:ascii="Times New Roman;sans-serif" w:hAnsi="Times New Roman;sans-serif"/>
          <w:b w:val="false"/>
          <w:color w:val="000000"/>
          <w:sz w:val="22"/>
        </w:rPr>
        <w:t xml:space="preserve">The fair values of our Investments in External Strategic Managers were determined using significant unobservable inputs. The assumptions used could have a material impact on the valuation of these assets and include our best estimates of expected future cash flows and an appropriate discount rate. Changes in the estimated fair values of these assets may have a material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results of operations in any given period, as any decreases in these assets have a corresponding negative impact on our GAAP results of operations in the period in which the changes occur.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TRA Liability: </w:t>
      </w:r>
      <w:r>
        <w:rPr>
          <w:rFonts w:ascii="Times New Roman;sans-serif" w:hAnsi="Times New Roman;sans-serif"/>
          <w:b w:val="false"/>
          <w:color w:val="000000"/>
          <w:sz w:val="22"/>
        </w:rPr>
        <w:t>We carry a portion of our TRA liability at fair value, as it is a contingent consideration related to the Business Combination. The 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 </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i/>
          <w:color w:val="000000"/>
          <w:sz w:val="22"/>
        </w:rPr>
        <w:t>Earn-out Liabilities:</w:t>
      </w:r>
      <w:r>
        <w:rPr>
          <w:color w:val="000000"/>
        </w:rPr>
        <w:t xml:space="preserve"> </w:t>
      </w:r>
      <w:r>
        <w:rPr>
          <w:rFonts w:ascii="Times New Roman;sans-serif" w:hAnsi="Times New Roman;sans-serif"/>
          <w:b w:val="false"/>
          <w:color w:val="000000"/>
          <w:sz w:val="22"/>
        </w:rPr>
        <w:t>The fair values of our Business Combination Earn-out Securities liability, our EEA earn-out liability, our Envoi earn-out consideration liability, and our Envoi earn-out growth consideration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Equity-based Compensation: </w:t>
      </w:r>
      <w:r>
        <w:rPr>
          <w:rFonts w:ascii="Times New Roman;sans-serif" w:hAnsi="Times New Roman;sans-serif"/>
          <w:b w:val="false"/>
          <w:color w:val="000000"/>
          <w:sz w:val="22"/>
        </w:rPr>
        <w:t xml:space="preserve">The Company issued stock grants to certain employees as bonus compensation. The fair value of the grants was determined based on the share price on the date of issuance.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of Assets Acquired and Liabilities Assumed in Business Combinations: </w:t>
      </w:r>
      <w:r>
        <w:rPr>
          <w:rFonts w:ascii="Times New Roman;sans-serif" w:hAnsi="Times New Roman;sans-serif"/>
          <w:b w:val="false"/>
          <w:color w:val="000000"/>
          <w:sz w:val="22"/>
        </w:rPr>
        <w:t>The determination of the fair values of assets acquired and liabilities assumed in business 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of Reporting Units for Goodwill Impairment Testing: </w:t>
      </w:r>
      <w:r>
        <w:rPr>
          <w:rFonts w:ascii="Times New Roman;sans-serif" w:hAnsi="Times New Roman;sans-serif"/>
          <w:b w:val="false"/>
          <w:color w:val="000000"/>
          <w:sz w:val="22"/>
        </w:rPr>
        <w:t>In assessing goodwill impairment, we determine the fair value of reporting units using established valuation 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br/>
        <w:b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Fair Value of the Allianz Tranche Right:</w:t>
      </w:r>
      <w:r>
        <w:rPr>
          <w:color w:val="000000"/>
        </w:rPr>
        <w:t xml:space="preserve"> </w:t>
      </w:r>
      <w:r>
        <w:rPr>
          <w:rFonts w:ascii="Times New Roman;sans-serif" w:hAnsi="Times New Roman;sans-serif"/>
          <w:b w:val="false"/>
          <w:color w:val="000000"/>
          <w:sz w:val="22"/>
        </w:rPr>
        <w:t xml:space="preserve">The fair value of the Allianz Tranche Right uses various significant unobservable inputs and is determined by using the binomial lattice model. The assumptions used could have a material impact on the valuation of this liability and include our best estimate of expected volatility, expected holding periods, and appropriate discounts for lack of marketability. Changes in the estimated fair value of this liability may have a material impact on our results of operations in any given period, as any increase in this liability has a corresponding negative impact on our US GAAP results of operations in the period in which the changes occur.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Fair Value of Contingent Consideration Receivable:</w:t>
      </w:r>
      <w:r>
        <w:rPr>
          <w:color w:val="000000"/>
        </w:rPr>
        <w:t xml:space="preserve"> </w:t>
      </w:r>
      <w:r>
        <w:rPr>
          <w:rFonts w:ascii="Times New Roman;sans-serif" w:hAnsi="Times New Roman;sans-serif"/>
          <w:b w:val="false"/>
          <w:color w:val="000000"/>
          <w:sz w:val="22"/>
        </w:rPr>
        <w:t xml:space="preserve">The fair value of contingent consideration receivable uses a Monte Carlo simulation to estimate the future share price of the acquirer of LRA. Any implied contingent consideration is discounted using the risk-free rate and the acquirer’s estimated credit spread. Changes in any assumptions, such as the discount rate or the estimated credit spread may have a material impact on our results of operations in any given period, as any decrease in this receivable may have a corresponding negative impact on our US GAAP results of operations in the period in which the changes occur.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pStyle w:val="TextBody"/>
        <w:bidi w:val="0"/>
        <w:spacing w:lineRule="auto" w:line="288" w:before="200" w:after="283"/>
        <w:jc w:val="both"/>
        <w:rPr/>
      </w:pPr>
      <w:r>
        <w:rPr>
          <w:rFonts w:ascii="Times New Roman;sans-serif" w:hAnsi="Times New Roman;sans-serif"/>
          <w:b w:val="false"/>
          <w:color w:val="000000"/>
          <w:sz w:val="22"/>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Variable Interest Entities</w:t>
      </w:r>
    </w:p>
    <w:p>
      <w:pPr>
        <w:pStyle w:val="TextBody"/>
        <w:bidi w:val="0"/>
        <w:spacing w:lineRule="auto" w:line="288" w:before="200" w:after="283"/>
        <w:jc w:val="both"/>
        <w:rPr/>
      </w:pPr>
      <w:r>
        <w:rPr>
          <w:rFonts w:ascii="Times New Roman;sans-serif" w:hAnsi="Times New Roman;sans-serif"/>
          <w:b w:val="false"/>
          <w:color w:val="000000"/>
          <w:sz w:val="22"/>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judgment when analyzing the status of an entity and whether we consolidate an entity could have a material impact on individual line items within our condensed</w:t>
      </w:r>
      <w:r>
        <w:rPr>
          <w:color w:val="000000"/>
        </w:rPr>
        <w:t xml:space="preserve"> </w:t>
      </w:r>
      <w:r>
        <w:rPr>
          <w:rFonts w:ascii="Times New Roman;sans-serif" w:hAnsi="Times New Roman;sans-serif"/>
          <w:b w:val="false"/>
          <w:color w:val="000000"/>
          <w:sz w:val="22"/>
        </w:rPr>
        <w:t>consolidated financial statements, as a change in our conclusion would have the effect of grossing up the assets, liabilities, revenues and expenses of the entity being evaluated. In light of the relatively insignificant direct and indirect investments into our products, the likelihood of a reasonable change in our estimation and judgment would likely not result in a change in our conclusions to consolidate or not consolidate any VIEs to which we have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Impact of Changes in Accounting on Recent and Future Trends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considered all newly issued accounting guidance that is applicable to its operations and the preparation of its unaudited condensed consolidated statements, including those it has not yet adopted. We believe that none of the changes to US GAAP that went into effect during the three months ended March 31, 2025, or that have been issued but that we have not yet adopted have substantively impacted our recent trends or are expected to substantively impact our future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normal course of business as a wealth management advisor, we are exposed to a broad range of risks inherent in the financial markets in which we participate, including market risk, credit and counterparty risk, liquidity risk, and exchange rate risk.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2"/>
        </w:rPr>
      </w:pPr>
      <w:r>
        <w:rPr>
          <w:rFonts w:ascii="Times New Roman;sans-serif" w:hAnsi="Times New Roman;sans-serif"/>
          <w:b/>
          <w:i/>
          <w:color w:val="000000"/>
          <w:sz w:val="22"/>
        </w:rPr>
        <w:t>Market Risk</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2"/>
        </w:rPr>
      </w:pPr>
      <w:r>
        <w:rPr>
          <w:rFonts w:ascii="Times New Roman;sans-serif" w:hAnsi="Times New Roman;sans-serif"/>
          <w:b/>
          <w:i/>
          <w:color w:val="000000"/>
          <w:sz w:val="22"/>
        </w:rPr>
        <w:t>Credit Risk and Counterparty Risk</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Liquidity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See the disclosures contained in “Management’s Discussion and Analysis of Financial Condition and Results of Operations of AlTi Global, Inc. – Liquidity and Capital Resources” for a discussion of our liquidity risk.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Exchange Rate Risk</w:t>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and our funds hold investments that are denominated in foreign currencies that may be affected by movements in the rate of exchange between those currencies and the U.S. dollar. Movements in the exchange rate between currencies impact the management fees, carried interest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March 31, 2025.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March 31, 2025, our disclosure controls and procedures were not effective due to material weaknesses in internal control over financial reporting, as further described below in 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disclosed in Part II, Item 9A of our Annual Report,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remediation efforts, but as of March 31, 2025, has not completed its efforts to design and implement a testing plan to determine the effectiveness of controls that support our financial statements and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has implemented a remediation plan to address the material weaknesses in our internal control over financial reporting, including, among other things, hiring additional accounting personnel, completing its efforts to design and implement process level and management review controls, and sufficiently documenting and implementing policies to provide reasonable assurance that financial statement disclosures are complete and accurate and identify and address emerging risks.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first quarter of 2025 and the year ended 2024, management has made significant progress in enhancing its internal control over financial reporting, as it prepares to implement effective controls with the objective of remediating all previously identified material weaknesses no later than December 31, 2025. This progress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Management has designed and implemented risk assessment review processes (gap analysis) that are intended to identify risks that could result, if not detected timely, in material misstatements in our consolidated financial statements. Management believes that such review risk assessment processes have been effectively implemented as of December 31,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Management has identified and documented processes supporting the recording of balances and transactions in the Company’s consolidated financial statements and identified and documented controls that are intended to mitigate the risk of material misstatement in account balances and financial statement disclosures. These processes and controls continue to be documented and tested for design and operating effectiveness. The Company completed this exercise during the first fiscal quarter of 2025. The Company intends to begin tests of operating effectiveness of certain controls before the end of the second fiscal quarter of 2025. The Company’s overall objective is that such testing of operating effectiveness of controls will continue throughout 2025 to allow the Company to remediate previously identified material weaknesses in its internal control over financial reporting specifically related to process level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Management has identified and documented information technology controls related to the Company’s general information technology control environment that mitigates risks associated with items including systems development and change management, appropriate access to systems, and management of the Company’s internal financial and third-party customer data. These information technology processes and controls continue to be documented and tested for design effectiveness. The Company intends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complete this exercise by no later than the end of the second fiscal quarter of 2025. The Company intends to begin tests of operating effectiveness of certain information technology controls before the end of the second fiscal quarter of 2025. The Company’s overall objective is that such testing of operating effectiveness of controls will continue throughout 2025 to allow the Company to remediate previously identified material weaknesses in its internal control over financial reporting specifically related to information technology controls.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progress made during the first quarter of 2025 and the year ended 2024 in completing its remediation plan, management believes that the previously identified material weakness related to the lack of sufficiently documented risk assessments has been remediated. The previously identified material weaknesses related to process level controls and information technology controls that support our financial statements and reporting remain as of March 31, 2025 and are expected to remain until such time as management has successfully completed sufficient tests of design and operating effectiveness on these controls to allow it to conclude that such controls are effective and that the material weaknesses have been remediated.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Going forward we expect to incur additional material costs to complete the remediation plan, including costs incurred by our external auditor to assess whether all material weaknesses have been remediated. We can give no assurance that such efforts will remediate these deficiencies in internal control over financial reporting or 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was no change in our internal control over financial reporting that occurred during the three months ended March 31, 2025, covered by this Quarterly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19 (Commitments and Contingencies) there are no material legal or regulatory proceedings currently pending or threatened against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in the risk factors described in Part I, Item 1A “Risk Factors” of our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231F20"/>
          <w:sz w:val="22"/>
        </w:rPr>
      </w:pPr>
      <w:r>
        <w:rPr>
          <w:rFonts w:ascii="Times New Roman;sans-serif" w:hAnsi="Times New Roman;sans-serif"/>
          <w:b w:val="false"/>
          <w:color w:val="231F2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None.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None.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During the quarter ended March 31, 2025, no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7"/>
        <w:gridCol w:w="392"/>
        <w:gridCol w:w="395"/>
        <w:gridCol w:w="2620"/>
        <w:gridCol w:w="2620"/>
        <w:gridCol w:w="3731"/>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alti-033125x10xqexhibit311.htm">
              <w:r>
                <w:rPr>
                  <w:rStyle w:val="InternetLink"/>
                  <w:rFonts w:ascii="Times New Roman;sans-serif" w:hAnsi="Times New Roman;sans-serif"/>
                  <w:b w:val="false"/>
                  <w:color w:val="0000FF"/>
                  <w:sz w:val="22"/>
                  <w:u w:val="single"/>
                </w:rPr>
                <w:t>Certification of Principal Executive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5x10xqexhibit312.htm">
              <w:r>
                <w:rPr>
                  <w:rStyle w:val="InternetLink"/>
                  <w:rFonts w:ascii="Times New Roman;sans-serif" w:hAnsi="Times New Roman;sans-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5x10xqexhibit321.htm">
              <w:r>
                <w:rPr>
                  <w:rStyle w:val="InternetLink"/>
                  <w:rFonts w:ascii="Times New Roman;sans-serif" w:hAnsi="Times New Roman;sans-serif"/>
                  <w:b w:val="false"/>
                  <w:color w:val="0000FF"/>
                  <w:sz w:val="22"/>
                  <w:u w:val="single"/>
                </w:rPr>
                <w:t>Certification of Principal Executive Officer Pursuant to 18 U.S.C. Section 1350, as Adopted Pursuant to Section 906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5x10xqexhibit322.htm">
              <w:r>
                <w:rPr>
                  <w:rStyle w:val="InternetLink"/>
                  <w:rFonts w:ascii="Times New Roman;sans-serif" w:hAnsi="Times New Roman;sans-serif"/>
                  <w:b w:val="false"/>
                  <w:color w:val="0000FF"/>
                  <w:sz w:val="22"/>
                  <w:u w:val="single"/>
                </w:rPr>
                <w:t>Certification of Principal Financial Officer Pursuant to 18 U.S.C. Section 1350, as Adopted Pursuant to Section 906 of the Sarbanes-Oxley Act of 2002.</w:t>
              </w:r>
            </w:hyperlink>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Indicates a management contract or compensatory plan.</w:t>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68" w:before="3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requirements of the Securities Exchange Act of 1934, as amended, the registrant has duly caused this report to be signed on its behalf by the undersigned thereunto duly authorized. </w:t>
      </w:r>
    </w:p>
    <w:tbl>
      <w:tblPr>
        <w:tblW w:w="5430"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984"/>
        <w:gridCol w:w="984"/>
        <w:gridCol w:w="98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Accounting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Michael Tiedemann,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May 12, 2025</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Michael Tiedemann </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Michael Tiedemann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Michael W. Harrington,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May 12, 2025</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W. Harrington</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March 31, 2025, as filed with the Securities and Exchange Commission (the “Report”), I, Michael Tiedemann,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May 12, 2025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Tiedemann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March 31, 2025, as filed with the Securities and Exchange Commission (the “Report”), I, Michael W. Harrington,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Dated: May 12, 2025</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W. Harrington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47400</Words>
  <Characters>265367</Characters>
  <CharactersWithSpaces>310267</CharactersWithSpaces>
  <Paragraphs>4716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