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Cetin Nazim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ALTI GLOBAL,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VANDERBILT AVE, 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ALTI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6"/>
        <w:gridCol w:w="900"/>
        <w:gridCol w:w="771"/>
        <w:gridCol w:w="597"/>
        <w:gridCol w:w="339"/>
        <w:gridCol w:w="1225"/>
        <w:gridCol w:w="430"/>
        <w:gridCol w:w="593"/>
        <w:gridCol w:w="1337"/>
        <w:gridCol w:w="967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30,732.266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53,506.596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9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71"/>
        <w:gridCol w:w="1071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9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30,732.266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30,732.266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34,736.476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34,736.476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34,736.476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AlTi Global, Inc.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whole on the earlier of (i) the business day immediately prior to AlTi Global, Inc.'s 2026 annual general meeting or (ii)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whole on the earlier of (i) the business day immediately prior to AlTi Global, Inc.'s 2027 annual general meeting or (ii) June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Graham,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4728" TargetMode="External"/><Relationship Id="rId5" Type="http://schemas.openxmlformats.org/officeDocument/2006/relationships/hyperlink" Target="http://www.sec.gov/cgi-bin/browse-edgar?action=getcompany&amp;CIK=0001838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3621</Characters>
  <CharactersWithSpaces>4221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