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40"/>
        <w:gridCol w:w="123"/>
        <w:gridCol w:w="123"/>
        <w:gridCol w:w="2872"/>
        <w:gridCol w:w="2872"/>
        <w:gridCol w:w="4075"/>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 xml:space="preserve">☒ </w:t>
            </w:r>
          </w:p>
        </w:tc>
        <w:tc>
          <w:tcPr>
            <w:tcW w:w="9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001-40103</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AlTi Global, Inc.</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8565" w:type="dxa"/>
        <w:jc w:val="left"/>
        <w:tblInd w:w="0" w:type="dxa"/>
        <w:tblLayout w:type="fixed"/>
        <w:tblCellMar>
          <w:top w:w="28" w:type="dxa"/>
          <w:left w:w="28" w:type="dxa"/>
          <w:bottom w:w="28" w:type="dxa"/>
          <w:right w:w="28" w:type="dxa"/>
        </w:tblCellMar>
      </w:tblPr>
      <w:tblGrid>
        <w:gridCol w:w="1983"/>
        <w:gridCol w:w="1747"/>
        <w:gridCol w:w="1760"/>
        <w:gridCol w:w="897"/>
        <w:gridCol w:w="897"/>
        <w:gridCol w:w="1281"/>
      </w:tblGrid>
      <w:tr>
        <w:trPr/>
        <w:tc>
          <w:tcPr>
            <w:tcW w:w="198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92-1552220</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2"/>
              </w:rPr>
              <w:t>520 Madison Avenue, 26th Floor</w:t>
            </w:r>
            <w:r>
              <w:rPr>
                <w:color w:val="000000"/>
              </w:rPr>
              <w:t xml:space="preserve"> </w:t>
            </w:r>
            <w:r>
              <w:rPr>
                <w:rFonts w:ascii="Times New Roman;sans-serif" w:hAnsi="Times New Roman;sans-serif"/>
                <w:b/>
                <w:color w:val="000000"/>
                <w:sz w:val="22"/>
              </w:rPr>
              <w:t>New York</w:t>
            </w:r>
            <w:r>
              <w:rPr>
                <w:rFonts w:ascii="Times New Roman;sans-serif" w:hAnsi="Times New Roman;sans-serif"/>
                <w:b/>
                <w:color w:val="000000"/>
                <w:sz w:val="20"/>
              </w:rPr>
              <w:t xml:space="preserve">, </w:t>
            </w:r>
            <w:r>
              <w:rPr>
                <w:rFonts w:ascii="Times New Roman;sans-serif" w:hAnsi="Times New Roman;sans-serif"/>
                <w:b/>
                <w:color w:val="000000"/>
                <w:sz w:val="22"/>
              </w:rPr>
              <w:t>New York</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10022</w:t>
            </w:r>
          </w:p>
        </w:tc>
      </w:tr>
      <w:tr>
        <w:trPr/>
        <w:tc>
          <w:tcPr>
            <w:tcW w:w="549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396-5904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12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13" w:type="dxa"/>
        <w:jc w:val="left"/>
        <w:tblInd w:w="0" w:type="dxa"/>
        <w:tblLayout w:type="fixed"/>
        <w:tblCellMar>
          <w:top w:w="28" w:type="dxa"/>
          <w:left w:w="28" w:type="dxa"/>
          <w:bottom w:w="28" w:type="dxa"/>
          <w:right w:w="28" w:type="dxa"/>
        </w:tblCellMar>
      </w:tblPr>
      <w:tblGrid>
        <w:gridCol w:w="1553"/>
        <w:gridCol w:w="1360"/>
        <w:gridCol w:w="1376"/>
        <w:gridCol w:w="539"/>
        <w:gridCol w:w="539"/>
        <w:gridCol w:w="541"/>
        <w:gridCol w:w="1085"/>
        <w:gridCol w:w="1085"/>
        <w:gridCol w:w="1535"/>
      </w:tblGrid>
      <w:tr>
        <w:trPr/>
        <w:tc>
          <w:tcPr>
            <w:tcW w:w="15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ALTI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Nasdaq Capital Market</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19"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45"/>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71,742,444 shares of Class A Common Stock (as defined herein) and 48,265,195 shares of Class B Common Stock (as defined herein) as of May 10,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left"/>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564"/>
        <w:gridCol w:w="3120"/>
        <w:gridCol w:w="3128"/>
        <w:gridCol w:w="114"/>
        <w:gridCol w:w="114"/>
        <w:gridCol w:w="165"/>
      </w:tblGrid>
      <w:tr>
        <w:trPr/>
        <w:tc>
          <w:tcPr>
            <w:tcW w:w="3564" w:type="dxa"/>
            <w:tcBorders/>
            <w:vAlign w:val="center"/>
          </w:tcPr>
          <w:p>
            <w:pPr>
              <w:pStyle w:val="TableContents"/>
              <w:bidi w:val="0"/>
              <w:spacing w:before="0" w:after="283"/>
              <w:jc w:val="left"/>
              <w:rPr>
                <w:sz w:val="4"/>
                <w:szCs w:val="4"/>
              </w:rPr>
            </w:pPr>
            <w:r>
              <w:rPr>
                <w:sz w:val="4"/>
                <w:szCs w:val="4"/>
              </w:rPr>
            </w:r>
          </w:p>
        </w:tc>
        <w:tc>
          <w:tcPr>
            <w:tcW w:w="3120"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3">
              <w:r>
                <w:rPr>
                  <w:rStyle w:val="InternetLink"/>
                  <w:rFonts w:ascii="Times New Roman;sans-serif" w:hAnsi="Times New Roman;sans-serif"/>
                  <w:b w:val="false"/>
                  <w:strike w:val="false"/>
                  <w:dstrike w:val="false"/>
                  <w:color w:val="000000"/>
                  <w:sz w:val="22"/>
                  <w:u w:val="none"/>
                  <w:effect w:val="none"/>
                </w:rPr>
                <w:t>Part I Financial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3">
              <w:r>
                <w:rPr>
                  <w:rStyle w:val="InternetLink"/>
                  <w:rFonts w:ascii="Times New Roman;sans-serif" w:hAnsi="Times New Roman;sans-serif"/>
                  <w:b w:val="false"/>
                  <w:strike w:val="false"/>
                  <w:dstrike w:val="false"/>
                  <w:color w:val="000000"/>
                  <w:sz w:val="22"/>
                  <w:u w:val="none"/>
                  <w:effect w:val="none"/>
                </w:rPr>
                <w:t>8</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
              <w:r>
                <w:rPr>
                  <w:rStyle w:val="InternetLink"/>
                  <w:rFonts w:ascii="Times New Roman;sans-serif" w:hAnsi="Times New Roman;sans-serif"/>
                  <w:b w:val="false"/>
                  <w:strike w:val="false"/>
                  <w:dstrike w:val="false"/>
                  <w:color w:val="000000"/>
                  <w:sz w:val="22"/>
                  <w:u w:val="none"/>
                  <w:effect w:val="none"/>
                </w:rPr>
                <w:t>Item 1. Financial Statements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
              <w:r>
                <w:rPr>
                  <w:rStyle w:val="InternetLink"/>
                  <w:rFonts w:ascii="Times New Roman;sans-serif" w:hAnsi="Times New Roman;sans-serif"/>
                  <w:b w:val="false"/>
                  <w:strike w:val="false"/>
                  <w:dstrike w:val="false"/>
                  <w:color w:val="000000"/>
                  <w:sz w:val="22"/>
                  <w:u w:val="none"/>
                  <w:effect w:val="none"/>
                </w:rPr>
                <w:t>8</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0793deae5cd046c6ad1c44504a4deb1d_19">
              <w:r>
                <w:rPr>
                  <w:rStyle w:val="InternetLink"/>
                  <w:rFonts w:ascii="Times New Roman;sans-serif" w:hAnsi="Times New Roman;sans-serif"/>
                  <w:b w:val="false"/>
                  <w:strike w:val="false"/>
                  <w:dstrike w:val="false"/>
                  <w:color w:val="000000"/>
                  <w:sz w:val="22"/>
                  <w:u w:val="none"/>
                  <w:effect w:val="none"/>
                </w:rPr>
                <w:t>Consolidated Statement of Financial Position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9">
              <w:r>
                <w:rPr>
                  <w:rStyle w:val="InternetLink"/>
                  <w:rFonts w:ascii="Times New Roman;sans-serif" w:hAnsi="Times New Roman;sans-serif"/>
                  <w:b w:val="false"/>
                  <w:strike w:val="false"/>
                  <w:dstrike w:val="false"/>
                  <w:color w:val="000000"/>
                  <w:sz w:val="22"/>
                  <w:u w:val="none"/>
                  <w:effect w:val="none"/>
                </w:rPr>
                <w:t>8</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0793deae5cd046c6ad1c44504a4deb1d_22">
              <w:r>
                <w:rPr>
                  <w:rStyle w:val="InternetLink"/>
                  <w:rFonts w:ascii="Times New Roman;sans-serif" w:hAnsi="Times New Roman;sans-serif"/>
                  <w:b w:val="false"/>
                  <w:strike w:val="false"/>
                  <w:dstrike w:val="false"/>
                  <w:color w:val="000000"/>
                  <w:sz w:val="22"/>
                  <w:u w:val="none"/>
                  <w:effect w:val="none"/>
                </w:rPr>
                <w:t>Consolidated Statement of Operations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22">
              <w:r>
                <w:rPr>
                  <w:rStyle w:val="InternetLink"/>
                  <w:rFonts w:ascii="Times New Roman;sans-serif" w:hAnsi="Times New Roman;sans-serif"/>
                  <w:b w:val="false"/>
                  <w:strike w:val="false"/>
                  <w:dstrike w:val="false"/>
                  <w:color w:val="000000"/>
                  <w:sz w:val="22"/>
                  <w:u w:val="none"/>
                  <w:effect w:val="none"/>
                </w:rPr>
                <w:t>9</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Statement of Comprehensive Income (Loss) (Unaudited)</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865">
              <w:r>
                <w:rPr>
                  <w:rStyle w:val="InternetLink"/>
                  <w:rFonts w:ascii="Times New Roman;sans-serif" w:hAnsi="Times New Roman;sans-serif"/>
                  <w:b w:val="false"/>
                  <w:strike w:val="false"/>
                  <w:dstrike w:val="false"/>
                  <w:color w:val="000000"/>
                  <w:sz w:val="22"/>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0793deae5cd046c6ad1c44504a4deb1d_25">
              <w:r>
                <w:rPr>
                  <w:rStyle w:val="InternetLink"/>
                  <w:rFonts w:ascii="Times New Roman;sans-serif" w:hAnsi="Times New Roman;sans-serif"/>
                  <w:b w:val="false"/>
                  <w:strike w:val="false"/>
                  <w:dstrike w:val="false"/>
                  <w:color w:val="000080"/>
                  <w:sz w:val="22"/>
                  <w:u w:val="single"/>
                  <w:effect w:val="none"/>
                </w:rPr>
                <w:t xml:space="preserve">Consolidated Statement of Changes in </w:t>
              </w:r>
            </w:hyperlink>
            <w:hyperlink w:anchor="i0793deae5cd046c6ad1c44504a4deb1d_25">
              <w:r>
                <w:rPr>
                  <w:rStyle w:val="InternetLink"/>
                  <w:rFonts w:ascii="Times New Roman;sans-serif" w:hAnsi="Times New Roman;sans-serif"/>
                  <w:b w:val="false"/>
                  <w:strike w:val="false"/>
                  <w:dstrike w:val="false"/>
                  <w:color w:val="000080"/>
                  <w:sz w:val="22"/>
                  <w:u w:val="single"/>
                  <w:effect w:val="none"/>
                </w:rPr>
                <w:t xml:space="preserve">Mezzanine Equity and </w:t>
              </w:r>
            </w:hyperlink>
            <w:hyperlink w:anchor="i0793deae5cd046c6ad1c44504a4deb1d_25">
              <w:r>
                <w:rPr>
                  <w:rStyle w:val="InternetLink"/>
                  <w:rFonts w:ascii="Times New Roman;sans-serif" w:hAnsi="Times New Roman;sans-serif"/>
                  <w:b w:val="false"/>
                  <w:strike w:val="false"/>
                  <w:dstrike w:val="false"/>
                  <w:color w:val="000080"/>
                  <w:sz w:val="22"/>
                  <w:u w:val="single"/>
                  <w:effect w:val="none"/>
                </w:rPr>
                <w:t>Shareholders’ Equity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25">
              <w:r>
                <w:rPr>
                  <w:rStyle w:val="InternetLink"/>
                  <w:rFonts w:ascii="Times New Roman;sans-serif" w:hAnsi="Times New Roman;sans-serif"/>
                  <w:b w:val="false"/>
                  <w:strike w:val="false"/>
                  <w:dstrike w:val="false"/>
                  <w:color w:val="000000"/>
                  <w:sz w:val="22"/>
                  <w:u w:val="none"/>
                  <w:effect w:val="none"/>
                </w:rPr>
                <w:t>11</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Condensed </w:t>
            </w:r>
            <w:hyperlink w:anchor="i0793deae5cd046c6ad1c44504a4deb1d_28">
              <w:r>
                <w:rPr>
                  <w:rStyle w:val="InternetLink"/>
                  <w:rFonts w:ascii="Times New Roman;sans-serif" w:hAnsi="Times New Roman;sans-serif"/>
                  <w:b w:val="false"/>
                  <w:strike w:val="false"/>
                  <w:dstrike w:val="false"/>
                  <w:color w:val="000000"/>
                  <w:sz w:val="22"/>
                  <w:u w:val="none"/>
                  <w:effect w:val="none"/>
                </w:rPr>
                <w:t>Consolidated Statement of Cash Flows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28">
              <w:r>
                <w:rPr>
                  <w:rStyle w:val="InternetLink"/>
                  <w:rFonts w:ascii="Times New Roman;sans-serif" w:hAnsi="Times New Roman;sans-serif"/>
                  <w:b w:val="false"/>
                  <w:strike w:val="false"/>
                  <w:dstrike w:val="false"/>
                  <w:color w:val="000000"/>
                  <w:sz w:val="22"/>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31">
              <w:r>
                <w:rPr>
                  <w:rStyle w:val="InternetLink"/>
                  <w:rFonts w:ascii="Times New Roman;sans-serif" w:hAnsi="Times New Roman;sans-serif"/>
                  <w:b w:val="false"/>
                  <w:strike w:val="false"/>
                  <w:dstrike w:val="false"/>
                  <w:color w:val="000000"/>
                  <w:sz w:val="22"/>
                  <w:u w:val="none"/>
                  <w:effect w:val="none"/>
                </w:rPr>
                <w:t xml:space="preserve">Notes to </w:t>
              </w:r>
            </w:hyperlink>
            <w:r>
              <w:rPr>
                <w:rFonts w:ascii="Times New Roman;sans-serif" w:hAnsi="Times New Roman;sans-serif"/>
                <w:b w:val="false"/>
                <w:color w:val="000000"/>
                <w:sz w:val="22"/>
              </w:rPr>
              <w:t xml:space="preserve">Condensed </w:t>
            </w:r>
            <w:hyperlink w:anchor="i0793deae5cd046c6ad1c44504a4deb1d_31">
              <w:r>
                <w:rPr>
                  <w:rStyle w:val="InternetLink"/>
                  <w:rFonts w:ascii="Times New Roman;sans-serif" w:hAnsi="Times New Roman;sans-serif"/>
                  <w:b w:val="false"/>
                  <w:strike w:val="false"/>
                  <w:dstrike w:val="false"/>
                  <w:color w:val="000000"/>
                  <w:sz w:val="22"/>
                  <w:u w:val="none"/>
                  <w:effect w:val="none"/>
                </w:rPr>
                <w:t>Consolidated Financial Statements (Unaudited)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31">
              <w:r>
                <w:rPr>
                  <w:rStyle w:val="InternetLink"/>
                  <w:rFonts w:ascii="Times New Roman;sans-serif" w:hAnsi="Times New Roman;sans-serif"/>
                  <w:b w:val="false"/>
                  <w:strike w:val="false"/>
                  <w:dstrike w:val="false"/>
                  <w:color w:val="000000"/>
                  <w:sz w:val="22"/>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97">
              <w:r>
                <w:rPr>
                  <w:rStyle w:val="InternetLink"/>
                  <w:rFonts w:ascii="Times New Roman;sans-serif" w:hAnsi="Times New Roman;sans-serif"/>
                  <w:b w:val="false"/>
                  <w:strike w:val="false"/>
                  <w:dstrike w:val="false"/>
                  <w:color w:val="000000"/>
                  <w:sz w:val="22"/>
                  <w:u w:val="none"/>
                  <w:effect w:val="none"/>
                </w:rPr>
                <w:t>Item 2. Management’s Discussion and Analysis of Financial Condition and Results of Operations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97">
              <w:r>
                <w:rPr>
                  <w:rStyle w:val="InternetLink"/>
                  <w:rFonts w:ascii="Times New Roman;sans-serif" w:hAnsi="Times New Roman;sans-serif"/>
                  <w:b w:val="false"/>
                  <w:strike w:val="false"/>
                  <w:dstrike w:val="false"/>
                  <w:color w:val="000000"/>
                  <w:sz w:val="22"/>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0">
              <w:r>
                <w:rPr>
                  <w:rStyle w:val="InternetLink"/>
                  <w:rFonts w:ascii="Times New Roman;sans-serif" w:hAnsi="Times New Roman;sans-serif"/>
                  <w:b w:val="false"/>
                  <w:strike w:val="false"/>
                  <w:dstrike w:val="false"/>
                  <w:color w:val="000000"/>
                  <w:sz w:val="22"/>
                  <w:u w:val="none"/>
                  <w:effect w:val="none"/>
                </w:rPr>
                <w:t>Item 3. Quantitative and Qualitative Disclosures about Market Risk</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0">
              <w:r>
                <w:rPr>
                  <w:rStyle w:val="InternetLink"/>
                  <w:rFonts w:ascii="Times New Roman;sans-serif" w:hAnsi="Times New Roman;sans-serif"/>
                  <w:b w:val="false"/>
                  <w:strike w:val="false"/>
                  <w:dstrike w:val="false"/>
                  <w:color w:val="000000"/>
                  <w:sz w:val="22"/>
                  <w:u w:val="none"/>
                  <w:effect w:val="none"/>
                </w:rPr>
                <w:t>92</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3">
              <w:r>
                <w:rPr>
                  <w:rStyle w:val="InternetLink"/>
                  <w:rFonts w:ascii="Times New Roman;sans-serif" w:hAnsi="Times New Roman;sans-serif"/>
                  <w:b w:val="false"/>
                  <w:strike w:val="false"/>
                  <w:dstrike w:val="false"/>
                  <w:color w:val="000000"/>
                  <w:sz w:val="22"/>
                  <w:u w:val="none"/>
                  <w:effect w:val="none"/>
                </w:rPr>
                <w:t>Item 4. Controls and Procedures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3">
              <w:r>
                <w:rPr>
                  <w:rStyle w:val="InternetLink"/>
                  <w:rFonts w:ascii="Times New Roman;sans-serif" w:hAnsi="Times New Roman;sans-serif"/>
                  <w:b w:val="false"/>
                  <w:strike w:val="false"/>
                  <w:dstrike w:val="false"/>
                  <w:color w:val="000000"/>
                  <w:sz w:val="22"/>
                  <w:u w:val="none"/>
                  <w:effect w:val="none"/>
                </w:rPr>
                <w:t>93</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6">
              <w:r>
                <w:rPr>
                  <w:rStyle w:val="InternetLink"/>
                  <w:rFonts w:ascii="Times New Roman;sans-serif" w:hAnsi="Times New Roman;sans-serif"/>
                  <w:b w:val="false"/>
                  <w:strike w:val="false"/>
                  <w:dstrike w:val="false"/>
                  <w:color w:val="000000"/>
                  <w:sz w:val="22"/>
                  <w:u w:val="none"/>
                  <w:effect w:val="none"/>
                </w:rPr>
                <w:t>Part II Other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6">
              <w:r>
                <w:rPr>
                  <w:rStyle w:val="InternetLink"/>
                  <w:rFonts w:ascii="Times New Roman;sans-serif" w:hAnsi="Times New Roman;sans-serif"/>
                  <w:b w:val="false"/>
                  <w:strike w:val="false"/>
                  <w:dstrike w:val="false"/>
                  <w:color w:val="000000"/>
                  <w:sz w:val="22"/>
                  <w:u w:val="none"/>
                  <w:effect w:val="none"/>
                </w:rPr>
                <w:t>95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9">
              <w:r>
                <w:rPr>
                  <w:rStyle w:val="InternetLink"/>
                  <w:rFonts w:ascii="Times New Roman;sans-serif" w:hAnsi="Times New Roman;sans-serif"/>
                  <w:b w:val="false"/>
                  <w:strike w:val="false"/>
                  <w:dstrike w:val="false"/>
                  <w:color w:val="000000"/>
                  <w:sz w:val="22"/>
                  <w:u w:val="none"/>
                  <w:effect w:val="none"/>
                </w:rPr>
                <w:t>Item 1. Legal Proceedings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69">
              <w:r>
                <w:rPr>
                  <w:rStyle w:val="InternetLink"/>
                  <w:rFonts w:ascii="Times New Roman;sans-serif" w:hAnsi="Times New Roman;sans-serif"/>
                  <w:b w:val="false"/>
                  <w:strike w:val="false"/>
                  <w:dstrike w:val="false"/>
                  <w:color w:val="000000"/>
                  <w:sz w:val="22"/>
                  <w:u w:val="none"/>
                  <w:effect w:val="none"/>
                </w:rPr>
                <w:t>95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2">
              <w:r>
                <w:rPr>
                  <w:rStyle w:val="InternetLink"/>
                  <w:rFonts w:ascii="Times New Roman;sans-serif" w:hAnsi="Times New Roman;sans-serif"/>
                  <w:b w:val="false"/>
                  <w:strike w:val="false"/>
                  <w:dstrike w:val="false"/>
                  <w:color w:val="000000"/>
                  <w:sz w:val="22"/>
                  <w:u w:val="none"/>
                  <w:effect w:val="none"/>
                </w:rPr>
                <w:t>Item 1A. Risk Factors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2">
              <w:r>
                <w:rPr>
                  <w:rStyle w:val="InternetLink"/>
                  <w:rFonts w:ascii="Times New Roman;sans-serif" w:hAnsi="Times New Roman;sans-serif"/>
                  <w:b w:val="false"/>
                  <w:strike w:val="false"/>
                  <w:dstrike w:val="false"/>
                  <w:color w:val="000000"/>
                  <w:sz w:val="22"/>
                  <w:u w:val="none"/>
                  <w:effect w:val="none"/>
                </w:rPr>
                <w:t>95</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5">
              <w:r>
                <w:rPr>
                  <w:rStyle w:val="InternetLink"/>
                  <w:rFonts w:ascii="Times New Roman;sans-serif" w:hAnsi="Times New Roman;sans-serif"/>
                  <w:b w:val="false"/>
                  <w:strike w:val="false"/>
                  <w:dstrike w:val="false"/>
                  <w:color w:val="000000"/>
                  <w:sz w:val="22"/>
                  <w:u w:val="none"/>
                  <w:effect w:val="none"/>
                </w:rPr>
                <w:t>Item 2. Unregistered Sales of Equity Securities and Use of Proceeds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5">
              <w:r>
                <w:rPr>
                  <w:rStyle w:val="InternetLink"/>
                  <w:rFonts w:ascii="Times New Roman;sans-serif" w:hAnsi="Times New Roman;sans-serif"/>
                  <w:b w:val="false"/>
                  <w:strike w:val="false"/>
                  <w:dstrike w:val="false"/>
                  <w:color w:val="000000"/>
                  <w:sz w:val="22"/>
                  <w:u w:val="none"/>
                  <w:effect w:val="none"/>
                </w:rPr>
                <w:t>97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8">
              <w:r>
                <w:rPr>
                  <w:rStyle w:val="InternetLink"/>
                  <w:rFonts w:ascii="Times New Roman;sans-serif" w:hAnsi="Times New Roman;sans-serif"/>
                  <w:b w:val="false"/>
                  <w:strike w:val="false"/>
                  <w:dstrike w:val="false"/>
                  <w:color w:val="000000"/>
                  <w:sz w:val="22"/>
                  <w:u w:val="none"/>
                  <w:effect w:val="none"/>
                </w:rPr>
                <w:t>Item 3. Defaults Upon Senior Securities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78">
              <w:r>
                <w:rPr>
                  <w:rStyle w:val="InternetLink"/>
                  <w:rFonts w:ascii="Times New Roman;sans-serif" w:hAnsi="Times New Roman;sans-serif"/>
                  <w:b w:val="false"/>
                  <w:strike w:val="false"/>
                  <w:dstrike w:val="false"/>
                  <w:color w:val="000000"/>
                  <w:sz w:val="22"/>
                  <w:u w:val="none"/>
                  <w:effect w:val="none"/>
                </w:rPr>
                <w:t>97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81">
              <w:r>
                <w:rPr>
                  <w:rStyle w:val="InternetLink"/>
                  <w:rFonts w:ascii="Times New Roman;sans-serif" w:hAnsi="Times New Roman;sans-serif"/>
                  <w:b w:val="false"/>
                  <w:strike w:val="false"/>
                  <w:dstrike w:val="false"/>
                  <w:color w:val="000000"/>
                  <w:sz w:val="22"/>
                  <w:u w:val="none"/>
                  <w:effect w:val="none"/>
                </w:rPr>
                <w:t>Item 4. Mine Safety Disclosures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81">
              <w:r>
                <w:rPr>
                  <w:rStyle w:val="InternetLink"/>
                  <w:rFonts w:ascii="Times New Roman;sans-serif" w:hAnsi="Times New Roman;sans-serif"/>
                  <w:b w:val="false"/>
                  <w:strike w:val="false"/>
                  <w:dstrike w:val="false"/>
                  <w:color w:val="000000"/>
                  <w:sz w:val="22"/>
                  <w:u w:val="none"/>
                  <w:effect w:val="none"/>
                </w:rPr>
                <w:t>97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84">
              <w:r>
                <w:rPr>
                  <w:rStyle w:val="InternetLink"/>
                  <w:rFonts w:ascii="Times New Roman;sans-serif" w:hAnsi="Times New Roman;sans-serif"/>
                  <w:b w:val="false"/>
                  <w:strike w:val="false"/>
                  <w:dstrike w:val="false"/>
                  <w:color w:val="000000"/>
                  <w:sz w:val="22"/>
                  <w:u w:val="none"/>
                  <w:effect w:val="none"/>
                </w:rPr>
                <w:t>Item 5. Other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84">
              <w:r>
                <w:rPr>
                  <w:rStyle w:val="InternetLink"/>
                  <w:rFonts w:ascii="Times New Roman;sans-serif" w:hAnsi="Times New Roman;sans-serif"/>
                  <w:b w:val="false"/>
                  <w:strike w:val="false"/>
                  <w:dstrike w:val="false"/>
                  <w:color w:val="000000"/>
                  <w:sz w:val="22"/>
                  <w:u w:val="none"/>
                  <w:effect w:val="none"/>
                </w:rPr>
                <w:t>97</w:t>
              </w:r>
            </w:hyperlink>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87">
              <w:r>
                <w:rPr>
                  <w:rStyle w:val="InternetLink"/>
                  <w:rFonts w:ascii="Times New Roman;sans-serif" w:hAnsi="Times New Roman;sans-serif"/>
                  <w:b w:val="false"/>
                  <w:strike w:val="false"/>
                  <w:dstrike w:val="false"/>
                  <w:color w:val="000000"/>
                  <w:sz w:val="22"/>
                  <w:u w:val="none"/>
                  <w:effect w:val="none"/>
                </w:rPr>
                <w:t xml:space="preserve">Item 6. Exhibits </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9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90">
              <w:r>
                <w:rPr>
                  <w:rStyle w:val="InternetLink"/>
                  <w:rFonts w:ascii="Times New Roman;sans-serif" w:hAnsi="Times New Roman;sans-serif"/>
                  <w:b w:val="false"/>
                  <w:strike w:val="false"/>
                  <w:dstrike w:val="false"/>
                  <w:color w:val="000000"/>
                  <w:sz w:val="22"/>
                  <w:u w:val="none"/>
                  <w:effect w:val="none"/>
                </w:rPr>
                <w:t>Signatures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93deae5cd046c6ad1c44504a4deb1d_190">
              <w:r>
                <w:rPr>
                  <w:rStyle w:val="InternetLink"/>
                  <w:rFonts w:ascii="Times New Roman;sans-serif" w:hAnsi="Times New Roman;sans-serif"/>
                  <w:b w:val="false"/>
                  <w:strike w:val="false"/>
                  <w:dstrike w:val="false"/>
                  <w:color w:val="000000"/>
                  <w:sz w:val="22"/>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2"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Defined Terms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Capitalized terms used herein but not otherwise defined herein shall have the respective meanings ascribed to them in the Amended and Restated Business Combination Agreement, a copy of which is attached as Exhibit 2.1 to our Current Report on Form 8-K filed October 26, 2022.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AFM UK” means Alvarium Fund Managers (UK)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AHRA” means “Alvarium Home REIT Advisors Limited”, an English private limited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Alvarium” means AlTi Asset Management Holdings 2 Limited, formerly known as Alvarium Investments Limited, an English private limited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AlTi” means AlTi Global, Inc., together with its consolidated subsidiaries.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Shareholders” means the shareholders of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Alvarium Tiedemann” means the Company, prior to being renamed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AlTi Global Topco” means AlTi Global Topco Limited, formerly known as Alvarium Topco, an Isle of Man entity which was established by Alvarium and owned by the Alvarium Shareholders.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ARE” means AlTi RE Limited, formerly known as Alvarium RE Limited, an English private limited company.</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2"/>
        </w:rPr>
        <w:t xml:space="preserve">AUA” means assets under advisement.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AUM” means assets under management.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means the transactions contemplated by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Agreement” means the Amended and Restated Business Combination Agreement, dated as of October 25, 2022, by and among Cartesian, Umbrella Merger Sub, TWMH, TIG GP, TIG MGMT, Alvarium and Umbrella.</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Business Combination Earn-out” means the Sponsor and the selling shareholders of TWMH, TIG, and Alvarium became entitled to receive earn-out shares contingent on various share price milestones upon Closing under the terms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Earn-out Period” means the five years immediately after the Closing Date.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Cartesian” means Cartesian Growth Corporation, a Cayman Islands exempted company, prior to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Cayman Islands Companies Act” means the Cayman Islands Companies Act (as revised) of the Cayman Islands, as the same may be amended from time to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means the Class A Common Stock, par value $0.0001 per share, of the Company, including any shares of such Class A Common Stock issuable upon the exercise of any warrant or other right to acquire shares of such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Class B Common Stock” means the Class B Common Stock, par value $0.0001 per share, of the Company, including any shares of such Class B Common Stock issuable upon the exercise of any warrant or other right to acquire shares of such Class B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Class B Paired Interest” means a Class B Unit together with a share of Class B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B Units” means the limited liability company interests in Umbrella designated as Class B Common Units in the Umbrella LLC Agreement.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means the closing of the Business Combination.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Closing Date” means January 3, 2023, the date on which the Closing occurred.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Common Stock” refers to shares of the Class A Common Stock and the Class B Common Stock, collectively.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Company,” “our,” “we” or “us” means, prior to the Business Combination, Cartesian, as the context suggests, and, following the Business Combination, AlTi.</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Financial Position” refers to the consolidated balance sheet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Condensed Consolidated Statement of Operations” refers to the consolidated income statement of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DGCL” refers to the Delaware General Corporation Law,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dollars” or “$” refers to U.S. dollars.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Exchange Act” means the U.S. Securities Exchange Act of 1934, as amended.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Federal Reserve” means the Board of Governors of the Federal Reserve System.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FOS” means Family Office Service.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"HLIF” means “Home Long Income Fund”, a private fund regulated by the UK FCA.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HNWI” means high net worth individual, being an individual having investable assets of $1 million or more, excluding primary residence, collectibles, consumables, and consumer durables.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Holbein” means Holbein Partners, LLP.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Home REIT” means “Home REIT plc”, a real estate investment trust listed on the London Stock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Impact Investing” means investment practices seeking to generate various levels of financial performance together with the generation of positive measurable environmental and social impacts.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Nasdaq” means the Nasdaq Capital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NAV” means net asset value.</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SEC” means the United States Securities and Exchange Commission.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SHIA” means Social Housing Income Advisors Limited, an English private limited company.</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2"/>
        </w:rPr>
        <w:t>Sponsor” means CGC Sponsor LLC, a Cayman Islands limited liability company.</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Strategic Alternatives” means the segment that includes the Company's alternatives platform, public and private real estate, and co-investment business, formerly known as Asset Management.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Target Companies” means, collectively, TWMH, TIG GP, TIG MGMT, and Alvarium.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Tax Receivable Agreement” or “TRA” means that certain Tax Receivable Agreement, dated as of January 3, 2023, by and among the Company and the TWMH Members, the TIG GP Members, and the TIG MGMT Members.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TIG” means, collectively, the TIG Entities and their subsidiaries and their predecessor entities where applicable.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Entities” means, collectively, TIG GP and TIG MGMT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means TIG Trinity GP,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GP Members” means the former members of TIG GP.</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means TIG Trinity Management,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TIG MGMT Members” means the former members of TIG MGMT.</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TIH” means Tiedemann International Holdings, AG.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TRA Exchange” means the series of transactions in which certain holders of Class B Units and Class B Common Stock exchanged a portion of such interests to the Company, in exchange for Class A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means, collectively, Tiedemann Wealth Management Holdings, LLC, a Delaware limited liability company, and its subsidiaries, and their predecessor entities where applicable.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TWMH Members” means the former members of TWMH.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UHNW” means ultra high net worth individual, being an individual having investable assets of $30 million or more, excluding primary residence, collectibles, consumables, and consumer durables.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UK</w:t>
      </w:r>
      <w:r>
        <w:rPr>
          <w:color w:val="000000"/>
        </w:rPr>
        <w:t xml:space="preserve"> </w:t>
      </w:r>
      <w:r>
        <w:rPr>
          <w:rFonts w:ascii="Times New Roman;sans-serif" w:hAnsi="Times New Roman;sans-serif"/>
          <w:b w:val="false"/>
          <w:color w:val="000000"/>
          <w:sz w:val="22"/>
        </w:rPr>
        <w:t>FCA” means the United Kingdom’s Financial Conduct Authority.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Umbrella” means AlTi Global Capital, LLC (formerly known as Alvarium Tiedemann Capital,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LLC Agreement” means the Third Amended and Restated Limited Liability Company Agreement of AlTi Global Capital, LLC, effective as of July 31, 2023.</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Umbrella Merger Sub” means Rook MS, LLC, a Delaware limited liability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US GAAP” means United States generally accepted accounting principles, consistently applied.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2"/>
        </w:rPr>
        <w:t xml:space="preserve">Wealth Management” means the segment that consists of the Company’s investment management and advisory services, trusts and administrative services, and family office services.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Available Information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Also posted on our website in the “Investor Relations” section are the charters for our Audit, Finance and Risk Committee, Environmental, Social, Governance and Nominating Committee, and Human Capital and Compensation Committee, as well as our Corporate Governance Guidelines and Code of Business Conduct governing our directors, officers, and employees. Information on or accessible through our website is not a part of or incorporated into this Quarterly Report on Form 10-Q for the period ended</w:t>
      </w:r>
      <w:r>
        <w:rPr>
          <w:color w:val="000000"/>
          <w:shd w:fill="FFFFFF" w:val="clear"/>
        </w:rPr>
        <w:t xml:space="preserve"> </w:t>
      </w:r>
      <w:r>
        <w:rPr>
          <w:rFonts w:ascii="Times New Roman;sans-serif" w:hAnsi="Times New Roman;sans-serif"/>
          <w:b w:val="false"/>
          <w:color w:val="000000"/>
          <w:sz w:val="22"/>
          <w:shd w:fill="FFFFFF" w:val="clear"/>
        </w:rPr>
        <w:t>March 31, 2024 (the</w:t>
      </w:r>
      <w:r>
        <w:rPr>
          <w:color w:val="000000"/>
        </w:rPr>
        <w:t xml:space="preserve"> “</w:t>
      </w:r>
      <w:r>
        <w:rPr>
          <w:rFonts w:ascii="Times New Roman;sans-serif" w:hAnsi="Times New Roman;sans-serif"/>
          <w:b w:val="false"/>
          <w:color w:val="000000"/>
          <w:sz w:val="22"/>
        </w:rPr>
        <w:t>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 statements herein, available on our website, or in any of the materials we file with the SEC constitute or should be viewed as constituting an offer to sell, or a solicitation of an offer to buy, securities in any jurisdiction.</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I.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before="120" w:after="283"/>
        <w:jc w:val="center"/>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AlTi Global,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Financial Position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5"/>
        <w:gridCol w:w="2233"/>
        <w:gridCol w:w="2250"/>
        <w:gridCol w:w="210"/>
        <w:gridCol w:w="934"/>
        <w:gridCol w:w="116"/>
        <w:gridCol w:w="109"/>
        <w:gridCol w:w="109"/>
        <w:gridCol w:w="109"/>
        <w:gridCol w:w="232"/>
        <w:gridCol w:w="1032"/>
        <w:gridCol w:w="186"/>
      </w:tblGrid>
      <w:tr>
        <w:trPr/>
        <w:tc>
          <w:tcPr>
            <w:tcW w:w="2685"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br/>
              <w:t>2023</w:t>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Fees receivable, net (includes $1,199 and $16,069 of related party receivables, respectively)</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70,421 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at fair value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 of accumulated amortization</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432,247 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435,677 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411,634 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consideration receivable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 held for sale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1,299,938 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1,266,297 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profit sharing</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member distributions payable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liabilities, at fair value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liability, at fair value</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TRA liability (includes $7,300 and $13,233 at fair value,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17,607 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Delayed share purchase agreement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 consideration payable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unamortized deferred financing cost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liability,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held for sale</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401,595 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483,804 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19)</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Mezzanine Equity</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Series C Redeemable Cumulative Convertible Preferred stock, $0.0001 par value, 150,000 authorized, 115,000 and 0 shares issued and outstanding,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Class A, $0.0001 par value, 875,000,000 authorized, 71,064,411 and 65,110,875 issued and outstanding, respectively</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Class B, $0.0001 par value, 150,000,000 authorized, 48,265,195 and 53,219,713 issued and outstanding,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553,717 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(accumulated deficit)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(193,527)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AlTi Global, Inc. shareholders'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510,938 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898,343 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782,493 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mezzanine equity, and shareholders' equity</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1,299,938 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1,266,297 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Condensed Consolidated Statement of Operations (Unaudited) </w:t>
      </w:r>
    </w:p>
    <w:p>
      <w:pPr>
        <w:pStyle w:val="TextBody"/>
        <w:bidi w:val="0"/>
        <w:spacing w:before="0" w:after="0"/>
        <w:jc w:val="center"/>
        <w:rPr/>
      </w:pPr>
      <w:r>
        <w:rPr/>
      </w:r>
    </w:p>
    <w:tbl>
      <w:tblPr>
        <w:tblW w:w="9437" w:type="dxa"/>
        <w:jc w:val="left"/>
        <w:tblInd w:w="0" w:type="dxa"/>
        <w:tblLayout w:type="fixed"/>
        <w:tblCellMar>
          <w:top w:w="28" w:type="dxa"/>
          <w:left w:w="28" w:type="dxa"/>
          <w:bottom w:w="28" w:type="dxa"/>
          <w:right w:w="28" w:type="dxa"/>
        </w:tblCellMar>
      </w:tblPr>
      <w:tblGrid>
        <w:gridCol w:w="1888"/>
        <w:gridCol w:w="1652"/>
        <w:gridCol w:w="1664"/>
        <w:gridCol w:w="109"/>
        <w:gridCol w:w="109"/>
        <w:gridCol w:w="219"/>
        <w:gridCol w:w="219"/>
        <w:gridCol w:w="395"/>
        <w:gridCol w:w="1301"/>
        <w:gridCol w:w="219"/>
        <w:gridCol w:w="109"/>
        <w:gridCol w:w="109"/>
        <w:gridCol w:w="109"/>
        <w:gridCol w:w="244"/>
        <w:gridCol w:w="899"/>
        <w:gridCol w:w="192"/>
      </w:tblGrid>
      <w:tr>
        <w:trPr/>
        <w:tc>
          <w:tcPr>
            <w:tcW w:w="188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c>
          <w:tcPr>
            <w:tcW w:w="1662" w:type="dxa"/>
            <w:gridSpan w:val="6"/>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50,812 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58,047 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Systems, technology and telephone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distribution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65,480 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101,485 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(14,668)</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(43,438)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TRA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earnout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(85,640)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(90,290)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attributed to non-controlling interests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(68,740)</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of Class A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66,718,427 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57,546,811 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120,561,316 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57,546,811 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Condensed Consolidated Statement of Comprehensive Income (Loss) (Unaudited) </w:t>
      </w:r>
    </w:p>
    <w:tbl>
      <w:tblPr>
        <w:tblW w:w="9871" w:type="dxa"/>
        <w:jc w:val="center"/>
        <w:tblInd w:w="0" w:type="dxa"/>
        <w:tblLayout w:type="fixed"/>
        <w:tblCellMar>
          <w:top w:w="28" w:type="dxa"/>
          <w:left w:w="28" w:type="dxa"/>
          <w:bottom w:w="28" w:type="dxa"/>
          <w:right w:w="28" w:type="dxa"/>
        </w:tblCellMar>
      </w:tblPr>
      <w:tblGrid>
        <w:gridCol w:w="1922"/>
        <w:gridCol w:w="1688"/>
        <w:gridCol w:w="1699"/>
        <w:gridCol w:w="109"/>
        <w:gridCol w:w="109"/>
        <w:gridCol w:w="506"/>
        <w:gridCol w:w="506"/>
        <w:gridCol w:w="506"/>
        <w:gridCol w:w="506"/>
        <w:gridCol w:w="509"/>
        <w:gridCol w:w="109"/>
        <w:gridCol w:w="109"/>
        <w:gridCol w:w="109"/>
        <w:gridCol w:w="434"/>
        <w:gridCol w:w="434"/>
        <w:gridCol w:w="616"/>
      </w:tblGrid>
      <w:tr>
        <w:trPr/>
        <w:tc>
          <w:tcPr>
            <w:tcW w:w="192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17,668 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(80,619)</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attributed to non-controlling interests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AlTi Global,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(63,799)</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Changes in Mezzanine Equity and Shareholders’ Equity (Unaudited)</w:t>
      </w:r>
    </w:p>
    <w:p>
      <w:pPr>
        <w:pStyle w:val="TextBody"/>
        <w:bidi w:val="0"/>
        <w:spacing w:before="0" w:after="0"/>
        <w:jc w:val="center"/>
        <w:rPr/>
      </w:pPr>
      <w:r>
        <w:rPr/>
      </w:r>
    </w:p>
    <w:p>
      <w:pPr>
        <w:pStyle w:val="TextBody"/>
        <w:bidi w:val="0"/>
        <w:spacing w:before="360" w:after="283"/>
        <w:jc w:val="both"/>
        <w:rPr/>
      </w:pPr>
      <w:r>
        <w:rPr/>
      </w:r>
    </w:p>
    <w:tbl>
      <w:tblPr>
        <w:tblW w:w="16515" w:type="dxa"/>
        <w:jc w:val="left"/>
        <w:tblInd w:w="0" w:type="dxa"/>
        <w:tblLayout w:type="fixed"/>
        <w:tblCellMar>
          <w:top w:w="28" w:type="dxa"/>
          <w:left w:w="28" w:type="dxa"/>
          <w:bottom w:w="28" w:type="dxa"/>
          <w:right w:w="28" w:type="dxa"/>
        </w:tblCellMar>
      </w:tblPr>
      <w:tblGrid>
        <w:gridCol w:w="632"/>
        <w:gridCol w:w="291"/>
        <w:gridCol w:w="293"/>
        <w:gridCol w:w="109"/>
        <w:gridCol w:w="109"/>
        <w:gridCol w:w="109"/>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294"/>
        <w:gridCol w:w="288"/>
        <w:gridCol w:w="109"/>
        <w:gridCol w:w="109"/>
        <w:gridCol w:w="109"/>
        <w:gridCol w:w="109"/>
        <w:gridCol w:w="480"/>
        <w:gridCol w:w="481"/>
        <w:gridCol w:w="196"/>
        <w:gridCol w:w="203"/>
        <w:gridCol w:w="203"/>
        <w:gridCol w:w="109"/>
        <w:gridCol w:w="196"/>
        <w:gridCol w:w="406"/>
        <w:gridCol w:w="109"/>
        <w:gridCol w:w="109"/>
        <w:gridCol w:w="109"/>
        <w:gridCol w:w="109"/>
        <w:gridCol w:w="220"/>
        <w:gridCol w:w="827"/>
        <w:gridCol w:w="124"/>
        <w:gridCol w:w="109"/>
        <w:gridCol w:w="109"/>
        <w:gridCol w:w="109"/>
        <w:gridCol w:w="196"/>
        <w:gridCol w:w="776"/>
        <w:gridCol w:w="109"/>
        <w:gridCol w:w="109"/>
        <w:gridCol w:w="109"/>
        <w:gridCol w:w="109"/>
        <w:gridCol w:w="266"/>
        <w:gridCol w:w="756"/>
        <w:gridCol w:w="149"/>
        <w:gridCol w:w="109"/>
        <w:gridCol w:w="109"/>
        <w:gridCol w:w="109"/>
        <w:gridCol w:w="237"/>
        <w:gridCol w:w="891"/>
        <w:gridCol w:w="133"/>
        <w:gridCol w:w="327"/>
        <w:gridCol w:w="205"/>
        <w:gridCol w:w="773"/>
        <w:gridCol w:w="163"/>
      </w:tblGrid>
      <w:tr>
        <w:trPr/>
        <w:tc>
          <w:tcPr>
            <w:tcW w:w="6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5"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65,110,875 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53,219,713 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536,509 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782,493 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partner's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preferred shares,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share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to employees on vesting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999,018 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4,954,518 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(4,954,518)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LXi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71,064,411 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48,265,195 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553,717 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3910" w:type="dxa"/>
        <w:jc w:val="left"/>
        <w:tblInd w:w="0" w:type="dxa"/>
        <w:tblLayout w:type="fixed"/>
        <w:tblCellMar>
          <w:top w:w="28" w:type="dxa"/>
          <w:left w:w="28" w:type="dxa"/>
          <w:bottom w:w="28" w:type="dxa"/>
          <w:right w:w="28" w:type="dxa"/>
        </w:tblCellMar>
      </w:tblPr>
      <w:tblGrid>
        <w:gridCol w:w="348"/>
        <w:gridCol w:w="306"/>
        <w:gridCol w:w="307"/>
        <w:gridCol w:w="109"/>
        <w:gridCol w:w="109"/>
        <w:gridCol w:w="109"/>
        <w:gridCol w:w="480"/>
        <w:gridCol w:w="481"/>
        <w:gridCol w:w="211"/>
        <w:gridCol w:w="109"/>
        <w:gridCol w:w="109"/>
        <w:gridCol w:w="109"/>
        <w:gridCol w:w="318"/>
        <w:gridCol w:w="324"/>
        <w:gridCol w:w="109"/>
        <w:gridCol w:w="109"/>
        <w:gridCol w:w="109"/>
        <w:gridCol w:w="109"/>
        <w:gridCol w:w="480"/>
        <w:gridCol w:w="481"/>
        <w:gridCol w:w="211"/>
        <w:gridCol w:w="109"/>
        <w:gridCol w:w="109"/>
        <w:gridCol w:w="109"/>
        <w:gridCol w:w="236"/>
        <w:gridCol w:w="406"/>
        <w:gridCol w:w="109"/>
        <w:gridCol w:w="109"/>
        <w:gridCol w:w="109"/>
        <w:gridCol w:w="109"/>
        <w:gridCol w:w="231"/>
        <w:gridCol w:w="870"/>
        <w:gridCol w:w="130"/>
        <w:gridCol w:w="109"/>
        <w:gridCol w:w="109"/>
        <w:gridCol w:w="109"/>
        <w:gridCol w:w="231"/>
        <w:gridCol w:w="780"/>
        <w:gridCol w:w="130"/>
        <w:gridCol w:w="109"/>
        <w:gridCol w:w="109"/>
        <w:gridCol w:w="109"/>
        <w:gridCol w:w="283"/>
        <w:gridCol w:w="804"/>
        <w:gridCol w:w="159"/>
        <w:gridCol w:w="109"/>
        <w:gridCol w:w="109"/>
        <w:gridCol w:w="109"/>
        <w:gridCol w:w="248"/>
        <w:gridCol w:w="933"/>
        <w:gridCol w:w="140"/>
        <w:gridCol w:w="109"/>
        <w:gridCol w:w="109"/>
        <w:gridCol w:w="109"/>
        <w:gridCol w:w="196"/>
        <w:gridCol w:w="871"/>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2"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 in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Balance at January 1,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55,388,023 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435,859 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606,989 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to Alvarium Employee Benefit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57,916,649 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55,032,961 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(96,686)</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590,169 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 xml:space="preserve">The accompanying notes are an integral part of these </w:t>
      </w:r>
      <w:r>
        <w:rPr>
          <w:rFonts w:ascii="Times New Roman;sans-serif" w:hAnsi="Times New Roman;sans-serif"/>
          <w:b w:val="false"/>
          <w:i/>
          <w:color w:val="000000"/>
          <w:sz w:val="20"/>
        </w:rPr>
        <w:t>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77"/>
        <w:gridCol w:w="2230"/>
        <w:gridCol w:w="2245"/>
        <w:gridCol w:w="281"/>
        <w:gridCol w:w="960"/>
        <w:gridCol w:w="144"/>
        <w:gridCol w:w="110"/>
        <w:gridCol w:w="110"/>
        <w:gridCol w:w="110"/>
        <w:gridCol w:w="261"/>
        <w:gridCol w:w="980"/>
        <w:gridCol w:w="197"/>
      </w:tblGrid>
      <w:tr>
        <w:trPr/>
        <w:tc>
          <w:tcPr>
            <w:tcW w:w="2577"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70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deferred financing costs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 on goodwill and intangible assets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TRA</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on equity method investments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 liability</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earn-out liability</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(gains)/losses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retirement of debt</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Forgiveness of debt shareholder loan</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due to changes in operating assets and liabilities</w:t>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profit sharing</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w:t>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(61,045)</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on the following page)</w:t>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0"/>
        <w:jc w:val="left"/>
        <w:rPr/>
      </w:pPr>
      <w:hyperlink w:anchor="i0793deae5cd046c6ad1c44504a4deb1d_7">
        <w:r>
          <w:rPr>
            <w:rStyle w:val="InternetLink"/>
            <w:rFonts w:ascii="Times New Roman;sans-serif" w:hAnsi="Times New Roman;sans-serif"/>
            <w:b w:val="false"/>
            <w:color w:val="0000FF"/>
            <w:sz w:val="22"/>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 of Cash Flows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65"/>
        <w:gridCol w:w="2222"/>
        <w:gridCol w:w="2235"/>
        <w:gridCol w:w="258"/>
        <w:gridCol w:w="1018"/>
        <w:gridCol w:w="133"/>
        <w:gridCol w:w="109"/>
        <w:gridCol w:w="109"/>
        <w:gridCol w:w="109"/>
        <w:gridCol w:w="279"/>
        <w:gridCol w:w="960"/>
        <w:gridCol w:w="208"/>
      </w:tblGrid>
      <w:tr>
        <w:trPr/>
        <w:tc>
          <w:tcPr>
            <w:tcW w:w="256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(Continued from the previous page)</w:t>
            </w:r>
          </w:p>
        </w:tc>
        <w:tc>
          <w:tcPr>
            <w:tcW w:w="31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70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acquisition of TWMH and TIG historical equity</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payments of notes receivable from members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the repayment of advances and loans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delayed share purchase agreement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Payout Right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investments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LXi REIT Advisors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(114,129)</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preferred stock and warrants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contribution (distribution)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term notes and lines of credit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term notes and lines of credit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debt issuance costs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vesting of RSUs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distributions due to former TIG members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for purchase of shares to be transferred as part of Alvarium share compensation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receipts from exercise of Warrants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stock issuance costs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(176,306)</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the period</w:t>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194,096 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the period</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balance sheet cash and cash equivalents to cash flows: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on balance sheet</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included in Assets held for sale (Note 3)</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including cash in Assets held for sale</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During the Period for:</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on term notes and lines of credit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ans-serif" w:hAnsi="Times New Roman;sans-serif"/>
          <w:b w:val="false"/>
          <w:i/>
          <w:color w:val="000000"/>
          <w:sz w:val="20"/>
          <w:shd w:fill="FFFFFF" w:val="clear"/>
        </w:rPr>
        <w:t xml:space="preserve">The accompanying notes are an integral part of these </w:t>
      </w:r>
      <w:r>
        <w:rPr>
          <w:rFonts w:ascii="Times New Roman;sans-serif" w:hAnsi="Times New Roman;sans-serif"/>
          <w:b w:val="false"/>
          <w:i/>
          <w:color w:val="000000"/>
          <w:sz w:val="20"/>
        </w:rPr>
        <w:t>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(1)Description of the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AlTi Global, Inc. is a multi-disciplinary financial services business, with a diverse array of investment, advisory, and administrative capabilities. The Company is a global organization that manages or advises approximately $71.0 billion in combined assets as of March 31, 2024.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2"/>
        </w:rPr>
      </w:pPr>
      <w:r>
        <w:rPr>
          <w:rFonts w:ascii="Times New Roman;sans-serif" w:hAnsi="Times New Roman;sans-serif"/>
          <w:b/>
          <w:i/>
          <w:color w:val="000000"/>
          <w:sz w:val="22"/>
        </w:rPr>
        <w:t>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was initially incorporated in the Cayman Islands as Cartesian Growth Capital, a special purpose acquisition company. In anticipation of the Business Combination:</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The holders of the equity of the TIG Entities contributed their TWMH and TIG equity to Umbrella making TWMH and the TIG wholly owned subsidiaries of Umbrella.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 xml:space="preserve">Alvarium reorganized such that it became the wholly owned indirect subsidiary of AlTi Global Topco.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Cartesian SPAC formed Umbrella Merger Sub.</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Business Combination on January 3,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The Registrant was redomiciled as a Delaware corporation and changed its name to Alvarium Tiedemann Holdings, Inc. Effective April 19, 2023, Alvarium Tiedemann Holdings, Inc. changed its name to AlTi Global, Inc.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The Registrant acquired all the outstanding share capital of AlTi Global Topco.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Umbrella Merger Sub, LLC merged into Umbrella with AlTi Global Capital, LLC, formerly known as Alvarium Tiedemann Capital, LLC, as the surviving entity.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acquired 51% of the equity interests of Umbrella, while the existing TWMH and TIG rollover shareholders hold a 49% economic interest in Umbrella. Umbrella holds 100% of the equity interests of TWMH, TIG, and Alvarium.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Through a series of intercompany transactions, AlTi was restructured to reflect the below: </w:t>
      </w:r>
    </w:p>
    <w:p>
      <w:pPr>
        <w:pStyle w:val="TextBody"/>
        <w:bidi w:val="0"/>
        <w:spacing w:lineRule="auto" w:line="288" w:before="200" w:after="283"/>
        <w:jc w:val="left"/>
        <w:rPr/>
      </w:pPr>
      <w:r>
        <w:rPr/>
        <w:drawing>
          <wp:inline distT="0" distB="0" distL="0" distR="0">
            <wp:extent cx="6515100" cy="488632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6515100" cy="4886325"/>
                    </a:xfrm>
                    <a:prstGeom prst="rect">
                      <a:avLst/>
                    </a:prstGeom>
                  </pic:spPr>
                </pic:pic>
              </a:graphicData>
            </a:graphic>
          </wp:inline>
        </w:drawing>
      </w:r>
      <w:r>
        <w:rPr>
          <w:rFonts w:ascii="Times New Roman;sans-serif" w:hAnsi="Times New Roman;sans-serif"/>
          <w:b/>
          <w:i/>
          <w:color w:val="000000"/>
          <w:sz w:val="22"/>
        </w:rPr>
        <w:t>Capital Structure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Registrant has the following classes of shares and other instruments outstanding: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Class A Common Stock – Shares of Class A Common Stock that are publicly traded. Class A shareholders are entitled to dividends on shares of Class A Common Stock declared by the Company’s board of directors. As of March 31, 2024, the shares of Class A Common Stock represent 55.1% of the total voting power of all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 xml:space="preserve">Class B Common Stock – Shares of Class B Common Stock that are not publicly traded. Class B shareholders are entitled to distributions declared by the Company’s board of directors. The distributions are paid by Umbrella. As of March 31, 2024, the shares of Class B Common Stock represent 37.4% of the total voting power of all shares.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 xml:space="preserve">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2023 to June 30, 2023 resulted in an increase in Additional Paid-in-Capital amount of $29.5 million. As of March 31, 2024, none of such Warrants were outstanding.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Series C Cumulative Convertible Preferred Stock (the “Series C Preferred Stock”) – Shares of Series C Preferred Stock that are not publicly traded issued in connection with the sale (the “Transaction”) to CWC AlTi Investor LLC, an affiliate of Constellation Wealth Capital, LLC (“Constellation”) (combined with the Transaction, the “Constellation Transaction”). The Series C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a payment in kind increase in the stated value of the issued shares of Series C Preferred Stock or in cash. The Series C Preferred Stock will also participate with any dividends or distributions declared on the Class A Common Stock. As of March 31, 2024, the shares of Series C Preferred Stock represent 7.5% of the total voting power of all shares.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 connection with the Constellation Transaction, the Company issued warrants (the “Constellation Warrants”) to purchase 1,533,333 shares of the Company’s Class A Common Stock at an exercise price of $7.40 per share. These warrants have been classified as a liability as of March 31, 2024. No Constellation Warrants were exercised during the current reporting period.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number of shares of the Registrant that were outstanding as of March 31, 2024 and December 31, 2023:</w:t>
      </w:r>
    </w:p>
    <w:tbl>
      <w:tblPr>
        <w:tblW w:w="5680" w:type="dxa"/>
        <w:jc w:val="left"/>
        <w:tblInd w:w="0" w:type="dxa"/>
        <w:tblLayout w:type="fixed"/>
        <w:tblCellMar>
          <w:top w:w="28" w:type="dxa"/>
          <w:left w:w="28" w:type="dxa"/>
          <w:bottom w:w="28" w:type="dxa"/>
          <w:right w:w="28" w:type="dxa"/>
        </w:tblCellMar>
      </w:tblPr>
      <w:tblGrid>
        <w:gridCol w:w="743"/>
        <w:gridCol w:w="654"/>
        <w:gridCol w:w="658"/>
        <w:gridCol w:w="494"/>
        <w:gridCol w:w="494"/>
        <w:gridCol w:w="496"/>
        <w:gridCol w:w="109"/>
        <w:gridCol w:w="109"/>
        <w:gridCol w:w="109"/>
        <w:gridCol w:w="530"/>
        <w:gridCol w:w="530"/>
        <w:gridCol w:w="75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br/>
              <w:t>2023</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71,064,411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65,110,875</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48,265,195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53,219,713</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Stock</w:t>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Segments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Strategic Alternatives.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Within our Wealth Management segment, services provided principally consist of investment management and advisory services, trusts and administrative services, and family office services. The wealth management client base includes high net 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AUM or AUA (as applicable). As of March 31, 2024 and December 31, 2023, this segment had $53.5 billion and $51.0 billion, respectively, in AUM/AUA.</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traditional asset classes such as money markets, equities and fixed income, and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asset classes including private equity, private debt, hedge funds, real estate, and other assets through highly experienced third-party managers.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trust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Strategic Alternatives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Strategic alternatives services include the alternatives platform and public and private real estate (including co-investment) businesses.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The alternatives platform embodies our legacy TIG business, which is an alternative asset manager and includes our TIG Arbitrage strategy and funds managed by our External Strategic Managers, predominantly for institutional investors. The TIG Arbitrage strategy is an event-driven strategy fund that earns management fees and incentive fees based on the performance of its underlying funds and accounts. </w:t>
      </w:r>
      <w:r>
        <w:rPr>
          <w:rFonts w:ascii="Times New Roman;sans-serif" w:hAnsi="Times New Roman;sans-serif"/>
          <w:b w:val="false"/>
          <w:color w:val="231F20"/>
          <w:sz w:val="22"/>
        </w:rPr>
        <w:t>The investment strategies of the External Strategic Managers include Real Estate Bridge Lending, European Equities and Asian Credit and Special Situations. Distributions are received from the External Strategic Managers through profit or revenue sharing arrangements that are generated through management and incentive fees based on the performance of the underlying investments.</w:t>
      </w:r>
      <w:r>
        <w:rPr>
          <w:color w:val="000000"/>
        </w:rPr>
        <w:t xml:space="preserve"> </w:t>
      </w:r>
      <w:r>
        <w:rPr>
          <w:rFonts w:ascii="Times New Roman;sans-serif" w:hAnsi="Times New Roman;sans-serif"/>
          <w:b w:val="false"/>
          <w:color w:val="000000"/>
          <w:sz w:val="22"/>
        </w:rPr>
        <w:t xml:space="preserve">As of March 31, 2024 and December 31, 2023, this platform had $7.5 billion and $7.6 billion, respectively, in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 As of March 31, 2024 and December 31, 2023, our real estate co-investment platform had deployed more than $7.7 billion and $7.8 billion, respectively, of capital (inclusive of capital raised for our private real estate funds), of which approximately 14%, for both periods, has been invested by legacy Alvarium Shareholders and senior employees.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real estate business includes fund management services as well as co-investment solutions. As of March 31, 2024 and December 31, 2023, this business had approximately $10.0 billion and $12.7 billion, respectively, of AUM/AUA.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fund management business manages two funds based in the United Kingdom, LXi, a publicly traded real estate investment trust, and HLIF, a private fund, however, we are in the process of exiting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business. Fees from our real estate fund management business are earned from management and advisory services. On January 9, 2024, AlTi RE Public Markets Limited entered into heads of terms to sell 100% of the equity of LXi REIT Advisors Limited (“LRA”), the advisor to the publicly-traded fund LXi REIT plc (“LXi”), to LondonMetric Property Plc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March 31, 2024. This contingent consideration will be remeasured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xml:space="preserve">, with changes in fair value recognized in the Condensed Consolidated Statement of Operations in the period of change.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disposal was completed on March 6, 2024. As a result, the Company recognized an intangible asset impairment charge of $23.5 million, which is recorded in Impairment loss on goodwill and intangible assets in the Consolidated Statement of Operations during the year ended December 31, 2023. In addition, as of December 31, 2023, the major classes of assets and liabilities of LRA were presented as held for sale in the Consolidated Statement of Financial Position. As of the three months ended March 31, 2024, a gain on disposal of $0.2 million was recognized in Gain (loss) on investments in the Condensed Consolidated Statement of Operations. See Note 3 (Business Combinations and Divestitures) for further information.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26, 2024, AFM UK and SHIA served notice to terminate their contracts with HLIF. We are in discussions with a third-party manager to take over the management of HLIF and termination of these contracts will become effective once the transition process has completed.</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Alvarium Home REIT Advisors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Prior to the Business Combination, ARE, an indirect wholly owned subsidiary of Alvarium, entered into an agreement to sell 100% of the equity of AHRA, the investment advisor to the publicly-traded fund Home REIT, to a newly formed entity (“NewCo”) owned by the management of AHRA, for aggregate consideration approximately equal to $29 million. Consequently, AHRA has never been part of AlTi. The consideration comprised a promissory note maturing December 31, 2023, subject to extension if mutually agreed upon by the parties thereto. Additionally, ARE was granted a call option pursuant to which ARE had the right to repurchase AHRA prior to the repayment of the note for a purchase price equal to the note balance then outstanding thereunder.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Subsidiaries are companies over which a company has the power indirectly and/or directly to control the financial and operating policies so as to obtain benefits. In assessing control for accounting purposes, potential voting rights that are presently exercisable or convertible (including rights which may arise on the exercise of an option) are taken into account. With respect to the AHRA, the above arrangements resulted in AHRA continuing to be consolidated by AlTi after its legal disposal to NewCo. Due to this consolidation, after the Business Combination, an intangible asset was recognized related to the investment advisory agreement between AHRA and Home REIT.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AlTi was formed on January 3, 2023, through a business combination transaction that included certain legacy Alvarium companies.</w:t>
      </w:r>
      <w:r>
        <w:rPr>
          <w:color w:val="000000"/>
        </w:rPr>
        <w:t xml:space="preserve"> </w:t>
      </w:r>
      <w:r>
        <w:rPr>
          <w:rFonts w:ascii="Times New Roman;sans-serif" w:hAnsi="Times New Roman;sans-serif"/>
          <w:b w:val="false"/>
          <w:color w:val="000000"/>
          <w:sz w:val="22"/>
        </w:rPr>
        <w:t xml:space="preserve">While the sale of AHRA occurred prior to the Business Combination, under GAAP, its results were required to be consolidated in our financial statements until June 30, 2023, when it was deconsolidated. 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1, 2023 to June 30, 2023, and it was removed from the Consolidated Statement of Financial Position as of June 30, 2023. The deconsolidation resulted in an intangible asset impairment charge of $29.4 million, which was recorded in Impairment loss on goodwill and intangible assets in the Condensed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 ended December 31, 2023. Assets managed by AHRA, however, have been excluded from the Company’s AUM/AUA metrics since January 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(2)Summary of Significant Accounting Policies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(a)Basis of Presentation</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accompanying unaudited condensed consolidated financial statements comprise the financial statements of the Company and its subsidiaries. These condensed consolidated financial statements have been prepared under the accrual basis of accounting in accordance with U.S. GAAP and conform to prevailing practices within the financial services industry, as applicable to the Company, and should be read in conjunction with the annual financial statements included in the Annual Report.on Form 10-K filed by the Company on March 22, 2024 (as amended by the Company on Form 10-K/A filed with the SEC on April 5, 2024, the “Annual Report”).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(b)Prior Period Immaterial Corrections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Following an analysis of quantitative and qualitative factors in accordance with SEC Staff Accounting Bulletin 99, </w:t>
      </w:r>
      <w:r>
        <w:rPr>
          <w:rFonts w:ascii="Times New Roman;sans-serif" w:hAnsi="Times New Roman;sans-serif"/>
          <w:b w:val="false"/>
          <w:i/>
          <w:color w:val="000000"/>
          <w:sz w:val="22"/>
        </w:rPr>
        <w:t>Materiality</w:t>
      </w:r>
      <w:r>
        <w:rPr>
          <w:rFonts w:ascii="Times New Roman;sans-serif" w:hAnsi="Times New Roman;sans-serif"/>
          <w:b w:val="false"/>
          <w:color w:val="000000"/>
          <w:sz w:val="22"/>
        </w:rPr>
        <w:t>, the Company concluded that the errors below were immaterial to the previously issued consolidated financial statements, and thus, no restatement of any of the Company’s previously issued financial statements is necessary. The Company revised the reported balances to correct for the immaterial errors accordingly.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second quarter reporting period in 2023, the Company identified and corrected an immaterial error concerning the classification of cash outflows associated with distributions due to former TIG members in the Condensed Consolidated Statement of Cash Flows. In the Company’s previously filed Quarterly Report on Form 10-Q for the period ended March 31, 2023, these cash outflows of $7.1 million were categorized under operating activities. In accordance with ASC 230-10, the Company determined that all cash flows related to distributions due to former TIG members should be classified under financing activities in the Condensed Consolidated Statement of Cash Flows. This item had no impact on the reported net change in cash for the three months ended March 31, 2023. The Company has revised its consolidated statements of cash flows for the period ended March 31, 2023 to present the distributions as noted above.</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Additionally, during the current reporting period, the Company identified and corrected immaterial errors impacting the December 31, 2023 balances previously reported related to Accrued compensation and profit sharing, Goodwill, Accounts payable and accrued expenses and certain other balances reported within Other liabilities. These revisions resulted in an adjustment to the opening retained earnings balance for the current reporting period of $(3.0) million, a $4.2 million increase in Accrued compensation and profit sharing, a $0.3 million decrease in Goodwill, a $0.6 million increase in Other liabilities, and a $0.3 million increase in Accounts payable and accrued expenses. In conjunction with the prior period immaterial error correction, certain reclassifications have been made to prior period amounts between our Non-controlling interest in subsidiaries and Additional paid-in capital which relate to the TRA exchange of our Class B Units for shares of Class A Common Stock. These reclassifications resulted in an adjustment of $13.3 million and are reflected in our Condensed Consolidated Statement of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Mezzanine Equity and Shareholders’ Equity. These prior period reclassifications have no impact on the Company’s cash flows, net income, or total shareholders’ equity.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(c)Reclassifications </w:t>
      </w:r>
    </w:p>
    <w:p>
      <w:pPr>
        <w:pStyle w:val="TextBody"/>
        <w:bidi w:val="0"/>
        <w:spacing w:before="0" w:after="0"/>
        <w:ind w:left="0" w:right="0" w:hanging="18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amounts as of March 31, 2024 have been reclassified in our Condensed Consolidated Financial Position due to presentation changes that occurred during the current period and are not comparable to the year ended December 31, 2023. The impact of these reclassifications include a $4.8 million reclass from Accounts payable and accrued expenses to Accrued compensation and profit sharing in addition to a $3.2 million reclass from Other liabilities to Accrued compensation and profit sharing.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(d)Use of Estimates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preparation of financial statements in conformity with US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judgements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pStyle w:val="TextBody"/>
        <w:bidi w:val="0"/>
        <w:spacing w:lineRule="auto" w:line="288" w:before="200" w:after="283"/>
        <w:ind w:left="0" w:right="0" w:hanging="540"/>
        <w:jc w:val="both"/>
        <w:rPr/>
      </w:pPr>
      <w:r>
        <w:rPr>
          <w:rFonts w:ascii="Times New Roman;sans-serif" w:hAnsi="Times New Roman;sans-serif"/>
          <w:b/>
          <w:i/>
          <w:color w:val="000000"/>
          <w:sz w:val="22"/>
        </w:rPr>
        <w:t>(e)</w:t>
      </w:r>
      <w:r>
        <w:rPr>
          <w:rFonts w:ascii="Times New Roman;sans-serif" w:hAnsi="Times New Roman;sans-serif"/>
          <w:b/>
          <w:i/>
          <w:color w:val="000000"/>
          <w:sz w:val="22"/>
          <w:shd w:fill="FFFFFF" w:val="clear"/>
        </w:rPr>
        <w:t>Consolidation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Fees that are customary and commensurate with the level of services provided by the Company, and where the Company does not hold other economic interests in the entity that would absorb more than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(f)Revenue Recognition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control is transferred to the customer, and when collection of the revenue is assessed as probable.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FOS business is also included in the Management/advisory fees line item. FOS fees are generally structured to reflect an annual agreed upon fee or they can be structured on a project/time-based fee. FOS fees are typically billed quarterly in arrears. We also generate FOS project/time-based fees arising from accounting, administration fees, set up, the Foreign Account Tax Compliance Act (“FATCA”), and other non-investment advisory services.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Fees/Income</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generates arrangement fees in its co-investment division by arranging private debt or equity financing, generally in connection with an acquisition or an investment. Arrangement fees are typically 50 to 100 basis points of equity value contributed into a transaction, and are payable upon closing of the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entity entitled to fees in respect of each of our co-investments receives such fees either monthly, quarterly or annually.</w:t>
      </w:r>
    </w:p>
    <w:p>
      <w:pPr>
        <w:pStyle w:val="TextBody"/>
        <w:bidi w:val="0"/>
        <w:spacing w:lineRule="auto" w:line="26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(g)Distributions from Investments</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(h)Cash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primarily consist of cash and money market funds. Cash balances maintained by consolidated VIEs are not considered legally restricted and are included in cash and cash equivalents on the Condensed Consolidated Statement of Financial Position.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was held across our U.S. and international markets. A majority of cash in the U.S. was held in checking accounts within the credit facility bank group, including at a major global financial institution which management believes is creditworthy.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(i)Restricted Cash and Cash Equivalents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Restricted cash and cash equivalents consist of balances that are restricted as to withdrawal or usage.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and December 31, 2023, restricted cash and cash equivalents amounted to $4.2 million and $5.4 million, and are included in the line item Cash and cash equivalents on the Condensed Consolidated Statement of Financial Position and Consolidated Statement of Financial Position, respectively. These amounts represent the level of liquidity to be maintained by Company’s certain subsidiaries to meet regulatory requirements. Failing to meet the requirement could lead to censure, fines and ultimately a loss of license.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(j)Compensation and Employee Benefits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Cash-Based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and benefits consist of salaries, bonuses, commissions, benefits and payroll taxes. Compensation is accrued over the related service period.</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Equity-Based Compensation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(k)Foreign Currency and Transactions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which the Company intends to repay in the foreseeable future are recorded in net income.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(l)Income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income taxes under the asset and liability method in accordance with ASC 740.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(m)Other Assets, Net and Other Liabilities,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assets, net include prepaid expenses, miscellaneous receivables, current income taxes receivable, fixed assets, and software licenses. The Company amortizes assets over their respective useful lives, as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 liabilities, net include the AlTi Wealth Management (Switzerland) SA, formerly known as Alvarium Investment Managers (Suisse) SA, (“AWMS”) deferred cash consideration (see Note 3 (Business Combinations and Divestitures)), accrued payroll and payroll related taxes, accrued legal fees, and corporate taxes payable, among other miscellaneous payables.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(n)Investments</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in Debt Securities.</w:t>
      </w:r>
      <w:r>
        <w:rPr>
          <w:color w:val="000000"/>
        </w:rPr>
        <w:t xml:space="preserve"> </w:t>
      </w:r>
      <w:r>
        <w:rPr>
          <w:rFonts w:ascii="Times New Roman;sans-serif" w:hAnsi="Times New Roman;sans-serif"/>
          <w:b w:val="false"/>
          <w:color w:val="000000"/>
          <w:sz w:val="22"/>
        </w:rPr>
        <w:t>The Company classifies debt investments as held-to-maturity or trading based on the Company’s intent and ability to hold the debt security to maturity or its intent to sell the security. The Company does not have any held-to-maturity debt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Trading securities are those investments that are purchased principally for the purpose of selling them in the near term. Trading securities are carried at fair value on the Condensed Consolidated Statement of Financial Position with changes in fair value recorded in Loss on investments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Investments in Equity Securities</w:t>
      </w:r>
      <w:r>
        <w:rPr>
          <w:rFonts w:ascii="Times New Roman;sans-serif" w:hAnsi="Times New Roman;sans-serif"/>
          <w:b w:val="false"/>
          <w:color w:val="000000"/>
          <w:sz w:val="22"/>
        </w:rPr>
        <w:t xml:space="preserve">. Equity securities are generally carried at fair value on the Condensed Consolidated Statement of Financial Position in accordance with ASC 321, </w:t>
      </w:r>
      <w:r>
        <w:rPr>
          <w:rFonts w:ascii="Times New Roman;sans-serif" w:hAnsi="Times New Roman;sans-serif"/>
          <w:b w:val="false"/>
          <w:i/>
          <w:color w:val="000000"/>
          <w:sz w:val="22"/>
        </w:rPr>
        <w:t xml:space="preserve">Investments –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pPr>
      <w:r>
        <w:rPr>
          <w:rFonts w:ascii="Times New Roman;sans-serif" w:hAnsi="Times New Roman;sans-serif"/>
          <w:b w:val="false"/>
          <w:i/>
          <w:color w:val="000000"/>
          <w:sz w:val="22"/>
        </w:rPr>
        <w:t>Securities</w:t>
      </w:r>
      <w:r>
        <w:rPr>
          <w:rFonts w:ascii="Times New Roman;sans-serif" w:hAnsi="Times New Roman;sans-serif"/>
          <w:b w:val="false"/>
          <w:color w:val="000000"/>
          <w:sz w:val="22"/>
        </w:rPr>
        <w:t>. Changes in fair value are recorded in Loss on investments on the Condensed Consolidated Statement of Operations.</w:t>
      </w:r>
    </w:p>
    <w:p>
      <w:pPr>
        <w:pStyle w:val="TextBody"/>
        <w:bidi w:val="0"/>
        <w:spacing w:lineRule="auto" w:line="288" w:before="200" w:after="283"/>
        <w:jc w:val="both"/>
        <w:rPr/>
      </w:pPr>
      <w:r>
        <w:rPr>
          <w:rFonts w:ascii="Times New Roman;sans-serif" w:hAnsi="Times New Roman;sans-serif"/>
          <w:b w:val="false"/>
          <w:i/>
          <w:color w:val="000000"/>
          <w:sz w:val="22"/>
        </w:rPr>
        <w:t>Equity Method</w:t>
      </w:r>
      <w:r>
        <w:rPr>
          <w:rFonts w:ascii="Times New Roman;sans-serif" w:hAnsi="Times New Roman;sans-serif"/>
          <w:b w:val="false"/>
          <w:color w:val="000000"/>
          <w:sz w:val="22"/>
        </w:rPr>
        <w:t xml:space="preserve">. The Company applies the equity method of accounting for equity investments where the Company does not consolidate the 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(o)Leases</w:t>
      </w:r>
    </w:p>
    <w:p>
      <w:pPr>
        <w:pStyle w:val="TextBody"/>
        <w:bidi w:val="0"/>
        <w:spacing w:before="0" w:after="0"/>
        <w:ind w:left="0" w:right="0" w:hanging="18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 xml:space="preserve">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(p)Intangible Assets Other Than 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indicators of impairment, and no impairment charges were recognized for the three months ended March 31, 2024. As of December 31, 2023, the Company recognized intangible asset impairment charges of $52.9 million. See Note 10 (Intangible assets, net) for further detail.</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(q)Goodwill</w:t>
      </w:r>
    </w:p>
    <w:p>
      <w:pPr>
        <w:pStyle w:val="TextBody"/>
        <w:bidi w:val="0"/>
        <w:spacing w:lineRule="auto" w:line="288" w:before="200" w:after="283"/>
        <w:jc w:val="both"/>
        <w:rPr/>
      </w:pPr>
      <w:r>
        <w:rPr>
          <w:rFonts w:ascii="Times New Roman;sans-serif" w:hAnsi="Times New Roman;sans-serif"/>
          <w:b w:val="false"/>
          <w:color w:val="000000"/>
          <w:sz w:val="22"/>
        </w:rPr>
        <w:t xml:space="preserve">Goodwill represents the excess of the purchase price in a business combination over the fair value of the tangible and intangible assets acquired and the liabilities assumed. Under ASC 350, </w:t>
      </w:r>
      <w:r>
        <w:rPr>
          <w:rFonts w:ascii="Times New Roman;sans-serif" w:hAnsi="Times New Roman;sans-serif"/>
          <w:b w:val="false"/>
          <w:i/>
          <w:color w:val="000000"/>
          <w:sz w:val="22"/>
        </w:rPr>
        <w:t>Intangibles—Goodwill and Other</w:t>
      </w:r>
      <w:r>
        <w:rPr>
          <w:rFonts w:ascii="Times New Roman;sans-serif" w:hAnsi="Times New Roman;sans-serif"/>
          <w:b w:val="false"/>
          <w:color w:val="000000"/>
          <w:sz w:val="22"/>
        </w:rPr>
        <w:t xml:space="preserve">, goodwill is not amortized, but rather is subject to an annual impairment test. Goodwill represents the excess of consideration over identifiable net assets of an acquired business. Goodwill is allocated at a reporting unit level. The Company has two reporting units,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Alternatives and Wealth Management, and tests goodwill annually for impairment at each reporting unit. If, after assessing qualitative factors, the Company believes that it is more-likely-than-not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The Company concluded that the estimated fair value of the Strategic Alternatives and Wealth Management reporting units were greater than their carrying values, and as such, no impairment charges were required for the three months ended March 31, 2024. As of December 31, 2023, the Company recognized goodwill impairment charges of $(153.9) million for the Strategic Alternatives segment and no goodwill impairment charges for the Wealth Management segment. See Note 13 (Goodwill, net).</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(r)Fixed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(s)Debt Obligations,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debt obligations are recorded at amortized cost, net of any debt issuance costs, discounts and premiums. Debt issuances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 </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(t)Tax Receivable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Condensed Consolidated Statement of Operations. Future exchanges of Class B Units for shares of Class A Common Stock may increase the TRA liability. Those increases will be carried at a value equal to the expected future payments due under the TRA. On August 31, 2023, holders of shares of Class B Common Stock exchanged 1,813,248 Class B Paired Interests with the Company, in exchange for shares of Class A Common Stock on a 1:1 basis totaling an amount equal to $7.31 multiplied by the total number of shares of Class A Common Stock received at the time of the transaction. On March 11, 2024, holders of Class B Common Stock exchanged 4,954,518 Class B Paired Interests with the Company, in exchange for shares of Class A Common Stock on a 1:1 basis totaling an amount equal to $6.61 multiplied by the total number of shares of Class B Common Stock exchanged at the time of the transaction. For future increases due to exchanges, the Company will record an initial estimate of future payments under the TRA portion as a decrease to additional paid-in capital in the Condensed Consolidated Statement of Financial Position. Subsequent adjustments to the liability for future payments under the TRA related to changes in estimated future tax rates or state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apportionment are recognized through current period earnings in the Condensed Consolidated Statement of Operations.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(u)Warrant Liabilities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2"/>
        </w:rPr>
        <w:t xml:space="preserve">The Company evaluated the Warrants issued in connection with the January 3, 2023 business combination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xml:space="preserve">, with changes in fair value recognized in Loss on warrant liability in the Condensed Consolidated Statement of Operations in the period of change. Prior to the Business Combination the Sponsor held private warrants that were contributed to the Company and legally cancelled. The contribution and cancellation of these warrants resulted in derecognition of the private warrants and accounted for in additional paid in capital as of January 1, 2023. The Company subsequently issued new warrants with terms identical to those of the public warrants to the Target Companies’ selling shareholders classified as derivative liabilities. On June 7, 2023, the Company closed an offer and consent solicitation and entered into a warrant amendment, pursuant to which the remaining Warrants were exchanged. In total, the Warrants were exchanged for approximately 4,962,221 shares of Class A Common Stock. See Note 1 (Description of the Business). Following the exchange, none of the Warrants remained outstanding as of December 31, 2023. </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2"/>
        </w:rPr>
        <w:t xml:space="preserve">On March 27, 2024, the Company completed the issuance of Constellation Warrants to purchase 1,533,333 shares of the Company’s Class A Common Stock. The Company evaluated the Constellation Warrants in accordance with ASC 815-40 and determined that a provision in the agreement related to a change of control adjustment would preclude equity classification as the Constellation Warrants would no longer be a fixed-for-fixed option. The Constellation Warrants meet the definition of a derivative and are recorded as a derivative liability on the balance sheet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any changes in fair value to be recognized in the Consolidated Statement of Operations in the period of change. As of March 31, 2024, none of the Constellation Warrants have been exercised.</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(v)Business Combination Earn-out Liability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Business Combination Earn-out Securities, comprised of 3.3 million Class A Shares, 7.1 million shares of Class B Common Stock, and 7.1 million Class B Units (one Class B share and one Class B Unit comprising a Paired Interest, as described in Note 3 (Business Combination)),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The Company evaluated the terms of the Business Combination earn-out agreement in accordance with ASC 815-40 and concluded that the Business Combination Earn-out Securities are precluded from being accounted for as a component of equity. Since the Business Combination earn-out agreement meets the definition of a derivative, the Business Combination Earn-out Securities are recorded in Earn-out liability, at fair value, as a derivative liability on the Condensed Consolidated Statement of Financial Position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xml:space="preserve">, with changes in fair value recognized in Gain (loss) on earn-out liability in the Condensed Consolidated Statement of Operations and in Fair value of earn-out liability in the Condensed Consolidated Statement of Cash Flows in the period of change. </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(w)AWMS Earn-out Liability</w:t>
      </w:r>
    </w:p>
    <w:p>
      <w:pPr>
        <w:pStyle w:val="TextBody"/>
        <w:bidi w:val="0"/>
        <w:spacing w:before="0" w:after="0"/>
        <w:ind w:left="0" w:right="0" w:hanging="180"/>
        <w:jc w:val="both"/>
        <w:rPr/>
      </w:pPr>
      <w:r>
        <w:rPr/>
      </w:r>
    </w:p>
    <w:p>
      <w:pPr>
        <w:pStyle w:val="TextBody"/>
        <w:bidi w:val="0"/>
        <w:spacing w:lineRule="auto" w:line="256" w:before="0" w:after="0"/>
        <w:ind w:left="0" w:right="0" w:hanging="180"/>
        <w:jc w:val="both"/>
        <w:rPr/>
      </w:pPr>
      <w:r>
        <w:rPr>
          <w:rFonts w:ascii="Times New Roman;sans-serif" w:hAnsi="Times New Roman;sans-serif"/>
          <w:b w:val="false"/>
          <w:color w:val="000000"/>
          <w:sz w:val="22"/>
        </w:rPr>
        <w:t>On August 2, 2023, (the “AWMS Acquisition Date”), the Company acquired the remaining 70% of the issued and outstanding ownership and membership interests of AWMS, increasing its interest from 30% to 100% (the “AWMS Acquisition”).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(“AWMS earn-out liability”), and the payment of assumed liabilities. As of March 31, 2024 and December 31, 2023, the AWMS earn-out liability of $1.1 million</w:t>
      </w:r>
      <w:r>
        <w:rPr>
          <w:color w:val="000000"/>
        </w:rPr>
        <w:t xml:space="preserve"> </w:t>
      </w:r>
      <w:r>
        <w:rPr>
          <w:rFonts w:ascii="Times New Roman;sans-serif" w:hAnsi="Times New Roman;sans-serif"/>
          <w:b w:val="false"/>
          <w:color w:val="000000"/>
          <w:sz w:val="22"/>
        </w:rPr>
        <w:t xml:space="preserve">and $1.1 million, is reported in Earn-out liability, at fair value, in the Condensed Consolidated Statement of Financial Position and Consolidated Statement of Financial Position, respectively.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to be recognized in Gain (loss) on earn-out liability in the Condensed Consolidated Statement of Operations and in Fair value of earn-out liability in the Condensed Consolidated Statement of Cash Flows in the period of change. See Note 3 (Business Combinations and Divestiture) for further information.</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(x)Delayed Share Purchase Agreement</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Business Combination, TWMH entered into an agreement to purchase a remaining non-controlling interest in its consolidated subsidiary representing 51.1% of shares in TIH. This arrangement was agreed upon for consideration of $2.1 million in cash and $1.2 million in Class A Common Stock. On March 25, 2024, the TIH SPA was fully paid. As of December 31, 2023, the Delayed share purchase agreement liability was $1.8 million and the portion of the Delayed share purchase agreement reported in Accrued compensation and profit sharing was $0.3 million. The stock purchase price was recognized in the Consolidated Statement of Financial Condition as additional paid-in capital. As of December 31, 2023, the portion of the delayed share purchase agreement reported in Additional paid-in capital was $1.2 million.</w:t>
      </w:r>
    </w:p>
    <w:p>
      <w:pPr>
        <w:pStyle w:val="TextBody"/>
        <w:bidi w:val="0"/>
        <w:spacing w:lineRule="auto" w:line="26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(y)Non-controlling Interests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(z)Derivative Financial Instruments</w:t>
      </w:r>
    </w:p>
    <w:p>
      <w:pPr>
        <w:pStyle w:val="TextBody"/>
        <w:bidi w:val="0"/>
        <w:spacing w:lineRule="auto" w:line="288" w:before="200" w:after="283"/>
        <w:jc w:val="both"/>
        <w:rPr/>
      </w:pPr>
      <w:r>
        <w:rPr>
          <w:rFonts w:ascii="Times New Roman;sans-serif" w:hAnsi="Times New Roman;sans-serif"/>
          <w:b w:val="false"/>
          <w:color w:val="000000"/>
          <w:sz w:val="22"/>
        </w:rPr>
        <w:t xml:space="preserve">The Company accounts for derivative financial instruments in accordance with ASC 815, </w:t>
      </w:r>
      <w:r>
        <w:rPr>
          <w:rFonts w:ascii="Times New Roman;sans-serif" w:hAnsi="Times New Roman;sans-serif"/>
          <w:b w:val="false"/>
          <w:i/>
          <w:color w:val="000000"/>
          <w:sz w:val="22"/>
        </w:rPr>
        <w:t>Derivatives and Hedging</w:t>
      </w:r>
      <w:r>
        <w:rPr>
          <w:rFonts w:ascii="Times New Roman;sans-serif" w:hAnsi="Times New Roman;sans-serif"/>
          <w:b w:val="false"/>
          <w:color w:val="000000"/>
          <w:sz w:val="22"/>
        </w:rPr>
        <w:t xml:space="preserve">, which requires the Company to recognize all derivative instruments on the Condensed Consolidated Statement of Financial Position as either assets or liabilities and to measure them at fair value each reporting period unless they qualify for a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4" w:before="0" w:after="0"/>
        <w:jc w:val="both"/>
        <w:rPr/>
      </w:pPr>
      <w:r>
        <w:rPr>
          <w:rFonts w:ascii="Times New Roman;sans-serif" w:hAnsi="Times New Roman;sans-serif"/>
          <w:b w:val="false"/>
          <w:color w:val="000000"/>
          <w:sz w:val="22"/>
        </w:rPr>
        <w:t xml:space="preserve">In connection with the LXi disposal, the Company determined the contingent consideration meets the definition of a derivative and is recorded as Contingent consideration receivable on the Condensed Consolidated Statement of Financial Position as of March 31, 2024. The Contingent consideration receivable will be remeasured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recognized in the Condensed Consolidated Statement of Operations in the period of change.</w:t>
      </w:r>
    </w:p>
    <w:p>
      <w:pPr>
        <w:pStyle w:val="TextBody"/>
        <w:bidi w:val="0"/>
        <w:spacing w:lineRule="auto" w:line="288"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(aa)Segment Reporting</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organized into two operating segments: Wealth Management and Strategic Alternatives. Segment information is utilized by the Company’s chief operating decision maker, which is our Chief Executive Officer, to assess performance and to allocate resources. Described below are the segments and the revenue generated by each, which broadly fall into three categories: recurring management, advisory, or administration fees; performance or incentive fees; and transaction fees.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Wealth Management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Wealth Management services principally consist of investment management and advisory services, trusts and administrative services, and family office services. Our wealth management client base includes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March 31, 2024 and December 31, 2023, this segment had $53.5 billion and $51.0 billion, respectively, in AUM/AUA.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 Management and Advisory Services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 </w:t>
      </w:r>
    </w:p>
    <w:p>
      <w:pPr>
        <w:pStyle w:val="TextBody"/>
        <w:bidi w:val="0"/>
        <w:spacing w:before="0" w:after="0"/>
        <w:jc w:val="both"/>
        <w:rPr/>
      </w:pPr>
      <w:r>
        <w:rPr/>
      </w:r>
    </w:p>
    <w:p>
      <w:pPr>
        <w:pStyle w:val="TextBody"/>
        <w:bidi w:val="0"/>
        <w:spacing w:lineRule="auto" w:line="25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Trusts and Administration Services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Family Office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Strategic Alternatives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strategic alternatives services include alternatives platform and public and private real estate (including co-investment) businesses.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 strategy through which management fees and incentive fees based on performance are received from the underlying funds and accounts. </w:t>
      </w:r>
      <w:r>
        <w:rPr>
          <w:rFonts w:ascii="Times New Roman;sans-serif" w:hAnsi="Times New Roman;sans-serif"/>
          <w:b w:val="false"/>
          <w:color w:val="231F20"/>
          <w:sz w:val="22"/>
        </w:rPr>
        <w:t>The strategies of our External 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 investments.</w:t>
      </w:r>
      <w:r>
        <w:rPr>
          <w:color w:val="000000"/>
        </w:rPr>
        <w:t xml:space="preserve"> </w:t>
      </w:r>
      <w:r>
        <w:rPr>
          <w:rFonts w:ascii="Times New Roman;sans-serif" w:hAnsi="Times New Roman;sans-serif"/>
          <w:b w:val="false"/>
          <w:color w:val="000000"/>
          <w:sz w:val="22"/>
        </w:rPr>
        <w:t>As of March 31, 2024 and December 31, 2023, this platform had $7.5 billion and $7.6 billion, respectively, in AUM/AUA.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 Public and Private</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Our real estate business includes co-investment solutions and fund management services.</w:t>
      </w:r>
      <w:r>
        <w:rPr>
          <w:color w:val="000000"/>
        </w:rPr>
        <w:t xml:space="preserve"> </w:t>
      </w:r>
      <w:r>
        <w:rPr>
          <w:rFonts w:ascii="Times New Roman;sans-serif" w:hAnsi="Times New Roman;sans-serif"/>
          <w:b w:val="false"/>
          <w:color w:val="000000"/>
          <w:sz w:val="22"/>
        </w:rPr>
        <w:t>As of March 31, 2024 and December 31, 2023, this business had approximately $10.0 billion and $12.7 billion, respectively, of AUM/AUA.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co-investment business, oversees deal origination, documentation, and structuring from inception to exit for a variety of strategies including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real estate fund management business managed two funds that were marketed primarily in the United Kingdom to institutional investors, primarily pension funds, as well as to retail investors. Fees from our real estate fund management business are earned from management and advisory fees. </w:t>
      </w:r>
    </w:p>
    <w:p>
      <w:pPr>
        <w:pStyle w:val="TextBody"/>
        <w:bidi w:val="0"/>
        <w:spacing w:lineRule="auto" w:line="256" w:before="20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(ab)Interest Income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income is earned on the Company’s cash balances, money market accounts, or through its investments in exchange-traded notes. These generally include debt securities held on a short- or medium-term basis when the Company has excess cash. The Company recognizes and records interest income in Interest income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Dividend income is earned through investments in common stock, mutual funds, and exchange-traded funds. Dividend income is recorded on the date received and is included in Interest income in the Condensed Consolidated Statement of Operations. </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(ac)Interest Expense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Condensed Consolidated Statement of Operations.</w:t>
      </w:r>
    </w:p>
    <w:p>
      <w:pPr>
        <w:pStyle w:val="TextBody"/>
        <w:bidi w:val="0"/>
        <w:spacing w:before="0" w:after="0"/>
        <w:ind w:left="0" w:right="0" w:hanging="180"/>
        <w:jc w:val="both"/>
        <w:rPr/>
      </w:pPr>
      <w:r>
        <w:rPr/>
      </w:r>
    </w:p>
    <w:p>
      <w:pPr>
        <w:pStyle w:val="TextBody"/>
        <w:bidi w:val="0"/>
        <w:spacing w:lineRule="auto" w:line="288" w:before="0" w:after="0"/>
        <w:ind w:left="0" w:right="0" w:hanging="540"/>
        <w:jc w:val="left"/>
        <w:rPr>
          <w:rFonts w:ascii="Times New Roman;sans-serif" w:hAnsi="Times New Roman;sans-serif"/>
          <w:b/>
          <w:i/>
          <w:color w:val="000000"/>
          <w:sz w:val="22"/>
        </w:rPr>
      </w:pPr>
      <w:r>
        <w:rPr>
          <w:rFonts w:ascii="Times New Roman;sans-serif" w:hAnsi="Times New Roman;sans-serif"/>
          <w:b/>
          <w:i/>
          <w:color w:val="000000"/>
          <w:sz w:val="22"/>
        </w:rPr>
        <w:t>(ad)Other Income and Expenses</w:t>
      </w:r>
    </w:p>
    <w:p>
      <w:pPr>
        <w:pStyle w:val="TextBody"/>
        <w:bidi w:val="0"/>
        <w:spacing w:before="0" w:after="0"/>
        <w:ind w:left="0" w:right="0" w:hanging="180"/>
        <w:jc w:val="left"/>
        <w:rPr/>
      </w:pPr>
      <w:r>
        <w:rPr/>
      </w:r>
    </w:p>
    <w:p>
      <w:pPr>
        <w:pStyle w:val="TextBody"/>
        <w:bidi w:val="0"/>
        <w:spacing w:lineRule="auto" w:line="288" w:before="0" w:after="0"/>
        <w:ind w:left="0" w:right="0" w:hanging="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Other than Interest income and Interest expense discussed above, other income and expenses include unrealized gains (losses) on investments, income from equity method investees, and other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Loss on investments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Loss on investments in the Condensed Consolidated Statement of Operations.</w:t>
      </w:r>
    </w:p>
    <w:p>
      <w:pPr>
        <w:pStyle w:val="TextBody"/>
        <w:bidi w:val="0"/>
        <w:spacing w:before="60" w:after="283"/>
        <w:jc w:val="both"/>
        <w:rPr/>
      </w:pPr>
      <w:r>
        <w:rPr/>
      </w:r>
    </w:p>
    <w:p>
      <w:pPr>
        <w:pStyle w:val="TextBody"/>
        <w:bidi w:val="0"/>
        <w:spacing w:lineRule="auto" w:line="288" w:before="60" w:after="283"/>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(ae)Held for Sale Accounting</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circumstances when the Company is evaluating its components, we may establish plans that require us to evaluate whether a component qualifies for held-for-sale accounting under ASC 360, </w:t>
      </w:r>
      <w:r>
        <w:rPr>
          <w:rFonts w:ascii="Times New Roman;sans-serif" w:hAnsi="Times New Roman;sans-serif"/>
          <w:b w:val="false"/>
          <w:i/>
          <w:color w:val="000000"/>
          <w:sz w:val="22"/>
        </w:rPr>
        <w:t>Property, Plant, and Equipment</w:t>
      </w:r>
      <w:r>
        <w:rPr>
          <w:rFonts w:ascii="Times New Roman;sans-serif" w:hAnsi="Times New Roman;sans-serif"/>
          <w:b w:val="false"/>
          <w:color w:val="000000"/>
          <w:sz w:val="22"/>
        </w:rPr>
        <w:t xml:space="preserve">.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cost to sell. Any long-lived assets shall not be depreciated or amortized while classified as held for sale. On November 6, 2023, the Company entered into an agreement to sell FOS for a cash consideration of approximately $20.1 million. On March 6, 2024, the Company completed the sale of LRA, for fixed consideration of approximately $33.1 million and up to an estimated $5.1 million of contingent consideration. Assets and liabilities of FOS and LRA are presented as held for sale on our Condensed Consolidated Statement of Financial Position as of March 31, 2024 and on our Consolidated Statement of Financial Position as of December 31, 2023.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Times New Roman;sans-serif" w:hAnsi="Times New Roman;sans-serif"/>
          <w:b/>
          <w:i/>
          <w:color w:val="000000"/>
          <w:sz w:val="22"/>
        </w:rPr>
      </w:pPr>
      <w:r>
        <w:rPr>
          <w:rFonts w:ascii="Times New Roman;sans-serif" w:hAnsi="Times New Roman;sans-serif"/>
          <w:b/>
          <w:i/>
          <w:color w:val="000000"/>
          <w:sz w:val="22"/>
        </w:rPr>
        <w:t xml:space="preserve">(af)Recent Accounting Pronouncements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its overall clarity and operability without changing the guidance. The amendments are effective for annual periods beginning after December 15, 2024, and interim periods within annual periods beginning after December 15, 2025, with early adoption permitted. The Company does not expect the impact of this guidance to be material to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considered all newly issued accounting guidance that is applicable to its operations and the preparation of its unaudited condensed consolidated statements, including those it has not yet adopted. ASUs not listed above were assessed and either determined to be not applicable or expected to have minimal impact on the Company's condensed consolidated financial statements.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(3)Business Combinations and Divestitures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AlTi Global Business Combination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VIE, and the Company is the primary beneficiary of Umbrella. ASC 805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met the requirements to be considered a business combination under ASC 805. The assets and liabilities acquired from the Target Companies, affected for adjustments to reflect fair market values assigned to assets purchased and liabilities assumed, and results of operations, are included in the Company’s condensed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Condensed Consolidated Statement of Financial Position.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Class B Unit of Umbrella is paired with a share of Class B Common Stock (collectively, the “Paired Interests”). Pursuant to the Umbrella LLC Agreement, a Paired Interest is exchangeable at any time after the lock-up period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Company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Sponsor, in connection with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did not include any future service requirements. As such, this cost of 8,625,000 shares at $10.33 per share for $89.1 million will be presented “on the line” and is not reflected in the financial statements presented. “On the line” describes those expenses triggered by the consummation of a business combination that are not recognized in the Condensed Consolidated Statement of Operations as they are not directly attributable to either period but instead were contingent on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part of the Business Combination, the Company incurred $17.8 million of acquisition-related costs during the three months ended March 31, 2023 which are included predominantly in the “Professional fees” line in the Condensed Consolidated Statement of Operations.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Condensed Consolidated Statement of Financial Position. $2.8 million of the debt issuance costs related to the undrawn amount of the Revolver were recorded in the “Other assets” line item of the Condensed Consolidated Statement of Financial Position.</w:t>
      </w:r>
    </w:p>
    <w:p>
      <w:pPr>
        <w:pStyle w:val="TextBody"/>
        <w:bidi w:val="0"/>
        <w:spacing w:lineRule="auto" w:line="288" w:before="200" w:after="283"/>
        <w:jc w:val="both"/>
        <w:rPr/>
      </w:pPr>
      <w:r>
        <w:rPr>
          <w:rFonts w:ascii="Times New Roman;sans-serif" w:hAnsi="Times New Roman;sans-serif"/>
          <w:b w:val="false"/>
          <w:color w:val="000000"/>
          <w:sz w:val="22"/>
        </w:rPr>
        <w:t>The Business Combination was accounted for using the acquisition method of accounting, and the fair value of the total purchase consideration transferred was $1,071.1 million. Included in total purchase consideration is contingent consideration of $85.1 million</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2"/>
        </w:rPr>
        <w:t xml:space="preserve">which is payable to the selling shareholders upon achievement of certain volume-weighted average price targets for the shares of Class A Common Stock or upon a change of control of the Company occurring between the Closing Date and the fifth anniversary of the Closing Date. The contingent consideration was measured at fair value at the acquisition date and recorded as a liability in the Earn-out liability line of the Condensed Consolidated Statement of Financial Position. See Note 2 (Summary of Significant Accounting Policies) for additional information. </w:t>
      </w:r>
    </w:p>
    <w:tbl>
      <w:tblPr>
        <w:tblW w:w="5660" w:type="dxa"/>
        <w:jc w:val="left"/>
        <w:tblInd w:w="0" w:type="dxa"/>
        <w:tblLayout w:type="fixed"/>
        <w:tblCellMar>
          <w:top w:w="28" w:type="dxa"/>
          <w:left w:w="28" w:type="dxa"/>
          <w:bottom w:w="28" w:type="dxa"/>
          <w:right w:w="28" w:type="dxa"/>
        </w:tblCellMar>
      </w:tblPr>
      <w:tblGrid>
        <w:gridCol w:w="1503"/>
        <w:gridCol w:w="1321"/>
        <w:gridCol w:w="1330"/>
        <w:gridCol w:w="226"/>
        <w:gridCol w:w="112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Amount </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consideration</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consideration:</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Class A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294,159 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Class 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Warrants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Earn-out consideration</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 Receivable Agreement</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assumed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1,071,116 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Business Combination:</w:t>
      </w:r>
    </w:p>
    <w:tbl>
      <w:tblPr>
        <w:tblW w:w="6374" w:type="dxa"/>
        <w:jc w:val="left"/>
        <w:tblInd w:w="0" w:type="dxa"/>
        <w:tblLayout w:type="fixed"/>
        <w:tblCellMar>
          <w:top w:w="28" w:type="dxa"/>
          <w:left w:w="28" w:type="dxa"/>
          <w:bottom w:w="28" w:type="dxa"/>
          <w:right w:w="28" w:type="dxa"/>
        </w:tblCellMar>
      </w:tblPr>
      <w:tblGrid>
        <w:gridCol w:w="1682"/>
        <w:gridCol w:w="1478"/>
        <w:gridCol w:w="1489"/>
        <w:gridCol w:w="259"/>
        <w:gridCol w:w="1290"/>
        <w:gridCol w:w="176"/>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Business </w:t>
              <w:br/>
              <w:t xml:space="preserve">Combination </w:t>
              <w:br/>
              <w:t>Date Fair Value</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24,023 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42,381 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148,674 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method investments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42,185 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520,161 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530,546 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28,487 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47,251 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1,387,704</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72,022 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compensation and profit sharing</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Accrued member distributions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Delayed share purchase agreement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Earn-in consideration payable</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liabilities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29,047 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Debt</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124,533 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tax liability, net</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34,640 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316,582</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1,071,122</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Non-controlling interest in subsidiaries</w:t>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1,071,116</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the exception of operating right-of-use assets and operating lease liabilities accounted for under Topic 842, in accordance with Accounting Standards Codification, or ASC 805, the assets and liabilities were recorded at their respective fair values as of January 1,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Strategic Alternatives.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goodwill allocation between wealth management and strategic alternatives is $298.1 million and $232.4 million, respectively.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Business Combination (in thousands):</w:t>
      </w:r>
    </w:p>
    <w:tbl>
      <w:tblPr>
        <w:tblW w:w="8815" w:type="dxa"/>
        <w:jc w:val="left"/>
        <w:tblInd w:w="0" w:type="dxa"/>
        <w:tblLayout w:type="fixed"/>
        <w:tblCellMar>
          <w:top w:w="28" w:type="dxa"/>
          <w:left w:w="28" w:type="dxa"/>
          <w:bottom w:w="28" w:type="dxa"/>
          <w:right w:w="28" w:type="dxa"/>
        </w:tblCellMar>
      </w:tblPr>
      <w:tblGrid>
        <w:gridCol w:w="1835"/>
        <w:gridCol w:w="1612"/>
        <w:gridCol w:w="1622"/>
        <w:gridCol w:w="315"/>
        <w:gridCol w:w="1318"/>
        <w:gridCol w:w="151"/>
        <w:gridCol w:w="109"/>
        <w:gridCol w:w="109"/>
        <w:gridCol w:w="109"/>
        <w:gridCol w:w="478"/>
        <w:gridCol w:w="478"/>
        <w:gridCol w:w="679"/>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Acquisition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Estimated Life </w:t>
              <w:br/>
              <w:t>(Years)</w:t>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Names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163,392 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27.1</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(definite life)</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94,575 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18.4</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Investment Management Agreements (indefinite life)</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245,900 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Indefinite</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Developed Technology</w:t>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Backlog</w:t>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599 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0.5</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 acquired</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520,161 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intangible assets acquired and subject to amortization have a weighted average useful life of 23.0 years.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2"/>
        </w:rPr>
      </w:pPr>
      <w:r>
        <w:rPr>
          <w:rFonts w:ascii="Times New Roman;sans-serif" w:hAnsi="Times New Roman;sans-serif"/>
          <w:b/>
          <w:i/>
          <w:color w:val="000000"/>
          <w:sz w:val="22"/>
        </w:rPr>
        <w:t>Acquisition of AL Wealth Partners Pte. Ltd.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6, 2023, (the “ALWP Acquisition Date”), the Company acquired all of the issued and outstanding ownership and membership interests of AL Wealth Partners Pte. Ltd. (“AL Wealth Partners”) pursuant to the terms of the share purchase agreement between the Company and AL Wealth Partners (the “ALWP Acquisition”). The primary purpose of the ALWP Acquisition is to acquire AL Wealth Partners’ extensive business within Southeast Asia to further expand the Company’s global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ALWP Acquisition met the requirements to be considered a business combination under ASC 805. The assets and liabilities acquired from AL Wealth Partners, affected for preliminary adjustments to reflect the fair market values assigned to assets purchased and liabilities assumed, and results of operations, are included in the Company’s condensed consolidated financial statements from the ALWP Acquisition Date. The Company has allocated the purchase price to the tangible and identifiable intangible assets and liabilities assumed based on their estimated fair market values at the ALWP Acquisition Date as required under ASC 805.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ALWP Acquisition was accounted for using the acquisition method of accounting and the fair value of the total purchase consideration transferred was $15.5 million, with the total amount paid in cash. The Company will make second and third payments to the sellers of AL Wealth Partners on the third and fifth anniversary of the ALWP Acquisition Date, respectively. Management has determined that these payments will be treated as future compensation expense in the Company’s Condensed Consolidated Statement of Operations. There is no contingent consideration as part of the ALWP Acquisition.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year ended December 31, 2023, the Company incurred $0.4 million of direct acquisition-related expenses, which are recognized in the Professional fees line item of the Condensed Consolidated Statement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ALWP Acquisition:</w:t>
      </w:r>
    </w:p>
    <w:p>
      <w:pPr>
        <w:pStyle w:val="TextBody"/>
        <w:bidi w:val="0"/>
        <w:spacing w:before="0" w:after="0"/>
        <w:jc w:val="both"/>
        <w:rPr/>
      </w:pPr>
      <w:r>
        <w:rPr/>
      </w:r>
    </w:p>
    <w:tbl>
      <w:tblPr>
        <w:tblW w:w="8264" w:type="dxa"/>
        <w:jc w:val="left"/>
        <w:tblInd w:w="0" w:type="dxa"/>
        <w:tblLayout w:type="fixed"/>
        <w:tblCellMar>
          <w:top w:w="28" w:type="dxa"/>
          <w:left w:w="28" w:type="dxa"/>
          <w:bottom w:w="28" w:type="dxa"/>
          <w:right w:w="28" w:type="dxa"/>
        </w:tblCellMar>
      </w:tblPr>
      <w:tblGrid>
        <w:gridCol w:w="1683"/>
        <w:gridCol w:w="1479"/>
        <w:gridCol w:w="1487"/>
        <w:gridCol w:w="676"/>
        <w:gridCol w:w="2475"/>
        <w:gridCol w:w="464"/>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ALWP Acquisition Date 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1,092 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3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Property, plant and equipment</w:t>
            </w:r>
          </w:p>
        </w:tc>
        <w:tc>
          <w:tcPr>
            <w:tcW w:w="3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3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3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3,836 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3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3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474 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3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21,346</w:t>
            </w:r>
            <w:r>
              <w:rPr>
                <w:color w:val="000000"/>
              </w:rPr>
              <w:t>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3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368 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lease liabilities </w:t>
            </w:r>
          </w:p>
        </w:tc>
        <w:tc>
          <w:tcPr>
            <w:tcW w:w="3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3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4,400 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5,816</w:t>
            </w:r>
            <w:r>
              <w:rPr>
                <w:color w:val="000000"/>
              </w:rPr>
              <w:t>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15,530</w:t>
            </w:r>
            <w:r>
              <w:rPr>
                <w:color w:val="000000"/>
              </w:rPr>
              <w:t>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purchase price allocation is preliminary and subject to change during the measurement period, which is not to exceed one year from the Acquisition Date. At this time we do not expect any material adjustments to the above allocations.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ALWP Acquisition:</w:t>
      </w:r>
    </w:p>
    <w:p>
      <w:pPr>
        <w:pStyle w:val="TextBody"/>
        <w:bidi w:val="0"/>
        <w:spacing w:before="0" w:after="0"/>
        <w:jc w:val="left"/>
        <w:rPr/>
      </w:pPr>
      <w:r>
        <w:rPr/>
      </w:r>
    </w:p>
    <w:tbl>
      <w:tblPr>
        <w:tblW w:w="8604" w:type="dxa"/>
        <w:jc w:val="left"/>
        <w:tblInd w:w="0" w:type="dxa"/>
        <w:tblLayout w:type="fixed"/>
        <w:tblCellMar>
          <w:top w:w="28" w:type="dxa"/>
          <w:left w:w="28" w:type="dxa"/>
          <w:bottom w:w="28" w:type="dxa"/>
          <w:right w:w="28" w:type="dxa"/>
        </w:tblCellMar>
      </w:tblPr>
      <w:tblGrid>
        <w:gridCol w:w="847"/>
        <w:gridCol w:w="744"/>
        <w:gridCol w:w="748"/>
        <w:gridCol w:w="692"/>
        <w:gridCol w:w="2539"/>
        <w:gridCol w:w="338"/>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5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ALWP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12,300</w:t>
            </w: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 for customer relationships was determined using the multi-period excess earnings method. The intangible assets are subject to amortization over a useful life of 10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for the ALWP Acquisition have been included in the Company’s Condensed Consolidated Financial Statements from the date of ALWP Acquisition. The ALWP Acquisition did not have a material impact on the Company’s Condensed Consolidated Financial Statements, and, therefore, historical and pro forma disclosures have not been presented.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Acquisition of AlTi Wealth Management (Switzerland) SA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2, 2023, (the “AWMS Acquisition Date”), the Company acquired the remaining 70% of the issued and outstanding ownership and membership interests of AWMS, increasing its interest from 30% to 100% (the “AWMS Acquisition”).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AWMS Acquisition met the requirements to be considered a business combination under ASC 805. The assets and liabilities acquired from AWMS, affected for preliminary adjustments to reflect the fair market values assigned to assets purchased and liabilities assumed, and results of operations, are included in the Company’s condensed consolidated financial statements from the AWMS Acquisition Date. The Company has allocated the purchase price to the tangible and identifiable intangible assets and liabilities assumed based on their estimated fair market values at the AWMS Acquisition Date as required under ASC 805.</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and the payment of assumed liabilities. The total purchase consideration consists of the following amounts:</w:t>
      </w:r>
    </w:p>
    <w:p>
      <w:pPr>
        <w:pStyle w:val="TextBody"/>
        <w:bidi w:val="0"/>
        <w:spacing w:before="0" w:after="0"/>
        <w:jc w:val="both"/>
        <w:rPr/>
      </w:pPr>
      <w:r>
        <w:rPr/>
      </w:r>
    </w:p>
    <w:tbl>
      <w:tblPr>
        <w:tblW w:w="5864" w:type="dxa"/>
        <w:jc w:val="left"/>
        <w:tblInd w:w="0" w:type="dxa"/>
        <w:tblLayout w:type="fixed"/>
        <w:tblCellMar>
          <w:top w:w="28" w:type="dxa"/>
          <w:left w:w="28" w:type="dxa"/>
          <w:bottom w:w="28" w:type="dxa"/>
          <w:right w:w="28" w:type="dxa"/>
        </w:tblCellMar>
      </w:tblPr>
      <w:tblGrid>
        <w:gridCol w:w="1504"/>
        <w:gridCol w:w="1322"/>
        <w:gridCol w:w="1329"/>
        <w:gridCol w:w="320"/>
        <w:gridCol w:w="1171"/>
        <w:gridCol w:w="218"/>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AWMS Amount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Initial Cash consideration</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5,711 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consideration</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cash consideration </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6,695 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Earn-out consideration </w:t>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Payment of assumed liabilities </w:t>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purchase consideration transferred</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1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16,754</w:t>
            </w:r>
            <w:r>
              <w:rPr>
                <w:color w:val="000000"/>
              </w:rPr>
              <w:t> </w:t>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deferred cash consideration is payable no later than September 30, 2024 and the earn-out consideration is payable no later than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 the AWMS Acquisition Date, as required by ASC 805, the Company’s existing 30% equity interest in AWMS, which was previously recognized as an equity method investment, was revalued to reflect the fair value at this date. The fair value of this existing equity method investment was $7.4 million, which was calculated as 30% of the fair value of AWMS total equity value (determined using the discounted cash flow method of the income approach, less debt), excluding the impact of any synergies or control premium that would be realized by a controlling interest. This change in fair value resulted in a gain of $1.9 million, which was recognized during the year ended December 31, 2023 in the Gain (loss) on investments line of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incurred $0.01 million of direct acquisition-related expenses, which are recognized in the Professional fees line item of the Condensed Consolidated Statement of Operations.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9"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fair values of the assets acquired and liabilities assumed in connection with the AWMS business combination:</w:t>
      </w:r>
    </w:p>
    <w:p>
      <w:pPr>
        <w:pStyle w:val="TextBody"/>
        <w:bidi w:val="0"/>
        <w:spacing w:before="0" w:after="0"/>
        <w:jc w:val="both"/>
        <w:rPr/>
      </w:pPr>
      <w:r>
        <w:rPr/>
      </w:r>
    </w:p>
    <w:tbl>
      <w:tblPr>
        <w:tblW w:w="8309" w:type="dxa"/>
        <w:jc w:val="left"/>
        <w:tblInd w:w="0" w:type="dxa"/>
        <w:tblLayout w:type="fixed"/>
        <w:tblCellMar>
          <w:top w:w="28" w:type="dxa"/>
          <w:left w:w="28" w:type="dxa"/>
          <w:bottom w:w="28" w:type="dxa"/>
          <w:right w:w="28" w:type="dxa"/>
        </w:tblCellMar>
      </w:tblPr>
      <w:tblGrid>
        <w:gridCol w:w="1683"/>
        <w:gridCol w:w="1479"/>
        <w:gridCol w:w="1487"/>
        <w:gridCol w:w="684"/>
        <w:gridCol w:w="2506"/>
        <w:gridCol w:w="470"/>
      </w:tblGrid>
      <w:tr>
        <w:trPr/>
        <w:tc>
          <w:tcPr>
            <w:tcW w:w="168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6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AWMS Acquisition Date Fair Value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and cash equivalents</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1,401 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 receivable</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1,057 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Equity Method investments</w:t>
            </w:r>
          </w:p>
        </w:tc>
        <w:tc>
          <w:tcPr>
            <w:tcW w:w="3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Intangible assets</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9,679 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Goodwill</w:t>
            </w:r>
          </w:p>
        </w:tc>
        <w:tc>
          <w:tcPr>
            <w:tcW w:w="3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15,146 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lease right-of-use assets</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assets</w:t>
            </w:r>
          </w:p>
        </w:tc>
        <w:tc>
          <w:tcPr>
            <w:tcW w:w="3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323 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w:t>
            </w:r>
          </w:p>
        </w:tc>
        <w:tc>
          <w:tcPr>
            <w:tcW w:w="3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27,961</w:t>
            </w:r>
            <w:r>
              <w:rPr>
                <w:color w:val="000000"/>
              </w:rPr>
              <w:t>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Accounts payable and accrued expenses</w:t>
            </w:r>
          </w:p>
        </w:tc>
        <w:tc>
          <w:tcPr>
            <w:tcW w:w="3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784 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lease liabilities </w:t>
            </w:r>
          </w:p>
        </w:tc>
        <w:tc>
          <w:tcPr>
            <w:tcW w:w="3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298 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liabilities</w:t>
            </w:r>
          </w:p>
        </w:tc>
        <w:tc>
          <w:tcPr>
            <w:tcW w:w="3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2,944 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Liabilities Assumed</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4,026</w:t>
            </w:r>
            <w:r>
              <w:rPr>
                <w:color w:val="000000"/>
              </w:rPr>
              <w:t>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Assets Acquired and Liabilities Assumed</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w:t>
            </w:r>
          </w:p>
        </w:tc>
        <w:tc>
          <w:tcPr>
            <w:tcW w:w="2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2"/>
              </w:rPr>
              <w:t>23,935</w:t>
            </w: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purchase price allocation is preliminary and subject to change during the measurement period, which is not to exceed one year from the AWMS Acquisition Date. The fair value of assets acquired and liabilities assumed is expected to be finalized during the measurement period, which ends no later than August 2, 2024. Management does not expect any material changes to the values of the assets acquired and liabilities assumed during the measurement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Fair Value of Net Assets Acquired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that may indicate impairment.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Below is a summary of the intangible assets acquired in the AIMS business combination:</w:t>
      </w:r>
    </w:p>
    <w:p>
      <w:pPr>
        <w:pStyle w:val="TextBody"/>
        <w:bidi w:val="0"/>
        <w:spacing w:before="0" w:after="0"/>
        <w:jc w:val="both"/>
        <w:rPr/>
      </w:pPr>
      <w:r>
        <w:rPr/>
      </w:r>
    </w:p>
    <w:tbl>
      <w:tblPr>
        <w:tblW w:w="8649" w:type="dxa"/>
        <w:jc w:val="left"/>
        <w:tblInd w:w="0" w:type="dxa"/>
        <w:tblLayout w:type="fixed"/>
        <w:tblCellMar>
          <w:top w:w="28" w:type="dxa"/>
          <w:left w:w="28" w:type="dxa"/>
          <w:bottom w:w="28" w:type="dxa"/>
          <w:right w:w="28" w:type="dxa"/>
        </w:tblCellMar>
      </w:tblPr>
      <w:tblGrid>
        <w:gridCol w:w="847"/>
        <w:gridCol w:w="744"/>
        <w:gridCol w:w="748"/>
        <w:gridCol w:w="782"/>
        <w:gridCol w:w="2450"/>
        <w:gridCol w:w="382"/>
        <w:gridCol w:w="109"/>
        <w:gridCol w:w="109"/>
        <w:gridCol w:w="109"/>
        <w:gridCol w:w="692"/>
        <w:gridCol w:w="692"/>
        <w:gridCol w:w="98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(Dollars in Thousands)</w:t>
            </w:r>
          </w:p>
        </w:tc>
        <w:tc>
          <w:tcPr>
            <w:tcW w:w="3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AWMS Acquisition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Estimated Life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 Relationships</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9,679 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Intangible Assets</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9,679 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fair value for customer relationships was determined using the multi-period excess earnings method. The intangible assets are subject to amortization over a useful life of 14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results of operations for the AWMS Acquisition have been included in the Company’s Condensed Consolidated Financial Statements from the AWMS Acquisition Date. Prior to the AWMS Acquisition Date, the results of AWMS were included as a 30% held equity method investment.</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40"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Deconsolidation of Alvarium Home REIT Advisors Ltd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AlTi was formed on January 3, 2023, through a business combination transaction that included certain legacy Alvarium companies.</w:t>
      </w:r>
      <w:r>
        <w:rPr>
          <w:color w:val="000000"/>
        </w:rPr>
        <w:t xml:space="preserve"> </w:t>
      </w:r>
      <w:r>
        <w:rPr>
          <w:rFonts w:ascii="Times New Roman;sans-serif" w:hAnsi="Times New Roman;sans-serif"/>
          <w:b w:val="false"/>
          <w:color w:val="000000"/>
          <w:sz w:val="22"/>
        </w:rPr>
        <w:t>While the sale of AHRA occurred prior to the Business Combination, under GAAP, its results were required to be consolidated in our financial statements until June 30, 2023, when it was deconsolidated.</w:t>
      </w:r>
      <w:r>
        <w:rPr>
          <w:color w:val="00B050"/>
        </w:rPr>
        <w:t xml:space="preserve"> </w:t>
      </w:r>
      <w:r>
        <w:rPr>
          <w:rFonts w:ascii="Times New Roman;sans-serif" w:hAnsi="Times New Roman;sans-serif"/>
          <w:b w:val="false"/>
          <w:color w:val="000000"/>
          <w:sz w:val="22"/>
        </w:rPr>
        <w:t>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3, 2023 to June 30, 2023, and its accounts were removed from the Condensed Consolidated Statement of Financial Position as of June 30, 2023. The deconsolidation resulted in an intangible asset impairment charge of $29.4 million, which was recorded in Impairment loss on goodwill and intangible assets in the Condensed Consolidated Statement of Operations during the year ended December 31, 2023. Assets managed by AHRA, however, have been excluded from the Company’s AUM/AUA metrics since January 1,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Disposal of LRA</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March 31, 2024. This contingent consideration will be remeasured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with changes in fair value recognized in the Condensed Consolidated Statement of Operations in the period of change.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disposal was completed on March 6, 2024. As a result, the Company has recognized an intangible asset impairment charge of $23.5 million, which is recorded in Impairment loss on goodwill and intangible assets in the Consolidated Statement of Operations during the year ended December 31, 2023. In addition, as of December 31, 2023, the major classes of assets and liabilities of LRA were presented as held for sale in the Consolidated Statement of Financial Position. As of the three months ended March 31, 2024, a gain on disposal of $0.2 million was recognized in Gain (loss) on investments in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Assets Held for Sale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6, 2023, the Company entered into an agreement to sell FOS, which is part of the Company’s Wealth Management segment, for a cash consideration of approximately $20.1 million. The agreement to sell was subject to regulatory approval that was granted in April 2024, following which, on May 8, 2024, the transaction was completed. See Note 21 (Subsequent Events). The proceeds from this disposal will principally be used to further execute on the Company’s strategic priorities. This disposal does not represent a strategic shift that will have a major impact on the Company’s operations. Consequently, this disposal is not classified as a discontinued operation.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amounts of the major classes of assets and liabilities of FOS are presented as held for sale in the Consolidated Statement of Financial Position at March 31, 2024. The carrying amounts of the major classes of assets and liabilities of FOS and LRA were presented as held for sale in the Consolidated Statement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1"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Position at December 31, 2023. The following table represents amounts presented as held for sale for the periods presented:</w:t>
      </w:r>
    </w:p>
    <w:tbl>
      <w:tblPr>
        <w:tblW w:w="7719" w:type="dxa"/>
        <w:jc w:val="left"/>
        <w:tblInd w:w="0" w:type="dxa"/>
        <w:tblLayout w:type="fixed"/>
        <w:tblCellMar>
          <w:top w:w="28" w:type="dxa"/>
          <w:left w:w="28" w:type="dxa"/>
          <w:bottom w:w="28" w:type="dxa"/>
          <w:right w:w="28" w:type="dxa"/>
        </w:tblCellMar>
      </w:tblPr>
      <w:tblGrid>
        <w:gridCol w:w="1515"/>
        <w:gridCol w:w="1330"/>
        <w:gridCol w:w="1339"/>
        <w:gridCol w:w="287"/>
        <w:gridCol w:w="1004"/>
        <w:gridCol w:w="148"/>
        <w:gridCol w:w="109"/>
        <w:gridCol w:w="109"/>
        <w:gridCol w:w="109"/>
        <w:gridCol w:w="321"/>
        <w:gridCol w:w="1214"/>
        <w:gridCol w:w="234"/>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 for sale</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13,030</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56,634</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net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 for sale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(3,467)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(13,792)</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(4)Revenue</w:t>
      </w:r>
    </w:p>
    <w:p>
      <w:pPr>
        <w:pStyle w:val="TextBody"/>
        <w:bidi w:val="0"/>
        <w:spacing w:before="0" w:after="0"/>
        <w:ind w:left="0" w:right="0" w:hanging="180"/>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represents the Company’s revenue disaggregated by fee type for the periods presented below: </w:t>
      </w:r>
    </w:p>
    <w:tbl>
      <w:tblPr>
        <w:tblW w:w="9004" w:type="dxa"/>
        <w:jc w:val="left"/>
        <w:tblInd w:w="0" w:type="dxa"/>
        <w:tblLayout w:type="fixed"/>
        <w:tblCellMar>
          <w:top w:w="28" w:type="dxa"/>
          <w:left w:w="28" w:type="dxa"/>
          <w:bottom w:w="28" w:type="dxa"/>
          <w:right w:w="28" w:type="dxa"/>
        </w:tblCellMar>
      </w:tblPr>
      <w:tblGrid>
        <w:gridCol w:w="1086"/>
        <w:gridCol w:w="954"/>
        <w:gridCol w:w="960"/>
        <w:gridCol w:w="109"/>
        <w:gridCol w:w="109"/>
        <w:gridCol w:w="844"/>
        <w:gridCol w:w="844"/>
        <w:gridCol w:w="847"/>
        <w:gridCol w:w="280"/>
        <w:gridCol w:w="1025"/>
        <w:gridCol w:w="135"/>
        <w:gridCol w:w="109"/>
        <w:gridCol w:w="109"/>
        <w:gridCol w:w="109"/>
        <w:gridCol w:w="278"/>
        <w:gridCol w:w="1017"/>
        <w:gridCol w:w="189"/>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51" w:type="dxa"/>
            <w:gridSpan w:val="9"/>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46,224 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46,470 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fees/income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50,812 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58,047 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2"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tbl>
      <w:tblPr>
        <w:tblW w:w="8411" w:type="dxa"/>
        <w:jc w:val="left"/>
        <w:tblInd w:w="0" w:type="dxa"/>
        <w:tblLayout w:type="fixed"/>
        <w:tblCellMar>
          <w:top w:w="28" w:type="dxa"/>
          <w:left w:w="28" w:type="dxa"/>
          <w:bottom w:w="28" w:type="dxa"/>
          <w:right w:w="28" w:type="dxa"/>
        </w:tblCellMar>
      </w:tblPr>
      <w:tblGrid>
        <w:gridCol w:w="1395"/>
        <w:gridCol w:w="1225"/>
        <w:gridCol w:w="1234"/>
        <w:gridCol w:w="379"/>
        <w:gridCol w:w="1388"/>
        <w:gridCol w:w="183"/>
        <w:gridCol w:w="109"/>
        <w:gridCol w:w="109"/>
        <w:gridCol w:w="109"/>
        <w:gridCol w:w="427"/>
        <w:gridCol w:w="1562"/>
        <w:gridCol w:w="291"/>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2023 </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Management/Advisory fees receivable</w:t>
            </w:r>
          </w:p>
        </w:tc>
        <w:tc>
          <w:tcPr>
            <w:tcW w:w="1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30,698 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Ending balance </w:t>
            </w:r>
            <w:r>
              <w:rPr>
                <w:rFonts w:ascii="Times New Roman;sans-serif" w:hAnsi="Times New Roman;sans-serif"/>
                <w:b/>
                <w:color w:val="000000"/>
                <w:sz w:val="14"/>
              </w:rPr>
              <w:t>(1)</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33,905 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29,539 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Incentive fees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40,356 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7,570 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Ending balance </w:t>
            </w:r>
            <w:r>
              <w:rPr>
                <w:rFonts w:ascii="Times New Roman;sans-serif" w:hAnsi="Times New Roman;sans-serif"/>
                <w:b/>
                <w:color w:val="000000"/>
                <w:sz w:val="14"/>
              </w:rPr>
              <w:t>(2)</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40,356 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Other fees/income receivable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4,112 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management/advisory fees</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Deferred other fees/income</w:t>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Beginning balance</w:t>
            </w:r>
          </w:p>
        </w:tc>
        <w:tc>
          <w:tcPr>
            <w:tcW w:w="3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Ending balance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As of March 31, 2024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18"/>
        </w:rPr>
        <w:t>December 31, 2023, this amount includes $1.2 million</w:t>
      </w:r>
      <w:r>
        <w:rPr>
          <w:color w:val="000000"/>
        </w:rPr>
        <w:t xml:space="preserve"> </w:t>
      </w:r>
      <w:r>
        <w:rPr>
          <w:rFonts w:ascii="Times New Roman;sans-serif" w:hAnsi="Times New Roman;sans-serif"/>
          <w:b w:val="false"/>
          <w:color w:val="000000"/>
          <w:sz w:val="18"/>
        </w:rPr>
        <w:t>and $1.2 million, respectively, in Management/Advisory fees receivable due from related parties. See Note 16 (Related Party Transactions) for further details.</w:t>
      </w:r>
    </w:p>
    <w:p>
      <w:pPr>
        <w:pStyle w:val="TextBody"/>
        <w:bidi w:val="0"/>
        <w:spacing w:lineRule="auto" w:line="288" w:before="200" w:after="283"/>
        <w:jc w:val="both"/>
        <w:rPr/>
      </w:pPr>
      <w:r>
        <w:rPr>
          <w:rFonts w:ascii="Times New Roman;sans-serif" w:hAnsi="Times New Roman;sans-serif"/>
          <w:b/>
          <w:color w:val="000000"/>
          <w:sz w:val="12"/>
        </w:rPr>
        <w:t xml:space="preserve">(2) </w:t>
      </w:r>
      <w:r>
        <w:rPr>
          <w:rFonts w:ascii="Times New Roman;sans-serif" w:hAnsi="Times New Roman;sans-serif"/>
          <w:b w:val="false"/>
          <w:color w:val="000000"/>
          <w:sz w:val="18"/>
        </w:rPr>
        <w:t>As of March 31, 2024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18"/>
        </w:rPr>
        <w:t>December 31, 2023, this amount includes $0.0 million and $14.9 million, respectively, in Incentive fees receivable due from related parties. See Note 16 (Related Party Transactions)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(5)Equity-Based Compensation and Earn-in Expenses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grants equity-based compensation awards in the form of restricted share units (“RSUs”) to its management, employees, consultants, and independent members of the Board of Directors under its 2023 Stock Incentive Plan (the “Plan”). The total number of shares of Class A Common Stock that may be issued under the Plan is 11,788,132, of which 4,457,574 remain available as of March 31, 2024. To the extent that an award expires or is cancelled, forfeited, terminated, surrendered, exchanged or withheld to cover tax withholding obligations, the unissued awards will again be available for grant under the Plan.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recognizes RSU expenses at the Company’s stock price as of the grant date. As of March 31, 2024, the Company has an unrecognized equity-based compensation expense of $13.8 million related to RSU grants, which is expected to be recognized over a weighted average period of 1.80 years. </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equity-based compensation recognized, which is included in Compensation and employee benefits in the Condensed Consolidated Statement of Operations, during the three months ended March 31, 2024, and March 31, 2023:</w:t>
      </w:r>
    </w:p>
    <w:tbl>
      <w:tblPr>
        <w:tblW w:w="6933" w:type="dxa"/>
        <w:jc w:val="left"/>
        <w:tblInd w:w="0" w:type="dxa"/>
        <w:tblLayout w:type="fixed"/>
        <w:tblCellMar>
          <w:top w:w="28" w:type="dxa"/>
          <w:left w:w="28" w:type="dxa"/>
          <w:bottom w:w="28" w:type="dxa"/>
          <w:right w:w="28" w:type="dxa"/>
        </w:tblCellMar>
      </w:tblPr>
      <w:tblGrid>
        <w:gridCol w:w="858"/>
        <w:gridCol w:w="753"/>
        <w:gridCol w:w="759"/>
        <w:gridCol w:w="109"/>
        <w:gridCol w:w="109"/>
        <w:gridCol w:w="219"/>
        <w:gridCol w:w="219"/>
        <w:gridCol w:w="455"/>
        <w:gridCol w:w="1422"/>
        <w:gridCol w:w="219"/>
        <w:gridCol w:w="109"/>
        <w:gridCol w:w="109"/>
        <w:gridCol w:w="109"/>
        <w:gridCol w:w="278"/>
        <w:gridCol w:w="1017"/>
        <w:gridCol w:w="189"/>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Earn-in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TIH SPA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Revenue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Deferred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6,314 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30,558 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equity-based compensation award activity for the three months ended March 31, 2024, and March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2"/>
        <w:gridCol w:w="822"/>
        <w:gridCol w:w="824"/>
        <w:gridCol w:w="564"/>
        <w:gridCol w:w="473"/>
        <w:gridCol w:w="368"/>
        <w:gridCol w:w="109"/>
        <w:gridCol w:w="109"/>
        <w:gridCol w:w="109"/>
        <w:gridCol w:w="467"/>
        <w:gridCol w:w="1135"/>
        <w:gridCol w:w="243"/>
        <w:gridCol w:w="109"/>
        <w:gridCol w:w="109"/>
        <w:gridCol w:w="109"/>
        <w:gridCol w:w="564"/>
        <w:gridCol w:w="473"/>
        <w:gridCol w:w="368"/>
        <w:gridCol w:w="109"/>
        <w:gridCol w:w="109"/>
        <w:gridCol w:w="109"/>
        <w:gridCol w:w="409"/>
        <w:gridCol w:w="1196"/>
        <w:gridCol w:w="306"/>
      </w:tblGrid>
      <w:tr>
        <w:trPr/>
        <w:tc>
          <w:tcPr>
            <w:tcW w:w="101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Restricted common stock</w:t>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awards outstanding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4,818,351 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common stock granted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2,586,839 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forfeited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(147,550)</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(1,698,544)</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(2,521,285)</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stock awards outstanding at end of period</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3,110,729 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65,554 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RSUs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Business Combination, certain of TWMH’s restricted units vested and the Company granted fully vested shares to Alvarium’s employees, resulting in compensation expense of $4.2 million and $24.6 million, respectively, during the three months ended March 31,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completion of the Business Combination, the Company issued 60,800 shares of Class A Common Stock to employees of the Company. These awards vested in full immediately and had a fair value of $10.00 per share, resulting in compensation expense of $0.6 million for the three months ended March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23, 2023, in connection with the Business Combination, the Company granted 65,554 shares of Class A Common Stock to its board of directors, which vested over an approximate nine-month period and had a fair value of $12.56 per share. In addition, on March 1, 2024, the Company granted 138,472 shares of Class A Common Stock to its board of directors, which vest over a four-month period and had a fair value of $5.87 per share. These grants resulted in compensation expense of $0.2 million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On May 31, 2023, the Company granted 4,693,621 shares of Class A Common Stock to its employees. These awards vest over a three-year period and had a fair value of $4.35 per share, resulting in compensation expense of $1.8 million for the three months ended March 31, 2024. Since the initial grant date of these awards, 314,624 shares have been forfeited.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various dates throughout 2023, the Company granted 107,263 and 118,987 shares of Class A Common Stock to employees, representative of buy-out equity awards as restricted units, vesting generally over a one to three year period, and had a fair value of $7.66 and $8.72, respectively, per share. The Company recognized compensation expense of $0.9 million for the three months ended March 31, 2024 related to these buy-out equity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Earn-Ins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amount of shares awarded will be calculated based on the twenty day average volume weighted average price of the Company's Class A Common Stock preceding the first and second payment dates. The Company recognized an expense for the earn-ins of $2.0 million and $1.0 million for the three months ended March 31, 2024, and March 31, 2023,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fact pattern as the above-described amendment for the compensatory earn-ins. As of March 31, 2024, and December 31, 2023, this contingent consideration is recorded as a liability of $1.7 million and $1.8 million in the “Earn-in consideration payable” line of the Condensed Consolidated Statement of Financial Condition and Consolidated Statement of Financial Condition,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TIH SPA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TWMH’s historical acquisition of TIH, the Delayed Share Purchase Agreement (“TIH SPA”) was amended on July 28, 2023. The TIH SPA was amended to include the Company’s Class A Common Stock as part of the purchase price. On August 1, 2023, the Company granted 152,930 shares of Class A Common Stock with a fair value of $7.70 per share under the terms of the TIH SPA amendment. The amendment to the purchase price is compensatory in nature. The Company recognized an expense for the TIH SPA of $(39.8) thousand for the three months ended March 31, 2024. On March 25, 2024, the TIH SPA was fully paid. As of December 31, 2023, this TIH SPA was recorded as a liability of $1.8 million in the Delayed share purchase agreement line of the Consolidated Statement of Financial Condition.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Revenue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three months ended March 31, 2024, the Company accrued $0.2 million in compensation expense related to various revenue share arrangements to its employees, which is included in Compensation and employee benefits in the Condensed Consolidated Statement of Operations and in Accrued compensation and profit sharing in the Condensed Consolidated Statement of Financial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Deferred Compensation Liability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ALWP Acquisition, the Company accrued $1.2 million in shares of Class A Common Stock during the three months ended March 31, 2024, which is included in Compensation and employee benefits in the Condensed Consolidated Statement of Operations and in Accrued compensation and profit sharing in the Condensed Consolidated Statement of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(6)Income Taxes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and Connecticut unincorporated business tax (“UBT”). Further, the Company’s income tax provision and related income tax assets and liabilities are based on, among other things, an estimate of the impact of exchanges of Warrants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had an effective tax rate of 1.6% and (5.4)% for the three months ended March 31, 2024, and March 31, 2023, respectively. The effective tax rate was calculated using an Annual Effective Tax Rate approach, and the book income related fair value changes to liabilities was excluded from forecasted earnings as these amounts are based on changes in stock price and are unable to be forecasted. The effective tax rates differed from the statutory rate primarily due to the portion of income allocated to noncontrolling interests, nondeductible compensation and state and local taxes.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regularly evaluates the realizability of its deferred tax asset and may recognize or adjust any valuation allowance when it is more-likely-than-not that all or a portion of the deferred tax asset may not be realized. As of March 31, 2024, the Company has recorded valuation allowances against a portion of its deferred tax assets generated by its subsidiaries in the United Kingdom.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and March 31, 2023, the Company has evaluated its tax filing positions and has not recorded a reserve for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(7)Fair Value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1 – Valuations based on unadjusted quoted prices in active markets for identical assets or liabilities that the Company has the ability to access.</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2 – Valuations based on quoted prices in markets that are not active or for which all significant inputs are observable, either directly or indirectly.</w:t>
      </w:r>
    </w:p>
    <w:p>
      <w:pPr>
        <w:pStyle w:val="TextBody"/>
        <w:bidi w:val="0"/>
        <w:spacing w:lineRule="auto" w:line="288" w:before="200" w:after="283"/>
        <w:jc w:val="both"/>
        <w:rPr/>
      </w:pPr>
      <w:r>
        <w:rPr>
          <w:color w:val="000000"/>
        </w:rPr>
        <w:t>•</w:t>
      </w:r>
      <w:r>
        <w:rPr>
          <w:rFonts w:ascii="Times New Roman;sans-serif" w:hAnsi="Times New Roman;sans-serif"/>
          <w:b w:val="false"/>
          <w:color w:val="000000"/>
          <w:sz w:val="22"/>
        </w:rPr>
        <w:t>Level 3 – Valuations based on inputs that are unobservable and significant to the overall fair value measurement.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Level 3 Valuation Techniques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 </w:t>
      </w:r>
    </w:p>
    <w:p>
      <w:pPr>
        <w:pStyle w:val="TextBody"/>
        <w:bidi w:val="0"/>
        <w:spacing w:lineRule="auto" w:line="268" w:before="180" w:after="283"/>
        <w:ind w:left="0" w:right="0" w:hanging="360"/>
        <w:jc w:val="both"/>
        <w:rPr/>
      </w:pPr>
      <w:r>
        <w:rPr>
          <w:color w:val="000000"/>
        </w:rPr>
        <w:t>•</w:t>
      </w:r>
      <w:r>
        <w:rPr>
          <w:rFonts w:ascii="Times New Roman;sans-serif" w:hAnsi="Times New Roman;sans-serif"/>
          <w:b/>
          <w:color w:val="000000"/>
          <w:sz w:val="22"/>
        </w:rPr>
        <w:t xml:space="preserve">Business Combination Earn-Out Liability - </w:t>
      </w:r>
      <w:r>
        <w:rPr>
          <w:rFonts w:ascii="Times New Roman;sans-serif" w:hAnsi="Times New Roman;sans-serif"/>
          <w:b w:val="false"/>
          <w:color w:val="000000"/>
          <w:sz w:val="22"/>
        </w:rPr>
        <w:t xml:space="preserve">The Company’s valuation approach utilized a Monte Carlo simulation to estimate future share prices and the implied earn-out payment discounted using the risk-free rate.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TRA Liability - </w:t>
      </w:r>
      <w:r>
        <w:rPr>
          <w:rFonts w:ascii="Times New Roman;sans-serif" w:hAnsi="Times New Roman;sans-serif"/>
          <w:b w:val="false"/>
          <w:color w:val="000000"/>
          <w:sz w:val="22"/>
        </w:rPr>
        <w:t>The Company’s valuation approach utilized a Monte Carlo simulation to estimate future taxable income, share prices, and the implied TRA payments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AWMS Earn-Out Liability - </w:t>
      </w:r>
      <w:r>
        <w:rPr>
          <w:rFonts w:ascii="Times New Roman;sans-serif" w:hAnsi="Times New Roman;sans-serif"/>
          <w:b w:val="false"/>
          <w:color w:val="000000"/>
          <w:sz w:val="22"/>
        </w:rPr>
        <w:t>The Company’s valuation approach utilized a Monte Carlo simulation to estimate future revenue and the implied earn out payment discounted using the liability discount rate which is estimated based on the Company’s credit rating.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Earn-In Consideration Payable - </w:t>
      </w:r>
      <w:r>
        <w:rPr>
          <w:rFonts w:ascii="Times New Roman;sans-serif" w:hAnsi="Times New Roman;sans-serif"/>
          <w:b w:val="false"/>
          <w:color w:val="000000"/>
          <w:sz w:val="22"/>
        </w:rPr>
        <w:t>The Company’s valuation approach utilized a Monte Carlo simulation to estimate future revenue and the implied earn in payment discounted using the liability discount rate which was estimated based on the credit rating of TWMH. On July 14, 2023, the Company amended the Holbein purchase agreement related to the Holbein acquisition discussed in Note 5 (Equity-Based Compensation and Earn-in Expenses), which crystallized the contingent earn-in consideration amount and discontinued the use of a Level 3 valuation technique.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 xml:space="preserve">Investments in External Strategic Managers - </w:t>
      </w:r>
      <w:r>
        <w:rPr>
          <w:rFonts w:ascii="Times New Roman;sans-serif" w:hAnsi="Times New Roman;sans-serif"/>
          <w:b w:val="false"/>
          <w:color w:val="000000"/>
          <w:sz w:val="22"/>
        </w:rPr>
        <w:t>The Company utilized a Discounted Cash Flow approach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2"/>
        </w:rPr>
        <w:t xml:space="preserve">Contingent Consideration Receivable - </w:t>
      </w:r>
      <w:r>
        <w:rPr>
          <w:rFonts w:ascii="Times New Roman;sans-serif" w:hAnsi="Times New Roman;sans-serif"/>
          <w:b w:val="false"/>
          <w:color w:val="000000"/>
          <w:sz w:val="22"/>
        </w:rPr>
        <w:t xml:space="preserve">The Company utilized </w:t>
      </w:r>
      <w:r>
        <w:rPr>
          <w:rFonts w:ascii="Times New Roman;sans-serif" w:hAnsi="Times New Roman;sans-serif"/>
          <w:b w:val="false"/>
          <w:color w:val="000000"/>
          <w:sz w:val="24"/>
        </w:rPr>
        <w:t xml:space="preserve">a </w:t>
      </w:r>
      <w:r>
        <w:rPr>
          <w:rFonts w:ascii="Times New Roman;sans-serif" w:hAnsi="Times New Roman;sans-serif"/>
          <w:b w:val="false"/>
          <w:color w:val="000000"/>
          <w:sz w:val="22"/>
        </w:rPr>
        <w:t>Monte Carlo simulation to estimate the future share price of the acquirer of LXi, and the implied contingent consideration discounted using the</w:t>
      </w:r>
      <w:r>
        <w:rPr>
          <w:color w:val="000000"/>
        </w:rPr>
        <w:t xml:space="preserve"> </w:t>
      </w:r>
      <w:r>
        <w:rPr>
          <w:rFonts w:ascii="Times New Roman;sans-serif" w:hAnsi="Times New Roman;sans-serif"/>
          <w:b w:val="false"/>
          <w:color w:val="000000"/>
          <w:sz w:val="22"/>
        </w:rPr>
        <w:t xml:space="preserve">risk-free rate </w:t>
      </w:r>
      <w:r>
        <w:rPr>
          <w:rFonts w:ascii="Times New Roman;sans-serif" w:hAnsi="Times New Roman;sans-serif"/>
          <w:b w:val="false"/>
          <w:color w:val="000000"/>
          <w:sz w:val="24"/>
        </w:rPr>
        <w:t>and the acquirer’s estimated credit spread</w:t>
      </w:r>
      <w:r>
        <w:rPr>
          <w:rFonts w:ascii="Times New Roman;sans-serif" w:hAnsi="Times New Roman;sans-serif"/>
          <w:b w:val="false"/>
          <w:color w:val="000000"/>
          <w:sz w:val="22"/>
        </w:rPr>
        <w: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2"/>
        </w:rPr>
        <w:t>Warrant Liabilities</w:t>
      </w:r>
      <w:r>
        <w:rPr>
          <w:color w:val="000000"/>
        </w:rPr>
        <w:t xml:space="preserve"> </w:t>
      </w:r>
      <w:r>
        <w:rPr>
          <w:rFonts w:ascii="Times New Roman;sans-serif" w:hAnsi="Times New Roman;sans-serif"/>
          <w:b w:val="false"/>
          <w:color w:val="000000"/>
          <w:sz w:val="22"/>
        </w:rPr>
        <w:t>- The fair value of the Constellation Warrants is determined based on Level 3 inputs using a Black-Scholes-Merton option pricing model. As of March 31, 2024, the Constellation Warrants amounted to $2.8 million</w:t>
      </w:r>
      <w:r>
        <w:rPr>
          <w:color w:val="000000"/>
        </w:rPr>
        <w:t xml:space="preserve"> </w:t>
      </w:r>
      <w:r>
        <w:rPr>
          <w:rFonts w:ascii="Times New Roman;sans-serif" w:hAnsi="Times New Roman;sans-serif"/>
          <w:b w:val="false"/>
          <w:color w:val="000000"/>
          <w:sz w:val="22"/>
        </w:rPr>
        <w:t>and is included in the line item Warrant liabilities, at fair value of the Condensed Consolidated Statement of Financial Condition.</w:t>
      </w:r>
    </w:p>
    <w:p>
      <w:pPr>
        <w:pStyle w:val="TextBody"/>
        <w:bidi w:val="0"/>
        <w:spacing w:lineRule="auto" w:line="26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Refer to the valuation methodologies table below for further analysis of level 3 valuations.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categorization, as of March 31, 2024, and December 31, 2023, of the Company’s financial instruments based on the inputs utilized in determining the value of such financial instruments. Investments at fair value as of March 31, 2024, and December 31, 2023 are presented below:</w:t>
      </w:r>
    </w:p>
    <w:tbl>
      <w:tblPr>
        <w:tblW w:w="9866" w:type="dxa"/>
        <w:jc w:val="left"/>
        <w:tblInd w:w="0" w:type="dxa"/>
        <w:tblLayout w:type="fixed"/>
        <w:tblCellMar>
          <w:top w:w="28" w:type="dxa"/>
          <w:left w:w="28" w:type="dxa"/>
          <w:bottom w:w="28" w:type="dxa"/>
          <w:right w:w="28" w:type="dxa"/>
        </w:tblCellMar>
      </w:tblPr>
      <w:tblGrid>
        <w:gridCol w:w="1210"/>
        <w:gridCol w:w="1063"/>
        <w:gridCol w:w="1071"/>
        <w:gridCol w:w="266"/>
        <w:gridCol w:w="756"/>
        <w:gridCol w:w="148"/>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Investments – External Strategic Managers </w:t>
            </w:r>
            <w:r>
              <w:rPr>
                <w:rFonts w:ascii="Times New Roman;sans-serif" w:hAnsi="Times New Roman;sans-serif"/>
                <w:b/>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Investments – Affiliated Funds </w:t>
            </w:r>
            <w:r>
              <w:rPr>
                <w:rFonts w:ascii="Times New Roman;sans-serif" w:hAnsi="Times New Roman;sans-serif"/>
                <w:b/>
                <w:color w:val="000000"/>
                <w:sz w:val="12"/>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161,309 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liability</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 liability</w:t>
            </w:r>
            <w:r>
              <w:rPr>
                <w:color w:val="000000"/>
              </w:rPr>
              <w:t xml:space="preserve"> </w:t>
            </w:r>
            <w:r>
              <w:rPr>
                <w:rFonts w:ascii="Times New Roman;sans-serif" w:hAnsi="Times New Roman;sans-serif"/>
                <w:b/>
                <w:color w:val="000000"/>
                <w:sz w:val="12"/>
              </w:rPr>
              <w:t>(3)</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The fair value of certain investments within the Company’s Investments - External Strategic Managers are reported on a one-month lag from the fund financial statements due to timing of the information provided by the funds and third-party entities unless information is available on a more timely basis. As a result, any changes in the markets in which our managed funds operate, and the impact market conditions have on underlying asset valuations, may not yet be reflected in reported amounts. </w:t>
      </w:r>
    </w:p>
    <w:p>
      <w:pPr>
        <w:pStyle w:val="TextBody"/>
        <w:bidi w:val="0"/>
        <w:spacing w:lineRule="auto" w:line="268" w:before="120" w:after="283"/>
        <w:jc w:val="both"/>
        <w:rPr/>
      </w:pPr>
      <w:r>
        <w:rPr>
          <w:rFonts w:ascii="Times New Roman;sans-serif" w:hAnsi="Times New Roman;sans-serif"/>
          <w:b/>
          <w:color w:val="000000"/>
          <w:sz w:val="12"/>
          <w:shd w:fill="FFFFFF" w:val="clear"/>
        </w:rPr>
        <w:t>(2)</w:t>
      </w:r>
      <w:r>
        <w:rPr>
          <w:color w:val="000000"/>
          <w:shd w:fill="FFFFFF" w:val="clear"/>
        </w:rPr>
        <w:t xml:space="preserve"> </w:t>
      </w:r>
      <w:r>
        <w:rPr>
          <w:rFonts w:ascii="Times New Roman;sans-serif" w:hAnsi="Times New Roman;sans-serif"/>
          <w:b w:val="false"/>
          <w:color w:val="000000"/>
          <w:sz w:val="18"/>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color w:val="000000"/>
          <w:sz w:val="12"/>
        </w:rPr>
        <w:t xml:space="preserve">(3) </w:t>
      </w:r>
      <w:r>
        <w:rPr>
          <w:rFonts w:ascii="Times New Roman;sans-serif" w:hAnsi="Times New Roman;sans-serif"/>
          <w:b w:val="false"/>
          <w:color w:val="000000"/>
          <w:sz w:val="18"/>
        </w:rPr>
        <w:t>The Company carries a portion of its TRA liability at fair value equal to the expected future payments under the TRA.</w:t>
      </w:r>
    </w:p>
    <w:p>
      <w:pPr>
        <w:pStyle w:val="TextBody"/>
        <w:bidi w:val="0"/>
        <w:spacing w:before="200" w:after="283"/>
        <w:jc w:val="both"/>
        <w:rPr/>
      </w:pPr>
      <w:r>
        <w:rPr/>
      </w:r>
    </w:p>
    <w:tbl>
      <w:tblPr>
        <w:tblW w:w="9672" w:type="dxa"/>
        <w:jc w:val="left"/>
        <w:tblInd w:w="0" w:type="dxa"/>
        <w:tblLayout w:type="fixed"/>
        <w:tblCellMar>
          <w:top w:w="28" w:type="dxa"/>
          <w:left w:w="28" w:type="dxa"/>
          <w:bottom w:w="28" w:type="dxa"/>
          <w:right w:w="28" w:type="dxa"/>
        </w:tblCellMar>
      </w:tblPr>
      <w:tblGrid>
        <w:gridCol w:w="1140"/>
        <w:gridCol w:w="1001"/>
        <w:gridCol w:w="1009"/>
        <w:gridCol w:w="266"/>
        <w:gridCol w:w="756"/>
        <w:gridCol w:w="148"/>
        <w:gridCol w:w="109"/>
        <w:gridCol w:w="109"/>
        <w:gridCol w:w="109"/>
        <w:gridCol w:w="426"/>
        <w:gridCol w:w="882"/>
        <w:gridCol w:w="237"/>
        <w:gridCol w:w="109"/>
        <w:gridCol w:w="109"/>
        <w:gridCol w:w="109"/>
        <w:gridCol w:w="327"/>
        <w:gridCol w:w="1229"/>
        <w:gridCol w:w="184"/>
        <w:gridCol w:w="109"/>
        <w:gridCol w:w="109"/>
        <w:gridCol w:w="109"/>
        <w:gridCol w:w="196"/>
        <w:gridCol w:w="73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Exchange-traded funds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Investments – Affiliated Funds</w:t>
            </w:r>
            <w:r>
              <w:rPr>
                <w:color w:val="000000"/>
              </w:rPr>
              <w:t xml:space="preserve"> </w:t>
            </w:r>
            <w:r>
              <w:rPr>
                <w:rFonts w:ascii="Times New Roman;sans-serif" w:hAnsi="Times New Roman;sans-serif"/>
                <w:b/>
                <w:color w:val="000000"/>
                <w:sz w:val="12"/>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 liability</w:t>
            </w:r>
            <w:r>
              <w:rPr>
                <w:color w:val="000000"/>
              </w:rPr>
              <w:t xml:space="preserve"> </w:t>
            </w:r>
            <w:r>
              <w:rPr>
                <w:rFonts w:ascii="Times New Roman;sans-serif" w:hAnsi="Times New Roman;sans-serif"/>
                <w:b/>
                <w:color w:val="000000"/>
                <w:sz w:val="12"/>
              </w:rPr>
              <w:t>(3)</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 consideration payable</w:t>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color w:val="000000"/>
          <w:sz w:val="12"/>
          <w:shd w:fill="FFFFFF" w:val="clear"/>
        </w:rPr>
        <w:t>(1)</w:t>
      </w:r>
      <w:r>
        <w:rPr>
          <w:color w:val="000000"/>
          <w:shd w:fill="FFFFFF" w:val="clear"/>
        </w:rPr>
        <w:t xml:space="preserve"> </w:t>
      </w:r>
      <w:r>
        <w:rPr>
          <w:rFonts w:ascii="Times New Roman;sans-serif" w:hAnsi="Times New Roman;sans-serif"/>
          <w:b w:val="false"/>
          <w:color w:val="000000"/>
          <w:sz w:val="18"/>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pStyle w:val="TextBody"/>
        <w:bidi w:val="0"/>
        <w:spacing w:lineRule="auto" w:line="288" w:before="120" w:after="283"/>
        <w:jc w:val="both"/>
        <w:rPr/>
      </w:pPr>
      <w:r>
        <w:rPr>
          <w:rFonts w:ascii="Times New Roman;sans-serif" w:hAnsi="Times New Roman;sans-serif"/>
          <w:b/>
          <w:color w:val="000000"/>
          <w:sz w:val="12"/>
        </w:rPr>
        <w:t xml:space="preserve">(2) </w:t>
      </w:r>
      <w:r>
        <w:rPr>
          <w:rFonts w:ascii="Times New Roman;sans-serif" w:hAnsi="Times New Roman;sans-serif"/>
          <w:b w:val="false"/>
          <w:color w:val="000000"/>
          <w:sz w:val="18"/>
        </w:rPr>
        <w:t xml:space="preserve">The Company carries a portion of its TRA liability at fair value based on the expected future payments under the TRA.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Reconciliation of Fair Value Measurements Categorized within Level 3</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Unrealized gains and losses on the Company’s assets and liabilities carried at fair value on a recurring basis are included within other loss in the Condensed Consolidated Statement of Operations. During the year ended December 31, 2023, there was one transfer from Level 3 to Level 1 of the earn-in consideration payable. The following table sets forth a summary of changes in the fair value of Level 3 measurements as of March 31, 2024 and December 31, 2023:</w:t>
      </w:r>
    </w:p>
    <w:tbl>
      <w:tblPr>
        <w:tblW w:w="9568" w:type="dxa"/>
        <w:jc w:val="left"/>
        <w:tblInd w:w="0" w:type="dxa"/>
        <w:tblLayout w:type="fixed"/>
        <w:tblCellMar>
          <w:top w:w="28" w:type="dxa"/>
          <w:left w:w="28" w:type="dxa"/>
          <w:bottom w:w="28" w:type="dxa"/>
          <w:right w:w="28" w:type="dxa"/>
        </w:tblCellMar>
      </w:tblPr>
      <w:tblGrid>
        <w:gridCol w:w="662"/>
        <w:gridCol w:w="582"/>
        <w:gridCol w:w="586"/>
        <w:gridCol w:w="228"/>
        <w:gridCol w:w="754"/>
        <w:gridCol w:w="127"/>
        <w:gridCol w:w="109"/>
        <w:gridCol w:w="109"/>
        <w:gridCol w:w="109"/>
        <w:gridCol w:w="196"/>
        <w:gridCol w:w="646"/>
        <w:gridCol w:w="109"/>
        <w:gridCol w:w="109"/>
        <w:gridCol w:w="109"/>
        <w:gridCol w:w="109"/>
        <w:gridCol w:w="479"/>
        <w:gridCol w:w="479"/>
        <w:gridCol w:w="481"/>
        <w:gridCol w:w="109"/>
        <w:gridCol w:w="109"/>
        <w:gridCol w:w="109"/>
        <w:gridCol w:w="499"/>
        <w:gridCol w:w="499"/>
        <w:gridCol w:w="501"/>
        <w:gridCol w:w="109"/>
        <w:gridCol w:w="109"/>
        <w:gridCol w:w="109"/>
        <w:gridCol w:w="109"/>
        <w:gridCol w:w="109"/>
        <w:gridCol w:w="109"/>
        <w:gridCol w:w="109"/>
        <w:gridCol w:w="196"/>
        <w:gridCol w:w="64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2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March 31, 2024</w:t>
            </w:r>
          </w:p>
        </w:tc>
        <w:tc>
          <w:tcPr>
            <w:tcW w:w="1323"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AWMS 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Warrant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gains/(losses)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59"/>
        <w:gridCol w:w="579"/>
        <w:gridCol w:w="583"/>
        <w:gridCol w:w="243"/>
        <w:gridCol w:w="803"/>
        <w:gridCol w:w="134"/>
        <w:gridCol w:w="109"/>
        <w:gridCol w:w="109"/>
        <w:gridCol w:w="109"/>
        <w:gridCol w:w="196"/>
        <w:gridCol w:w="646"/>
        <w:gridCol w:w="109"/>
        <w:gridCol w:w="109"/>
        <w:gridCol w:w="109"/>
        <w:gridCol w:w="109"/>
        <w:gridCol w:w="477"/>
        <w:gridCol w:w="477"/>
        <w:gridCol w:w="479"/>
        <w:gridCol w:w="109"/>
        <w:gridCol w:w="109"/>
        <w:gridCol w:w="109"/>
        <w:gridCol w:w="540"/>
        <w:gridCol w:w="1576"/>
        <w:gridCol w:w="302"/>
        <w:gridCol w:w="109"/>
        <w:gridCol w:w="109"/>
        <w:gridCol w:w="109"/>
        <w:gridCol w:w="196"/>
        <w:gridCol w:w="736"/>
        <w:gridCol w:w="162"/>
      </w:tblGrid>
      <w:tr>
        <w:trPr/>
        <w:tc>
          <w:tcPr>
            <w:tcW w:w="65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Liabilities as of December 31, 2023</w:t>
            </w:r>
          </w:p>
        </w:tc>
      </w:tr>
      <w:tr>
        <w:trPr/>
        <w:tc>
          <w:tcPr>
            <w:tcW w:w="18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TRA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AWMS earn-out </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Earn-in consideration payable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losses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(30,494)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out of Level 3</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76,677 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964"/>
        <w:gridCol w:w="845"/>
        <w:gridCol w:w="851"/>
        <w:gridCol w:w="578"/>
        <w:gridCol w:w="2180"/>
        <w:gridCol w:w="325"/>
        <w:gridCol w:w="109"/>
        <w:gridCol w:w="109"/>
        <w:gridCol w:w="109"/>
        <w:gridCol w:w="618"/>
        <w:gridCol w:w="1755"/>
        <w:gridCol w:w="346"/>
        <w:gridCol w:w="109"/>
        <w:gridCol w:w="109"/>
        <w:gridCol w:w="109"/>
        <w:gridCol w:w="196"/>
        <w:gridCol w:w="736"/>
        <w:gridCol w:w="157"/>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March 31, 2024</w:t>
            </w:r>
          </w:p>
        </w:tc>
      </w:tr>
      <w:tr>
        <w:trPr/>
        <w:tc>
          <w:tcPr>
            <w:tcW w:w="2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 External Strategic Managers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Contingent Consideration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and Unrealized Gains (Losses)</w:t>
            </w:r>
          </w:p>
        </w:tc>
        <w:tc>
          <w:tcPr>
            <w:tcW w:w="2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2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vAlign w:val="center"/>
          </w:tcPr>
          <w:p>
            <w:pPr>
              <w:pStyle w:val="TableContents"/>
              <w:bidi w:val="0"/>
              <w:spacing w:before="0" w:after="283"/>
              <w:jc w:val="left"/>
              <w:rPr>
                <w:sz w:val="4"/>
                <w:szCs w:val="4"/>
              </w:rPr>
            </w:pPr>
            <w:r>
              <w:rPr>
                <w:sz w:val="4"/>
                <w:szCs w:val="4"/>
              </w:rPr>
            </w:r>
          </w:p>
        </w:tc>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159,378 </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161,309 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8477" w:type="dxa"/>
        <w:jc w:val="left"/>
        <w:tblInd w:w="0" w:type="dxa"/>
        <w:tblLayout w:type="fixed"/>
        <w:tblCellMar>
          <w:top w:w="28" w:type="dxa"/>
          <w:left w:w="28" w:type="dxa"/>
          <w:bottom w:w="28" w:type="dxa"/>
          <w:right w:w="28" w:type="dxa"/>
        </w:tblCellMar>
      </w:tblPr>
      <w:tblGrid>
        <w:gridCol w:w="1069"/>
        <w:gridCol w:w="939"/>
        <w:gridCol w:w="946"/>
        <w:gridCol w:w="644"/>
        <w:gridCol w:w="2418"/>
        <w:gridCol w:w="358"/>
        <w:gridCol w:w="227"/>
        <w:gridCol w:w="227"/>
        <w:gridCol w:w="227"/>
        <w:gridCol w:w="227"/>
        <w:gridCol w:w="109"/>
        <w:gridCol w:w="196"/>
        <w:gridCol w:w="73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as of December 31, 2023</w:t>
            </w:r>
          </w:p>
        </w:tc>
        <w:tc>
          <w:tcPr>
            <w:tcW w:w="1195"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 External Strategic Managers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and Unrealized Gains (Losses)</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6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4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March 31, 2024</w:t>
      </w:r>
    </w:p>
    <w:tbl>
      <w:tblPr>
        <w:tblW w:w="10205" w:type="dxa"/>
        <w:jc w:val="left"/>
        <w:tblInd w:w="0" w:type="dxa"/>
        <w:tblLayout w:type="fixed"/>
        <w:tblCellMar>
          <w:top w:w="28" w:type="dxa"/>
          <w:left w:w="28" w:type="dxa"/>
          <w:bottom w:w="28" w:type="dxa"/>
          <w:right w:w="28" w:type="dxa"/>
        </w:tblCellMar>
      </w:tblPr>
      <w:tblGrid>
        <w:gridCol w:w="706"/>
        <w:gridCol w:w="532"/>
        <w:gridCol w:w="535"/>
        <w:gridCol w:w="196"/>
        <w:gridCol w:w="736"/>
        <w:gridCol w:w="109"/>
        <w:gridCol w:w="109"/>
        <w:gridCol w:w="109"/>
        <w:gridCol w:w="109"/>
        <w:gridCol w:w="630"/>
        <w:gridCol w:w="630"/>
        <w:gridCol w:w="613"/>
        <w:gridCol w:w="109"/>
        <w:gridCol w:w="109"/>
        <w:gridCol w:w="109"/>
        <w:gridCol w:w="457"/>
        <w:gridCol w:w="457"/>
        <w:gridCol w:w="459"/>
        <w:gridCol w:w="109"/>
        <w:gridCol w:w="109"/>
        <w:gridCol w:w="109"/>
        <w:gridCol w:w="285"/>
        <w:gridCol w:w="215"/>
        <w:gridCol w:w="451"/>
        <w:gridCol w:w="109"/>
        <w:gridCol w:w="109"/>
        <w:gridCol w:w="109"/>
        <w:gridCol w:w="550"/>
        <w:gridCol w:w="550"/>
        <w:gridCol w:w="786"/>
      </w:tblGrid>
      <w:tr>
        <w:trPr/>
        <w:tc>
          <w:tcPr>
            <w:tcW w:w="7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r>
      <w:tr>
        <w:trPr/>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19.5%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13.1% - 14.0%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7.2% - 13.5%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AWMS earn-out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Liability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Black-Scholes-Merton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Valuation Methodologies for Fair Value Measurements Categorized within Level 3 as of December 31, 2023</w:t>
      </w:r>
    </w:p>
    <w:tbl>
      <w:tblPr>
        <w:tblW w:w="10205" w:type="dxa"/>
        <w:jc w:val="left"/>
        <w:tblInd w:w="0" w:type="dxa"/>
        <w:tblLayout w:type="fixed"/>
        <w:tblCellMar>
          <w:top w:w="28" w:type="dxa"/>
          <w:left w:w="28" w:type="dxa"/>
          <w:bottom w:w="28" w:type="dxa"/>
          <w:right w:w="28" w:type="dxa"/>
        </w:tblCellMar>
      </w:tblPr>
      <w:tblGrid>
        <w:gridCol w:w="651"/>
        <w:gridCol w:w="535"/>
        <w:gridCol w:w="539"/>
        <w:gridCol w:w="196"/>
        <w:gridCol w:w="736"/>
        <w:gridCol w:w="109"/>
        <w:gridCol w:w="109"/>
        <w:gridCol w:w="109"/>
        <w:gridCol w:w="109"/>
        <w:gridCol w:w="416"/>
        <w:gridCol w:w="416"/>
        <w:gridCol w:w="417"/>
        <w:gridCol w:w="109"/>
        <w:gridCol w:w="109"/>
        <w:gridCol w:w="109"/>
        <w:gridCol w:w="608"/>
        <w:gridCol w:w="608"/>
        <w:gridCol w:w="611"/>
        <w:gridCol w:w="109"/>
        <w:gridCol w:w="109"/>
        <w:gridCol w:w="109"/>
        <w:gridCol w:w="261"/>
        <w:gridCol w:w="224"/>
        <w:gridCol w:w="452"/>
        <w:gridCol w:w="109"/>
        <w:gridCol w:w="109"/>
        <w:gridCol w:w="109"/>
        <w:gridCol w:w="615"/>
        <w:gridCol w:w="615"/>
        <w:gridCol w:w="618"/>
        <w:gridCol w:w="109"/>
        <w:gridCol w:w="161"/>
      </w:tblGrid>
      <w:tr>
        <w:trPr/>
        <w:tc>
          <w:tcPr>
            <w:tcW w:w="65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Valuation </w:t>
              <w:br/>
              <w:t>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Unobservable </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Impact to Valuation from an Increase in Input</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 External Strategic Managers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21.5% -29.0%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Long-term growth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Level 3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debt range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4.1% - 5.1%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Equity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7.4% - 13.1%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AWMS earn-out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Monte Carlo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Higher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4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Liability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Deferred Payment Liability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Lower</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(8)Equity Method Investments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2024 and December 31, 2023, the Company had $12.1 million and $14.2 million, of equity method investments recorded within equity method investments on the Condensed Consolidated Statement of Financial Position and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and March 31, 2023, the Company recognized $0.0 million and $0.3 million, respectively, of impairment on its equity method investments. Additionally, as part of the Business Combination, AlTi acquired the right to carried interest on several projects. These are held as assets at cost less impairment. The Company assesses for indicators of impairment every quarter utilizing a number of factors, including market conditions. For the three months ended March 31, 2024, and March 31, 2023, the Company did not recognize any impairment to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 xml:space="preserve">(9)Investments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include Investments at fair value and Equity method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at fair value consist of investments for which the fair value option has been elected. The primary reasons for electing the fair value option are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reflect economic events in earnings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mitigate volatility in earnings from using different measurement attributes;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address simplification and cost-benefit considerations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Such election is irrevocable and is applied on an investment-by-investment basis at initial recognition or at other eligible election dates. Changes in the fair value of such instruments are recognized in Loss on investments in the Condensed Consolidated Statement of Operations.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Cost and Fair Value of Investments as of March 31, 2024 and December 31, 2023 are presented below:</w:t>
      </w:r>
    </w:p>
    <w:tbl>
      <w:tblPr>
        <w:tblW w:w="9522" w:type="dxa"/>
        <w:jc w:val="left"/>
        <w:tblInd w:w="0" w:type="dxa"/>
        <w:tblLayout w:type="fixed"/>
        <w:tblCellMar>
          <w:top w:w="28" w:type="dxa"/>
          <w:left w:w="28" w:type="dxa"/>
          <w:bottom w:w="28" w:type="dxa"/>
          <w:right w:w="28" w:type="dxa"/>
        </w:tblCellMar>
      </w:tblPr>
      <w:tblGrid>
        <w:gridCol w:w="1298"/>
        <w:gridCol w:w="1139"/>
        <w:gridCol w:w="1148"/>
        <w:gridCol w:w="211"/>
        <w:gridCol w:w="826"/>
        <w:gridCol w:w="109"/>
        <w:gridCol w:w="109"/>
        <w:gridCol w:w="109"/>
        <w:gridCol w:w="109"/>
        <w:gridCol w:w="211"/>
        <w:gridCol w:w="826"/>
        <w:gridCol w:w="109"/>
        <w:gridCol w:w="109"/>
        <w:gridCol w:w="109"/>
        <w:gridCol w:w="109"/>
        <w:gridCol w:w="109"/>
        <w:gridCol w:w="109"/>
        <w:gridCol w:w="109"/>
        <w:gridCol w:w="211"/>
        <w:gridCol w:w="826"/>
        <w:gridCol w:w="109"/>
        <w:gridCol w:w="109"/>
        <w:gridCol w:w="109"/>
        <w:gridCol w:w="109"/>
        <w:gridCol w:w="211"/>
        <w:gridCol w:w="82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Investments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Exchange-traded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Associates Master Fund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 Master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TIG Arbitrage Enhanced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Opportunities Feeder Fund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Arkkan Capital Management Limited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Zebedee asset management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Romspen Investment Corporation </w:t>
            </w:r>
            <w:r>
              <w:rPr>
                <w:rFonts w:ascii="Times New Roman;sans-serif" w:hAnsi="Times New Roman;sans-serif"/>
                <w:b/>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Investments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Equity method investments: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equity method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 investment advisory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Carried interest vehicles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method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color w:val="000000"/>
          <w:sz w:val="12"/>
        </w:rPr>
        <w:t>(1)</w:t>
      </w:r>
      <w:r>
        <w:rPr>
          <w:color w:val="000000"/>
        </w:rPr>
        <w:t xml:space="preserve"> </w:t>
      </w:r>
      <w:r>
        <w:rPr>
          <w:rFonts w:ascii="Times New Roman;sans-serif" w:hAnsi="Times New Roman;sans-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Investments at fair value include unrealized gains (losses) and realized gains (losses) in the Condensed Consolidated Statement of Financial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breakdown of unrealized gains (losses) and realized gains (losses) on Investments at fair value for the relevant periods are as follows:</w:t>
      </w:r>
    </w:p>
    <w:tbl>
      <w:tblPr>
        <w:tblW w:w="8671" w:type="dxa"/>
        <w:jc w:val="left"/>
        <w:tblInd w:w="0" w:type="dxa"/>
        <w:tblLayout w:type="fixed"/>
        <w:tblCellMar>
          <w:top w:w="28" w:type="dxa"/>
          <w:left w:w="28" w:type="dxa"/>
          <w:bottom w:w="28" w:type="dxa"/>
          <w:right w:w="28" w:type="dxa"/>
        </w:tblCellMar>
      </w:tblPr>
      <w:tblGrid>
        <w:gridCol w:w="1488"/>
        <w:gridCol w:w="1306"/>
        <w:gridCol w:w="1316"/>
        <w:gridCol w:w="109"/>
        <w:gridCol w:w="109"/>
        <w:gridCol w:w="224"/>
        <w:gridCol w:w="224"/>
        <w:gridCol w:w="435"/>
        <w:gridCol w:w="1425"/>
        <w:gridCol w:w="224"/>
        <w:gridCol w:w="109"/>
        <w:gridCol w:w="109"/>
        <w:gridCol w:w="109"/>
        <w:gridCol w:w="296"/>
        <w:gridCol w:w="972"/>
        <w:gridCol w:w="216"/>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Gains (Losses) on Investments at FV: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gains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gains (losses) on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(10)Intangible Assets,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Intangible assets, net reported on the Condensed Consolidated Statement of Financial Position.</w:t>
      </w:r>
    </w:p>
    <w:tbl>
      <w:tblPr>
        <w:tblW w:w="9985" w:type="dxa"/>
        <w:jc w:val="left"/>
        <w:tblInd w:w="0" w:type="dxa"/>
        <w:tblLayout w:type="fixed"/>
        <w:tblCellMar>
          <w:top w:w="28" w:type="dxa"/>
          <w:left w:w="28" w:type="dxa"/>
          <w:bottom w:w="28" w:type="dxa"/>
          <w:right w:w="28" w:type="dxa"/>
        </w:tblCellMar>
      </w:tblPr>
      <w:tblGrid>
        <w:gridCol w:w="1205"/>
        <w:gridCol w:w="1058"/>
        <w:gridCol w:w="1066"/>
        <w:gridCol w:w="504"/>
        <w:gridCol w:w="504"/>
        <w:gridCol w:w="506"/>
        <w:gridCol w:w="109"/>
        <w:gridCol w:w="109"/>
        <w:gridCol w:w="109"/>
        <w:gridCol w:w="211"/>
        <w:gridCol w:w="826"/>
        <w:gridCol w:w="109"/>
        <w:gridCol w:w="109"/>
        <w:gridCol w:w="109"/>
        <w:gridCol w:w="109"/>
        <w:gridCol w:w="109"/>
        <w:gridCol w:w="109"/>
        <w:gridCol w:w="109"/>
        <w:gridCol w:w="109"/>
        <w:gridCol w:w="250"/>
        <w:gridCol w:w="878"/>
        <w:gridCol w:w="131"/>
        <w:gridCol w:w="109"/>
        <w:gridCol w:w="109"/>
        <w:gridCol w:w="109"/>
        <w:gridCol w:w="234"/>
        <w:gridCol w:w="916"/>
        <w:gridCol w:w="170"/>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015" w:type="dxa"/>
            <w:gridSpan w:val="10"/>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r>
          </w:p>
          <w:p>
            <w:pPr>
              <w:pStyle w:val="TableContents"/>
              <w:bidi w:val="0"/>
              <w:spacing w:lineRule="auto" w:line="288"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Carrying </w:t>
              <w:b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Amortizing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Investment management agreements</w:t>
            </w:r>
            <w:r>
              <w:rPr>
                <w:color w:val="000000"/>
              </w:rPr>
              <w:t xml:space="preserve"> </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internally developed software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intangible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Non-amortized intangible assets </w:t>
            </w:r>
            <w:r>
              <w:rPr>
                <w:rFonts w:ascii="Times New Roman;sans-serif" w:hAnsi="Times New Roman;sans-serif"/>
                <w:b w:val="false"/>
                <w:color w:val="000000"/>
                <w:sz w:val="13"/>
              </w:rPr>
              <w:t>(1)</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management agreements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432,247 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Company’s non-amortized intangible assets consist of management contracts for open-ended fund products, in which there is no contractual termination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Gross carrying amounts related to the Company’s intangible assets include foreign currency translation differences of $1.1 million during the three months ended March 31,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4"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tbl>
      <w:tblPr>
        <w:tblW w:w="10295" w:type="dxa"/>
        <w:jc w:val="left"/>
        <w:tblInd w:w="0" w:type="dxa"/>
        <w:tblLayout w:type="fixed"/>
        <w:tblCellMar>
          <w:top w:w="28" w:type="dxa"/>
          <w:left w:w="28" w:type="dxa"/>
          <w:bottom w:w="28" w:type="dxa"/>
          <w:right w:w="28" w:type="dxa"/>
        </w:tblCellMar>
      </w:tblPr>
      <w:tblGrid>
        <w:gridCol w:w="602"/>
        <w:gridCol w:w="291"/>
        <w:gridCol w:w="293"/>
        <w:gridCol w:w="375"/>
        <w:gridCol w:w="375"/>
        <w:gridCol w:w="376"/>
        <w:gridCol w:w="109"/>
        <w:gridCol w:w="109"/>
        <w:gridCol w:w="109"/>
        <w:gridCol w:w="196"/>
        <w:gridCol w:w="736"/>
        <w:gridCol w:w="109"/>
        <w:gridCol w:w="109"/>
        <w:gridCol w:w="109"/>
        <w:gridCol w:w="109"/>
        <w:gridCol w:w="210"/>
        <w:gridCol w:w="708"/>
        <w:gridCol w:w="118"/>
        <w:gridCol w:w="109"/>
        <w:gridCol w:w="109"/>
        <w:gridCol w:w="109"/>
        <w:gridCol w:w="196"/>
        <w:gridCol w:w="461"/>
        <w:gridCol w:w="109"/>
        <w:gridCol w:w="109"/>
        <w:gridCol w:w="109"/>
        <w:gridCol w:w="109"/>
        <w:gridCol w:w="196"/>
        <w:gridCol w:w="661"/>
        <w:gridCol w:w="109"/>
        <w:gridCol w:w="109"/>
        <w:gridCol w:w="109"/>
        <w:gridCol w:w="109"/>
        <w:gridCol w:w="228"/>
        <w:gridCol w:w="770"/>
        <w:gridCol w:w="128"/>
        <w:gridCol w:w="109"/>
        <w:gridCol w:w="109"/>
        <w:gridCol w:w="109"/>
        <w:gridCol w:w="196"/>
        <w:gridCol w:w="73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9"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December 31, 2023 </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Amortization </w:t>
              <w:br/>
              <w:t>Period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r>
          </w:p>
          <w:p>
            <w:pPr>
              <w:pStyle w:val="TableContents"/>
              <w:bidi w:val="0"/>
              <w:spacing w:lineRule="auto" w:line="288"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Disposal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Held for 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Net Carrying </w:t>
              <w:br/>
              <w:t>Amount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Investment management agreements</w:t>
            </w:r>
            <w:r>
              <w:rPr>
                <w:color w:val="000000"/>
              </w:rPr>
              <w:t xml:space="preserve"> </w:t>
            </w:r>
            <w:r>
              <w:rPr>
                <w:rFonts w:ascii="Times New Roman;sans-serif" w:hAnsi="Times New Roman;sans-serif"/>
                <w:b w:val="false"/>
                <w:color w:val="000000"/>
                <w:sz w:val="12"/>
              </w:rPr>
              <w:t>(1)</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internally developed software</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Non-amortized intangible assets </w:t>
            </w:r>
            <w:r>
              <w:rPr>
                <w:rFonts w:ascii="Times New Roman;sans-serif" w:hAnsi="Times New Roman;sans-serif"/>
                <w:b w:val="false"/>
                <w:color w:val="000000"/>
                <w:sz w:val="12"/>
              </w:rPr>
              <w:t>(2)</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management agreements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(52,918)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(14,061)</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During the year ended December 31, 2023, the Company deconsolidated AHRA (See Note 3 (Business Combinations and Divestitures)) and as a result, recorded an impairment charge of $29.4 million to the carrying value of AHRA’s investment advisory agreement with Home REIT, which is recorded in the line item Impairment loss on goodwill and intangible assets in the Consolidated Statement of Operations. On January 9th,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March 31, 2024. This contingent consideration will be remeasured at fair value at each reporting date in accordance with ASC 820, </w:t>
      </w:r>
      <w:r>
        <w:rPr>
          <w:rFonts w:ascii="Times New Roman;sans-serif" w:hAnsi="Times New Roman;sans-serif"/>
          <w:b w:val="false"/>
          <w:i/>
          <w:color w:val="000000"/>
          <w:sz w:val="18"/>
        </w:rPr>
        <w:t>Fair Value Measurement</w:t>
      </w:r>
      <w:r>
        <w:rPr>
          <w:rFonts w:ascii="Times New Roman;sans-serif" w:hAnsi="Times New Roman;sans-serif"/>
          <w:b w:val="false"/>
          <w:color w:val="000000"/>
          <w:sz w:val="18"/>
        </w:rPr>
        <w:t xml:space="preserve">, with changes in fair value recognized in the Condensed Consolidated Statement of Operations in the period of change. The disposal completed on March 6, 2024. As a result, during the year ended December 31, 2023, AlTi recognized an intangible asset impairment charge of $23.5 million in Impairment loss on goodwill and intangible assets in the Consolidated Statement of Operations. In addition, as of December 31, 2023, the major classes of assets and liabilities of LRA were presented as held for sale in the Consolidated Statement of Financial Position. As of the three months ended March 31, 2024, a gain on disposal of $0.2 million was recognized in Gain (loss) on investments in the Condensed Consolidated Statement of Operations. </w:t>
      </w:r>
    </w:p>
    <w:p>
      <w:pPr>
        <w:pStyle w:val="TextBody"/>
        <w:bidi w:val="0"/>
        <w:spacing w:lineRule="auto" w:line="288" w:before="180" w:after="283"/>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The Company’s non-amortized intangible assets consist of management contracts for open-ended fund products, in which there is no contractual termination date.</w:t>
      </w:r>
    </w:p>
    <w:p>
      <w:pPr>
        <w:pStyle w:val="TextBody"/>
        <w:bidi w:val="0"/>
        <w:spacing w:lineRule="auto" w:line="268" w:before="180" w:after="283"/>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 xml:space="preserve">Gross carrying amounts related to the Company’s intangible assets include foreign currency translation differences of $7.4 million during the year ended December 31, 2023.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Amortization expense of approximately $2.3 million and $4.2 million for the three months ended March 31, 2024 and March 31, 2023, respectively, were recognized.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estimated future amortization for finite-lived intangible assets for each of the next five years and thereafter are as follows:</w:t>
      </w:r>
    </w:p>
    <w:tbl>
      <w:tblPr>
        <w:tblW w:w="3674" w:type="dxa"/>
        <w:jc w:val="left"/>
        <w:tblInd w:w="0" w:type="dxa"/>
        <w:tblLayout w:type="fixed"/>
        <w:tblCellMar>
          <w:top w:w="28" w:type="dxa"/>
          <w:left w:w="28" w:type="dxa"/>
          <w:bottom w:w="28" w:type="dxa"/>
          <w:right w:w="28" w:type="dxa"/>
        </w:tblCellMar>
      </w:tblPr>
      <w:tblGrid>
        <w:gridCol w:w="624"/>
        <w:gridCol w:w="548"/>
        <w:gridCol w:w="552"/>
        <w:gridCol w:w="345"/>
        <w:gridCol w:w="1353"/>
        <w:gridCol w:w="252"/>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186,347 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(11)Other assets, net and Other liabilities,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Other assets, net reported on the Condensed Consolidated Statement of Financial Position.</w:t>
      </w:r>
    </w:p>
    <w:p>
      <w:pPr>
        <w:pStyle w:val="TextBody"/>
        <w:bidi w:val="0"/>
        <w:spacing w:before="0" w:after="0"/>
        <w:jc w:val="both"/>
        <w:rPr/>
      </w:pPr>
      <w:r>
        <w:rPr/>
      </w:r>
    </w:p>
    <w:tbl>
      <w:tblPr>
        <w:tblW w:w="8156" w:type="dxa"/>
        <w:jc w:val="left"/>
        <w:tblInd w:w="0" w:type="dxa"/>
        <w:tblLayout w:type="fixed"/>
        <w:tblCellMar>
          <w:top w:w="28" w:type="dxa"/>
          <w:left w:w="28" w:type="dxa"/>
          <w:bottom w:w="28" w:type="dxa"/>
          <w:right w:w="28" w:type="dxa"/>
        </w:tblCellMar>
      </w:tblPr>
      <w:tblGrid>
        <w:gridCol w:w="1337"/>
        <w:gridCol w:w="1172"/>
        <w:gridCol w:w="1180"/>
        <w:gridCol w:w="386"/>
        <w:gridCol w:w="1320"/>
        <w:gridCol w:w="199"/>
        <w:gridCol w:w="109"/>
        <w:gridCol w:w="109"/>
        <w:gridCol w:w="109"/>
        <w:gridCol w:w="434"/>
        <w:gridCol w:w="1484"/>
        <w:gridCol w:w="317"/>
      </w:tblGrid>
      <w:tr>
        <w:trPr/>
        <w:tc>
          <w:tcPr>
            <w:tcW w:w="133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difference</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1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 receivables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receivables</w:t>
            </w:r>
            <w:r>
              <w:rPr>
                <w:color w:val="000000"/>
              </w:rPr>
              <w:t xml:space="preserve"> </w:t>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Other assets, net</w:t>
            </w:r>
            <w:r>
              <w:rPr>
                <w:color w:val="000000"/>
              </w:rPr>
              <w:t xml:space="preserve"> </w:t>
            </w:r>
            <w:r>
              <w:rPr>
                <w:rFonts w:ascii="Times New Roman;sans-serif" w:hAnsi="Times New Roman;sans-serif"/>
                <w:b w:val="false"/>
                <w:color w:val="000000"/>
                <w:sz w:val="13"/>
              </w:rPr>
              <w:t>(1)</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48,182 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 xml:space="preserve">As of March 31, 2024 and December 31, 2023, these amounts include $8.4 million and $6.7 million, respectively, in receivables due from related parties. See Note 16 (Related Party Transactions) for further details.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reconciliation of Other liabilities, net reported on the Condensed Consolidated Statement of Financial Position.</w:t>
      </w:r>
    </w:p>
    <w:tbl>
      <w:tblPr>
        <w:tblW w:w="7452" w:type="dxa"/>
        <w:jc w:val="left"/>
        <w:tblInd w:w="0" w:type="dxa"/>
        <w:tblLayout w:type="fixed"/>
        <w:tblCellMar>
          <w:top w:w="28" w:type="dxa"/>
          <w:left w:w="28" w:type="dxa"/>
          <w:bottom w:w="28" w:type="dxa"/>
          <w:right w:w="28" w:type="dxa"/>
        </w:tblCellMar>
      </w:tblPr>
      <w:tblGrid>
        <w:gridCol w:w="1080"/>
        <w:gridCol w:w="949"/>
        <w:gridCol w:w="956"/>
        <w:gridCol w:w="634"/>
        <w:gridCol w:w="634"/>
        <w:gridCol w:w="637"/>
        <w:gridCol w:w="109"/>
        <w:gridCol w:w="109"/>
        <w:gridCol w:w="109"/>
        <w:gridCol w:w="653"/>
        <w:gridCol w:w="653"/>
        <w:gridCol w:w="929"/>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AWMS deferred cash consideration</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Sundry</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Liabilities, net </w:t>
            </w:r>
            <w:r>
              <w:rPr>
                <w:rFonts w:ascii="Times New Roman;sans-serif" w:hAnsi="Times New Roman;sans-serif"/>
                <w:b w:val="false"/>
                <w:color w:val="000000"/>
                <w:sz w:val="13"/>
              </w:rPr>
              <w:t>(1)</w:t>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23,208 </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22,467 </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As of March 31, 2024 and December 31, 2023, these amounts include $0.5 million and $0.0 million, respectively, in liabilities due to related parties. Additionally, certain reclassifications have been made during the current period and are no longer comparable to the year ended December 31, 2023. See Note 16 (Related Party Transactions) and Note 2 (Summary of Significant Accounting Policies), respectively,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(12)Leases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primarily has non-cancellable operating leases for office spaces across various countries. We categorize leases as either operating or finance leases at the commencement date of the respective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lease costs are as follows:</w:t>
      </w:r>
    </w:p>
    <w:tbl>
      <w:tblPr>
        <w:tblW w:w="5974"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09"/>
        <w:gridCol w:w="109"/>
        <w:gridCol w:w="324"/>
        <w:gridCol w:w="949"/>
        <w:gridCol w:w="167"/>
        <w:gridCol w:w="125"/>
        <w:gridCol w:w="125"/>
        <w:gridCol w:w="125"/>
        <w:gridCol w:w="319"/>
        <w:gridCol w:w="933"/>
        <w:gridCol w:w="233"/>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Supplemental cash flow information and non-cash activity related to our operating leases are as follows:</w:t>
      </w:r>
    </w:p>
    <w:tbl>
      <w:tblPr>
        <w:tblW w:w="8444" w:type="dxa"/>
        <w:jc w:val="left"/>
        <w:tblInd w:w="0" w:type="dxa"/>
        <w:tblLayout w:type="fixed"/>
        <w:tblCellMar>
          <w:top w:w="28" w:type="dxa"/>
          <w:left w:w="28" w:type="dxa"/>
          <w:bottom w:w="28" w:type="dxa"/>
          <w:right w:w="28" w:type="dxa"/>
        </w:tblCellMar>
      </w:tblPr>
      <w:tblGrid>
        <w:gridCol w:w="1863"/>
        <w:gridCol w:w="1634"/>
        <w:gridCol w:w="1647"/>
        <w:gridCol w:w="324"/>
        <w:gridCol w:w="949"/>
        <w:gridCol w:w="167"/>
        <w:gridCol w:w="125"/>
        <w:gridCol w:w="125"/>
        <w:gridCol w:w="125"/>
        <w:gridCol w:w="319"/>
        <w:gridCol w:w="933"/>
        <w:gridCol w:w="233"/>
      </w:tblGrid>
      <w:tr>
        <w:trPr/>
        <w:tc>
          <w:tcPr>
            <w:tcW w:w="1863"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cash flow information:</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from operating leases</w:t>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activity:</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Weighted-average remaining lease term and discount rate for our operating leases are as follows:</w:t>
      </w:r>
    </w:p>
    <w:tbl>
      <w:tblPr>
        <w:tblW w:w="7795" w:type="dxa"/>
        <w:jc w:val="left"/>
        <w:tblInd w:w="0" w:type="dxa"/>
        <w:tblLayout w:type="fixed"/>
        <w:tblCellMar>
          <w:top w:w="28" w:type="dxa"/>
          <w:left w:w="28" w:type="dxa"/>
          <w:bottom w:w="28" w:type="dxa"/>
          <w:right w:w="28" w:type="dxa"/>
        </w:tblCellMar>
      </w:tblPr>
      <w:tblGrid>
        <w:gridCol w:w="1207"/>
        <w:gridCol w:w="1059"/>
        <w:gridCol w:w="1064"/>
        <w:gridCol w:w="422"/>
        <w:gridCol w:w="422"/>
        <w:gridCol w:w="1060"/>
        <w:gridCol w:w="109"/>
        <w:gridCol w:w="109"/>
        <w:gridCol w:w="109"/>
        <w:gridCol w:w="455"/>
        <w:gridCol w:w="455"/>
        <w:gridCol w:w="132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3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minimum lease payments for the Company’s operating leases as of March 31, 2024, are as follows: </w:t>
      </w:r>
    </w:p>
    <w:tbl>
      <w:tblPr>
        <w:tblW w:w="6419" w:type="dxa"/>
        <w:jc w:val="left"/>
        <w:tblInd w:w="0" w:type="dxa"/>
        <w:tblLayout w:type="fixed"/>
        <w:tblCellMar>
          <w:top w:w="28" w:type="dxa"/>
          <w:left w:w="28" w:type="dxa"/>
          <w:bottom w:w="28" w:type="dxa"/>
          <w:right w:w="28" w:type="dxa"/>
        </w:tblCellMar>
      </w:tblPr>
      <w:tblGrid>
        <w:gridCol w:w="971"/>
        <w:gridCol w:w="854"/>
        <w:gridCol w:w="860"/>
        <w:gridCol w:w="725"/>
        <w:gridCol w:w="2480"/>
        <w:gridCol w:w="529"/>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Future Minimum Rental Operating Leases</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2024</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88,717 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57,476 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(13)Goodwill, net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provide a reconciliation of Goodwill, net reported on the Condensed Consolidated Statement of Financial Position and Consolidated Statement of Financial Position as of March 31, 2024 and December 31, 2023, respectively.</w:t>
      </w:r>
    </w:p>
    <w:tbl>
      <w:tblPr>
        <w:tblW w:w="9481" w:type="dxa"/>
        <w:jc w:val="left"/>
        <w:tblInd w:w="0" w:type="dxa"/>
        <w:tblLayout w:type="fixed"/>
        <w:tblCellMar>
          <w:top w:w="28" w:type="dxa"/>
          <w:left w:w="28" w:type="dxa"/>
          <w:bottom w:w="28" w:type="dxa"/>
          <w:right w:w="28" w:type="dxa"/>
        </w:tblCellMar>
      </w:tblPr>
      <w:tblGrid>
        <w:gridCol w:w="1308"/>
        <w:gridCol w:w="1149"/>
        <w:gridCol w:w="1157"/>
        <w:gridCol w:w="404"/>
        <w:gridCol w:w="1381"/>
        <w:gridCol w:w="209"/>
        <w:gridCol w:w="109"/>
        <w:gridCol w:w="109"/>
        <w:gridCol w:w="109"/>
        <w:gridCol w:w="352"/>
        <w:gridCol w:w="1383"/>
        <w:gridCol w:w="184"/>
        <w:gridCol w:w="109"/>
        <w:gridCol w:w="109"/>
        <w:gridCol w:w="109"/>
        <w:gridCol w:w="211"/>
        <w:gridCol w:w="826"/>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Strategic Alternatives </w:t>
              <w:b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Wealth Management </w:t>
              <w:b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4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319,535 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71"/>
        <w:gridCol w:w="1108"/>
        <w:gridCol w:w="1115"/>
        <w:gridCol w:w="370"/>
        <w:gridCol w:w="1579"/>
        <w:gridCol w:w="190"/>
        <w:gridCol w:w="211"/>
        <w:gridCol w:w="406"/>
        <w:gridCol w:w="109"/>
        <w:gridCol w:w="392"/>
        <w:gridCol w:w="1545"/>
        <w:gridCol w:w="205"/>
        <w:gridCol w:w="109"/>
        <w:gridCol w:w="109"/>
        <w:gridCol w:w="109"/>
        <w:gridCol w:w="211"/>
        <w:gridCol w:w="898"/>
        <w:gridCol w:w="109"/>
        <w:gridCol w:w="159"/>
      </w:tblGrid>
      <w:tr>
        <w:trPr/>
        <w:tc>
          <w:tcPr>
            <w:tcW w:w="127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Strategic Alternatives </w:t>
              <w:br/>
              <w:t>As of December 31, 2023</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Wealth Management </w:t>
              <w:b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298,118 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period</w:t>
            </w:r>
          </w:p>
        </w:tc>
        <w:tc>
          <w:tcPr>
            <w:tcW w:w="3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and other adjustments</w:t>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(141,949)</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goodwill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321,154 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three months ended March 31, 2024, no triggering events were identified, and no impairment charge was recognized on goodwill from acquisitions.</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year ended December 31, 2023, the Company evaluated as of September 30, 2023 whether circumstances existed, indicating that the fair value of its reporting units may have declined to an amount lower than the carrying value of goodwill recorded on its Consolidated Statement of Position as of that date. The Company considered a variety of factors, including the impact of prevailing market conditions, persistently high interest rates and uncertainties caused by inflation and certain world events as well as the recent actions taken by the Company to restructure and reposition certain of the businesses within its reporting units. Based on the evaluation of these factors, the Company concluded that triggering events had occurred during the period that required the Company to assess whether the goodwill allocated to its Strategic Alternatives segment was impaired. Accordingly, the Company performed a goodwill impairment test, which compared the estimated fair value of the Strategic Alternatives reporting unit to its carrying value. The Company utilized the discounted cash flow method under the income approach and the Guideline Public Company Method (“GPCM”) under the market approach, in equal weightings, in determining a fair value for the reporting unit. The results of the impairment test performed at September 30, 2023 indicated that the carrying value of the Strategic Alternatives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4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reporting unit exceeded its estimated fair value by $153.6 million. Consequently, the Company recognized a goodwill impairment charge for this amount.</w:t>
      </w:r>
    </w:p>
    <w:p>
      <w:pPr>
        <w:pStyle w:val="TextBody"/>
        <w:bidi w:val="0"/>
        <w:spacing w:before="0" w:after="0"/>
        <w:ind w:left="0" w:right="0" w:firstLine="167"/>
        <w:jc w:val="both"/>
        <w:rPr/>
      </w:pPr>
      <w:r>
        <w:rPr/>
      </w:r>
    </w:p>
    <w:p>
      <w:pPr>
        <w:pStyle w:val="TextBody"/>
        <w:bidi w:val="0"/>
        <w:spacing w:lineRule="auto" w:line="24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assumptions used in the discounted cash flow analyses require significant judgment, including judgment about appropriate growth rates and the amount and timing of expected future cash flows. The Company’s forecasted cash flows were based on its current assessment of the markets and on assumed growth rates expected as of the measurement date. The key assumptions used in the cash flows were revenue growth rates, operating expenses, gross margins, and discount rates that appropriately reflect the risks inherent in the cash flow streams. Under the GPCM approach, the significant assumptions include the consideration of stock price and financial metrics from guideline companies.</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(14)Debt, net of unamortized deferred financing cost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outstanding debt obligations of the Company as of March 31, 2024 and December 31, 2023:</w:t>
      </w:r>
    </w:p>
    <w:tbl>
      <w:tblPr>
        <w:tblW w:w="10205" w:type="dxa"/>
        <w:jc w:val="left"/>
        <w:tblInd w:w="0" w:type="dxa"/>
        <w:tblLayout w:type="fixed"/>
        <w:tblCellMar>
          <w:top w:w="28" w:type="dxa"/>
          <w:left w:w="28" w:type="dxa"/>
          <w:bottom w:w="28" w:type="dxa"/>
          <w:right w:w="28" w:type="dxa"/>
        </w:tblCellMar>
      </w:tblPr>
      <w:tblGrid>
        <w:gridCol w:w="557"/>
        <w:gridCol w:w="406"/>
        <w:gridCol w:w="410"/>
        <w:gridCol w:w="233"/>
        <w:gridCol w:w="913"/>
        <w:gridCol w:w="120"/>
        <w:gridCol w:w="109"/>
        <w:gridCol w:w="109"/>
        <w:gridCol w:w="109"/>
        <w:gridCol w:w="214"/>
        <w:gridCol w:w="837"/>
        <w:gridCol w:w="110"/>
        <w:gridCol w:w="109"/>
        <w:gridCol w:w="109"/>
        <w:gridCol w:w="109"/>
        <w:gridCol w:w="211"/>
        <w:gridCol w:w="826"/>
        <w:gridCol w:w="109"/>
        <w:gridCol w:w="109"/>
        <w:gridCol w:w="109"/>
        <w:gridCol w:w="109"/>
        <w:gridCol w:w="233"/>
        <w:gridCol w:w="913"/>
        <w:gridCol w:w="120"/>
        <w:gridCol w:w="109"/>
        <w:gridCol w:w="109"/>
        <w:gridCol w:w="109"/>
        <w:gridCol w:w="214"/>
        <w:gridCol w:w="837"/>
        <w:gridCol w:w="110"/>
        <w:gridCol w:w="109"/>
        <w:gridCol w:w="109"/>
        <w:gridCol w:w="109"/>
        <w:gridCol w:w="211"/>
        <w:gridCol w:w="826"/>
        <w:gridCol w:w="160"/>
      </w:tblGrid>
      <w:tr>
        <w:trPr/>
        <w:tc>
          <w:tcPr>
            <w:tcW w:w="5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Debt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w:t>
            </w:r>
          </w:p>
          <w:p>
            <w:pPr>
              <w:pStyle w:val="TableContents"/>
              <w:bidi w:val="0"/>
              <w:spacing w:lineRule="auto" w:line="288" w:before="0" w:after="0"/>
              <w:jc w:val="center"/>
              <w:rPr/>
            </w:pPr>
            <w:r>
              <w:rPr>
                <w:rFonts w:ascii="Times New Roman;sans-serif" w:hAnsi="Times New Roman;sans-serif"/>
                <w:b w:val="false"/>
                <w:color w:val="000000"/>
                <w:sz w:val="20"/>
              </w:rPr>
              <w:t>Value</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Fair</w:t>
            </w:r>
          </w:p>
          <w:p>
            <w:pPr>
              <w:pStyle w:val="TableContents"/>
              <w:bidi w:val="0"/>
              <w:spacing w:lineRule="auto" w:line="288" w:before="0" w:after="0"/>
              <w:jc w:val="center"/>
              <w:rPr/>
            </w:pPr>
            <w:r>
              <w:rPr>
                <w:rFonts w:ascii="Times New Roman;sans-serif" w:hAnsi="Times New Roman;sans-serif"/>
                <w:b w:val="false"/>
                <w:color w:val="000000"/>
                <w:sz w:val="20"/>
              </w:rPr>
              <w:t xml:space="preserve">Value </w:t>
            </w:r>
            <w:r>
              <w:rPr>
                <w:rFonts w:ascii="Times New Roman;sans-serif" w:hAnsi="Times New Roman;sans-serif"/>
                <w:b/>
                <w:color w:val="000000"/>
                <w:sz w:val="13"/>
              </w:rPr>
              <w:t>(2)</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187,500 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183,663 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188,750 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186,353 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188,750 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color w:val="000000"/>
          <w:sz w:val="14"/>
        </w:rPr>
        <w:t>(1)</w:t>
      </w:r>
      <w:r>
        <w:rPr>
          <w:color w:val="000000"/>
        </w:rPr>
        <w:t xml:space="preserve"> </w:t>
      </w:r>
      <w:r>
        <w:rPr>
          <w:rFonts w:ascii="Times New Roman;sans-serif" w:hAnsi="Times New Roman;sans-serif"/>
          <w:b w:val="false"/>
          <w:color w:val="000000"/>
          <w:sz w:val="18"/>
        </w:rPr>
        <w:t>Represents debt outstanding net of unamortized debt issuance costs.</w:t>
      </w:r>
    </w:p>
    <w:p>
      <w:pPr>
        <w:pStyle w:val="TextBody"/>
        <w:bidi w:val="0"/>
        <w:spacing w:lineRule="auto" w:line="268" w:before="120" w:after="283"/>
        <w:jc w:val="both"/>
        <w:rPr/>
      </w:pPr>
      <w:r>
        <w:rPr>
          <w:rFonts w:ascii="Times New Roman;sans-serif" w:hAnsi="Times New Roman;sans-serif"/>
          <w:b/>
          <w:color w:val="000000"/>
          <w:sz w:val="14"/>
        </w:rPr>
        <w:t>(2</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18"/>
        </w:rPr>
        <w:t>The fair value of the Term Loans and Revolving Credit Facility approximates carrying value as of March 31, 2024 and December 31, 2023. The fair value is categorized as Level 3 under ASC 820.</w:t>
      </w:r>
    </w:p>
    <w:p>
      <w:pPr>
        <w:pStyle w:val="TextBody"/>
        <w:bidi w:val="0"/>
        <w:spacing w:lineRule="auto" w:line="288" w:before="240" w:after="283"/>
        <w:jc w:val="both"/>
        <w:rPr>
          <w:rFonts w:ascii="Times New Roman;sans-serif" w:hAnsi="Times New Roman;sans-serif"/>
          <w:b/>
          <w:i/>
          <w:color w:val="000000"/>
          <w:sz w:val="22"/>
        </w:rPr>
      </w:pPr>
      <w:r>
        <w:rPr>
          <w:rFonts w:ascii="Times New Roman;sans-serif" w:hAnsi="Times New Roman;sans-serif"/>
          <w:b/>
          <w:i/>
          <w:color w:val="000000"/>
          <w:sz w:val="22"/>
        </w:rPr>
        <w:t>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Closing, the Company had initially acquired legacy debt obligations from its subsidiaries in the amount of $124.4 million. Subsequently, after the Closing,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March 31, 2024, unfunded commitments on the Revolving Credit Facility amounted to $14.0 million, and the weighted-average interest rate on the outstanding borrowings of this facility was 9.5%. As of December 31, 2023, unfunded commitments on the Revolving Credit Facility amounted to $16.3 million, and the weighted-average interest rate on the outstanding borrowings of this facility was 9.0%. As security for the Term Loans and Revolving Credit Facility, the borrower and the guarantors thereunder have pledged substantially all of their assets, subject to agreed-upon exclusions. The guarantor group consists of the Company’s U.S. and non-U.S. subsidiaries, subject to an agreed-upon materiality threshold. As of March 31, 2024 and December 31, 2023, total outstanding debt, net of unamortized deferred financing costs amounted to $183.7 million and $186.4 million,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First Amendment to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31, 2023 the Company executed the First Amendment to the Credit Agreement (the “First Amendment”). The First Amendment permits the Company to extend the time period for certain payments to be made that would have otherwise been restricted by the Credit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Second Amendment to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November 10, 2023, the Company entered into the Second Amendment to the Credit Agreement (“the Second Amendment”). The Second Amendment, among other things, temporarily amends, from the date of the amendment until effectively April 1, 2024, the following provisions of the Credit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aggregate commitment amount under the Revolving Credit Facility is reduced from $150.0 million to $110.0 million;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financial covenants in the Credit Agreement are adjusted to allow for a higher Total Leverage Ratio and Modified Leverage Ratio as well as a lower Interest Coverage Ratio;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Beginning after the end of the amendment period, certain clauses in the Credit Agreement that pertain to restricted payments are amended.</w:t>
      </w:r>
    </w:p>
    <w:p>
      <w:pPr>
        <w:pStyle w:val="TextBody"/>
        <w:bidi w:val="0"/>
        <w:spacing w:lineRule="auto" w:line="268" w:before="200" w:after="283"/>
        <w:jc w:val="both"/>
        <w:rPr>
          <w:rFonts w:ascii="Times New Roman;sans-serif" w:hAnsi="Times New Roman;sans-serif"/>
          <w:b/>
          <w:i/>
          <w:color w:val="000000"/>
          <w:sz w:val="22"/>
        </w:rPr>
      </w:pPr>
      <w:r>
        <w:rPr>
          <w:rFonts w:ascii="Times New Roman;sans-serif" w:hAnsi="Times New Roman;sans-serif"/>
          <w:b/>
          <w:i/>
          <w:color w:val="000000"/>
          <w:sz w:val="22"/>
        </w:rPr>
        <w:t>Third Amendment to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22, 2024, the Company entered into a Third Amendment to the Credit Agreement (the “Third Amendment”). The Third Amendment amends and restates the Credit Agreement in its entirety to, among other things:</w:t>
      </w:r>
    </w:p>
    <w:p>
      <w:pPr>
        <w:pStyle w:val="TextBody"/>
        <w:bidi w:val="0"/>
        <w:spacing w:lineRule="auto" w:line="276" w:before="180" w:after="283"/>
        <w:ind w:left="0" w:right="0" w:hanging="360"/>
        <w:jc w:val="both"/>
        <w:rPr/>
      </w:pPr>
      <w:r>
        <w:rPr>
          <w:color w:val="000000"/>
        </w:rPr>
        <w:t>•</w:t>
      </w:r>
      <w:r>
        <w:rPr>
          <w:rFonts w:ascii="Times New Roman;sans-serif" w:hAnsi="Times New Roman;sans-serif"/>
          <w:b w:val="false"/>
          <w:color w:val="000000"/>
          <w:sz w:val="22"/>
        </w:rPr>
        <w:t>provide for and permit that the investments in the Company being made by Allianz Strategic Investments S.à.r.l. (“Allianz”) and Constellation are not required to reduce amounts outstanding under the facility;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amend the financial covenants applicable to the Company, including permanently removing the Modified Leverage Ratio, and a waiver of the Leverage Ratio and Interest Coverage Ratio for the quarters ending March 31, 2024, and June 30, 2024. For these periods, covenants will include a Minimum EBITDA and Minimum Liquidity level. In addition, starting in the quarter ending September 30, 2024 and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periods, certain cash balances will permitted to be netted against debt outstanding when calculating the Company’s Leverage Ratio;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2"/>
        </w:rPr>
        <w:t>amend the pricing grid setting forth the Applicable Margin to, among other things, increase the Applicable Margin by 0.50% while the leverage ratio and interest coverage ratio are temporarily waived, and provide for additional pricing levels based on the Company’s Total Leverage Ratio after the waiver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2"/>
        </w:rPr>
        <w:t>limit the Company’s use of proceeds relating to the Revolving Credit Facility solely to general working capital;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2"/>
        </w:rPr>
        <w:t>provide for the sale of certain assets of the Company, the proceeds of which will be required to pay down the term loan and may reduce the $40,000,000 revolving facility commitment block in place while the leverage ratio and interest coverage ratio are temporarily waived.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required by accounting standards, the Company has performed an assessment based on its current operations and capital structure of its ability to generate sufficient cash flows to meet its financial obligations for one year subsequent to the financial statement issuance date, based on conditions known and reasonably knowable as of the financial statement issuance date. Management has performed this required assessment as of May 10, 2024, and believes there are sufficient funds available to support its ongoing business operations and continue as a going concern for at least the next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assessment is subject to known and unknown risks, uncertainties, assumptions, and changes in circumstances, many of which are beyond our control including the impact of the macroeconomic environment, and that are difficult to predict as to timing, extent, likelihood, and degree of occurrence, and that could cause actual results to differ from estimates and forecasts, potentially materially. Based upon the results of Management’s assessment, these interim unaudited condensed consolidated financial statements have been prepared on a going concern basis. The interim unaudited condensed consolidated financial statements do not include any adjustments that could result from the outcome of the aforementioned risks and uncertainties.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Contractual maturities of the Term Loans as of March 31, 2024, are set out in the table below: </w:t>
      </w:r>
    </w:p>
    <w:tbl>
      <w:tblPr>
        <w:tblW w:w="3989" w:type="dxa"/>
        <w:jc w:val="left"/>
        <w:tblInd w:w="0" w:type="dxa"/>
        <w:tblLayout w:type="fixed"/>
        <w:tblCellMar>
          <w:top w:w="28" w:type="dxa"/>
          <w:left w:w="28" w:type="dxa"/>
          <w:bottom w:w="28" w:type="dxa"/>
          <w:right w:w="28" w:type="dxa"/>
        </w:tblCellMar>
      </w:tblPr>
      <w:tblGrid>
        <w:gridCol w:w="624"/>
        <w:gridCol w:w="548"/>
        <w:gridCol w:w="552"/>
        <w:gridCol w:w="424"/>
        <w:gridCol w:w="1552"/>
        <w:gridCol w:w="289"/>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Aggregate Maturities</w:t>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Rest of 2024</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3,750 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2025</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7,500 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2026</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2027</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10,000 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2028</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30,242 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61,492 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Debt is prepayable without penalty prior to maturity. Borrowings under the Revolving Credit Facility are due and payable on the termination date or an earlier date at the Company’s discretion.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Constellation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Constellation Transaction, the Company evaluated the Constellation Warrants in accordance with ASC 815-40 and concluded that a provision in the warrant agreement related to a Change of Control adjustment which would preclude equity classification as the Constellation Warrants would no longer be a fixed-for-fixed option.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Constellation Warrants meet the definition of a derivative and are recorded as derivative liabilities on the balance sheet and measured at fair value at each reporting date in accordance with ASC 820, </w:t>
      </w:r>
      <w:r>
        <w:rPr>
          <w:rFonts w:ascii="Times New Roman;sans-serif" w:hAnsi="Times New Roman;sans-serif"/>
          <w:b w:val="false"/>
          <w:i/>
          <w:color w:val="000000"/>
          <w:sz w:val="22"/>
        </w:rPr>
        <w:t xml:space="preserve">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22"/>
        </w:rPr>
        <w:t>Measurement.</w:t>
      </w:r>
      <w:r>
        <w:rPr>
          <w:color w:val="000000"/>
        </w:rPr>
        <w:t xml:space="preserve"> </w:t>
      </w:r>
      <w:r>
        <w:rPr>
          <w:rFonts w:ascii="Times New Roman;sans-serif" w:hAnsi="Times New Roman;sans-serif"/>
          <w:b w:val="false"/>
          <w:color w:val="000000"/>
          <w:sz w:val="22"/>
        </w:rPr>
        <w:t xml:space="preserve">As of March 31, 2024, the Constellation Warrants of $2.8 million are recorded in the line item Warrant liabilities at fair value on the Company’s Condensed Consolidated Statement of Financial Position. For the three months ended March 31, 2024, the change in fair value of the Constellation Warrants are $(0.3) million and are recorded in the line item Loss on warrant liability in the Condensed Consolidated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(15)Retirement Plans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for the three months ended March 31, 2024 and March 31, 2023 were $1.0 million and $0.8 million, respectively, of which $0.8 million was payable as of March 31, 2024, and is included in Accounts payable and accrued expenses on the Condensed Consolidated Statement of Financial Position. </w:t>
      </w:r>
    </w:p>
    <w:tbl>
      <w:tblPr>
        <w:tblW w:w="6287" w:type="dxa"/>
        <w:jc w:val="left"/>
        <w:tblInd w:w="0" w:type="dxa"/>
        <w:tblLayout w:type="fixed"/>
        <w:tblCellMar>
          <w:top w:w="28" w:type="dxa"/>
          <w:left w:w="28" w:type="dxa"/>
          <w:bottom w:w="28" w:type="dxa"/>
          <w:right w:w="28" w:type="dxa"/>
        </w:tblCellMar>
      </w:tblPr>
      <w:tblGrid>
        <w:gridCol w:w="624"/>
        <w:gridCol w:w="548"/>
        <w:gridCol w:w="552"/>
        <w:gridCol w:w="109"/>
        <w:gridCol w:w="109"/>
        <w:gridCol w:w="239"/>
        <w:gridCol w:w="239"/>
        <w:gridCol w:w="463"/>
        <w:gridCol w:w="1353"/>
        <w:gridCol w:w="239"/>
        <w:gridCol w:w="109"/>
        <w:gridCol w:w="109"/>
        <w:gridCol w:w="109"/>
        <w:gridCol w:w="377"/>
        <w:gridCol w:w="833"/>
        <w:gridCol w:w="275"/>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2" w:type="dxa"/>
            <w:gridSpan w:val="6"/>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Contributions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(16)Related Party Transactions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Related party transactions include the below:</w:t>
      </w:r>
    </w:p>
    <w:tbl>
      <w:tblPr>
        <w:tblW w:w="10205" w:type="dxa"/>
        <w:jc w:val="left"/>
        <w:tblInd w:w="0" w:type="dxa"/>
        <w:tblLayout w:type="fixed"/>
        <w:tblCellMar>
          <w:top w:w="28" w:type="dxa"/>
          <w:left w:w="28" w:type="dxa"/>
          <w:bottom w:w="28" w:type="dxa"/>
          <w:right w:w="28" w:type="dxa"/>
        </w:tblCellMar>
      </w:tblPr>
      <w:tblGrid>
        <w:gridCol w:w="2045"/>
        <w:gridCol w:w="1418"/>
        <w:gridCol w:w="1427"/>
        <w:gridCol w:w="109"/>
        <w:gridCol w:w="109"/>
        <w:gridCol w:w="109"/>
        <w:gridCol w:w="648"/>
        <w:gridCol w:w="627"/>
        <w:gridCol w:w="629"/>
        <w:gridCol w:w="225"/>
        <w:gridCol w:w="810"/>
        <w:gridCol w:w="116"/>
        <w:gridCol w:w="240"/>
        <w:gridCol w:w="864"/>
        <w:gridCol w:w="123"/>
        <w:gridCol w:w="109"/>
        <w:gridCol w:w="109"/>
        <w:gridCol w:w="109"/>
        <w:gridCol w:w="109"/>
        <w:gridCol w:w="109"/>
        <w:gridCol w:w="161"/>
      </w:tblGrid>
      <w:tr>
        <w:trPr/>
        <w:tc>
          <w:tcPr>
            <w:tcW w:w="204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 Line Item</w:t>
            </w:r>
          </w:p>
        </w:tc>
        <w:tc>
          <w:tcPr>
            <w:tcW w:w="11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March 31, </w:t>
              <w:br/>
              <w:t>2024</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December 31, </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Alvarium related fee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TIG related fee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receivable, net</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TWMH Members, TIG GP Members and TIG MGMT Members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Non-Controlling Interest Holders in Connection with the Tax Receivable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 liability</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share purchase agreement</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profit sharing</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Certain TWMH Members, TIG GP Members, TIG MGMT Members and Alvarium Shareholders in connection with the Business Combination Earn-out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at fair value</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AWMS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at fair value</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AWMS deferred cash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Equity Method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Due from TWMH Members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2024 and March 31, 2023, the Company recognized $58 thousand and $66 thousand, respectively, of forgiveness of principal debt and accrued interest within Compensation and employee benefits expense on the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 Consolidated Statement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Condition. As of March 31, 2024 and December 31, 2023, the balance of loans to members were $0.6 million and $0.7 million, respectively.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Delayed Share Purchase Agreement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July 28, 2023, the Company amended the delayed shared purchase agreement for the shares of Tiedemann International Holdings, AG, which are owned by an executive and shareholder of the Company. The amendment adjusted the purchase price from $2.2 million in cash to $2.1 million in cash and $1.2 million in the Company’s Class A Common Stock. The cash purchase price has been recognized in the Condensed Consolidated Statement of Financial Condition as Delayed share purchase agreement and Accrued compensation and profit sharing. On March 25, 2024, the TIH SPA was fully paid. As of December 31, 2023, the delayed share purchase agreement liability was reported as $1.8 million and the portion of the Delayed share purchase agreement reported in Accrued compensation and profit sharing was $0.3 million. The stock purchase price was recognized in the Consolidated Statement of Financial Condition as additional paid-in capital. As of December 31, 2023, the portion of the delayed share purchase agreement reported in Additional paid-in capital was $1.2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the Company recognized $40.0 thousand of stock and cash compensation associated with the delayed share purchase agreement within Compensation and employee benefits expense on the Condensed Consolidated Statement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Equity Method Investees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2024, the Company recognized $0.2 million in Management/advisory fees, $(1.0) million in Other income/fees and $6 thousand in Interest and dividend income (expense) from equity method investees on the Condensed Consolidated Statement of Operations. For the three months ended March 31, 2023, the Company recognized $0.8 million in Management/advisory fees, $0.8 million in Compensation and employee benefits, $0.1 million in Other income/fees and $22 thousand in Interest and dividend income (expense) from equity method investees on the Condensed Consolidated Statement of Operations.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Tax Receivable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TRA is recognized on the Consolidated Statement of Financial Condition as the TRA Liability. The value of the TRA Liability as of March 31, 2024 and December 31, 2023 was $24.9 million and $17.6 million, respectively. As of March 31, 2024 and December 31, 2023, the Company carried $7.3 million and $13.2 million, respectively, of its TRA Liability at fair value, as it is contingent consideration from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Combination. The remaining portion related to the TRA exchange of $17.6 million and $4.4 million as of March 31, 2024 and December 31, 2023, respectively, is recorded at its carrying value. For the three months ended March 31, 2024 and March 31, 2023, the Company recognized a loss of $5.9 million and $0.1 million, respectively, which is recorded in Gain (loss) on TRA in the Condensed Consolidated Statement of Operations.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shd w:fill="FFFFFF" w:val="clear"/>
        </w:rPr>
        <w:t xml:space="preserve">On August 31, 2023, holders of Class B Common Stock exchanged a portion of such Class B Units with the Company, in exchange for shares of Class A Common Stock on a 1:1 basis totaling an amount equal to </w:t>
      </w:r>
      <w:r>
        <w:rPr>
          <w:rFonts w:ascii="Times New Roman;sans-serif" w:hAnsi="Times New Roman;sans-serif"/>
          <w:b w:val="false"/>
          <w:color w:val="000000"/>
          <w:sz w:val="22"/>
        </w:rPr>
        <w:t>$7.31</w:t>
      </w:r>
      <w:r>
        <w:rPr>
          <w:color w:val="000000"/>
          <w:shd w:fill="FFFFFF" w:val="clear"/>
        </w:rPr>
        <w:t xml:space="preserve"> </w:t>
      </w:r>
      <w:r>
        <w:rPr>
          <w:rFonts w:ascii="Times New Roman;sans-serif" w:hAnsi="Times New Roman;sans-serif"/>
          <w:b w:val="false"/>
          <w:color w:val="000000"/>
          <w:sz w:val="22"/>
          <w:shd w:fill="FFFFFF" w:val="clear"/>
        </w:rPr>
        <w:t xml:space="preserve">multiplied by the total number of shares of Class B Common Stock exchanged at the time of the transaction. </w:t>
      </w:r>
      <w:r>
        <w:rPr>
          <w:rFonts w:ascii="Times New Roman;sans-serif" w:hAnsi="Times New Roman;sans-serif"/>
          <w:b w:val="false"/>
          <w:color w:val="000000"/>
          <w:sz w:val="22"/>
        </w:rPr>
        <w:t>On March 11, 2024, holders of Class B Common Stock exchanged a portion of such Class B Units with the Company, in exchange for shares of Class A Common Stock on a 1:1 basis totaling an amount equal to $6.61 multiplied by the total number of shares of Class B Common Stock exchanged at the time of the transaction. For the three months ended March 31, 2024, the Company made tax payments on behalf of and cash distributions to Class B Units holders related to the TRA of $40 thousand.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Liability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March 31, 2024 and December 31, 2023, the fair value of the Business Combination Earn-out Liability was $22.9 million and $62.4 million, and is reported in Earn-out liability, at fair value, in the Condensed Consolidated Statement of Financial Position and Consolidated Statement of Financial Position, respectively. For the three months ended March 31, 2024 and March 31, 2023, the Company recognized the change in fair value of $(39.5) million and $(29.2) million, respectively, which is recorded in Gain (loss) on earnout liability in the Condensed Consolidated Statement of Operations and in Fair value of earn-out liability in the Condensed 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AWMS Earn-out Liability</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March 31, 2024 and December 31, 2023, the AWMS earn-out liability of $1.1 million and $1.1 million is reported in Earn-out liability, at fair value, in the Condensed Consolidated Statement of Financial Position and Consolidated Statement of Financial Position, respectively.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sans-serif" w:hAnsi="Times New Roman;sans-serif"/>
          <w:b w:val="false"/>
          <w:i/>
          <w:color w:val="000000"/>
          <w:sz w:val="22"/>
        </w:rPr>
        <w:t xml:space="preserve">Fair Value Measurement. </w:t>
      </w:r>
      <w:r>
        <w:rPr>
          <w:rFonts w:ascii="Times New Roman;sans-serif" w:hAnsi="Times New Roman;sans-serif"/>
          <w:b w:val="false"/>
          <w:color w:val="000000"/>
          <w:sz w:val="22"/>
        </w:rPr>
        <w:t xml:space="preserve">For the three months ended March 31, 2024, the Company recognized the change in fair value of $(3.0) thousand, which is recorded in Gain (loss) on earn-out liability in the Condensed Consolidated Statement of Operations and in Fair value of earn-out liability in the Condensed Consolidated Statement of Cash Flows in the period of 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Fees Receivable, net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Consolidated Statement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Financial Condition as Fees Receivable, net. As of March 31, 2024 and December 31, 2023, fees due from Alvarium related fee arrangements were $0.3 million and $0.2 million, respectively. Additionally, as of March 31, 2024 and December 31, 2023, management and incentive fees receivable due from TIG related fee agreements were $0.9 million and $15.8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pPr>
      <w:r>
        <w:rPr>
          <w:rFonts w:ascii="Times New Roman;sans-serif" w:hAnsi="Times New Roman;sans-serif"/>
          <w:b/>
          <w:color w:val="000000"/>
          <w:sz w:val="22"/>
        </w:rPr>
        <w:t>(17)</w:t>
      </w:r>
      <w:r>
        <w:rPr>
          <w:color w:val="000000"/>
        </w:rPr>
        <w:t xml:space="preserve"> </w:t>
      </w:r>
      <w:r>
        <w:rPr>
          <w:rFonts w:ascii="Times New Roman;sans-serif" w:hAnsi="Times New Roman;sans-serif"/>
          <w:b/>
          <w:color w:val="000000"/>
          <w:sz w:val="22"/>
        </w:rPr>
        <w:t>Segment Reporting</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operates within two business segments: Strategic Alternatives and Wealth Management. See Note 1 (Description of the Business). Segment information is utilized by the Company’s chief operating decision maker, which is our Chief Executive Officer, to assess performance and to allocate resources.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business segment information was prepared using the following methodologies and generally represents the information that is relied upon by management in its decision-making process.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Revenues and expenses directly associated with each business segment are included in determining net income/ (loss) by segment.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Indirect expenses (such as general and administrative expenses including executive and indirect overhead costs) not directly associated with specific business segments are allocated to the business segments’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Accordingly, the Company presents segment information consistent with internal management reporting. See Note 1 (Description of the Business) and the table below for more detail on unallocated items. The following table presents the financial information for the Company’s segments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13"/>
        <w:gridCol w:w="442"/>
        <w:gridCol w:w="445"/>
        <w:gridCol w:w="241"/>
        <w:gridCol w:w="825"/>
        <w:gridCol w:w="124"/>
        <w:gridCol w:w="109"/>
        <w:gridCol w:w="109"/>
        <w:gridCol w:w="109"/>
        <w:gridCol w:w="226"/>
        <w:gridCol w:w="775"/>
        <w:gridCol w:w="117"/>
        <w:gridCol w:w="109"/>
        <w:gridCol w:w="109"/>
        <w:gridCol w:w="109"/>
        <w:gridCol w:w="211"/>
        <w:gridCol w:w="721"/>
        <w:gridCol w:w="109"/>
        <w:gridCol w:w="109"/>
        <w:gridCol w:w="109"/>
        <w:gridCol w:w="109"/>
        <w:gridCol w:w="236"/>
        <w:gridCol w:w="845"/>
        <w:gridCol w:w="122"/>
        <w:gridCol w:w="109"/>
        <w:gridCol w:w="109"/>
        <w:gridCol w:w="109"/>
        <w:gridCol w:w="212"/>
        <w:gridCol w:w="797"/>
        <w:gridCol w:w="109"/>
        <w:gridCol w:w="109"/>
        <w:gridCol w:w="109"/>
        <w:gridCol w:w="109"/>
        <w:gridCol w:w="211"/>
        <w:gridCol w:w="826"/>
        <w:gridCol w:w="163"/>
      </w:tblGrid>
      <w:tr>
        <w:trPr/>
        <w:tc>
          <w:tcPr>
            <w:tcW w:w="8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r>
      <w:tr>
        <w:trP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40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by Segment</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Strategic Alternatives</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Wealth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Strategic Alternatives</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Wealth </w:t>
              <w:br/>
              <w:t xml:space="preserve">Management </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Systems, technology, and telephone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distribution, and marketing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entertainment</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(43,438)</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investments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warrant liability</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earn-out liability</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TRA</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(expenses) benefit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tbl>
      <w:tblPr>
        <w:tblW w:w="6341" w:type="dxa"/>
        <w:jc w:val="left"/>
        <w:tblInd w:w="0" w:type="dxa"/>
        <w:tblLayout w:type="fixed"/>
        <w:tblCellMar>
          <w:top w:w="28" w:type="dxa"/>
          <w:left w:w="28" w:type="dxa"/>
          <w:bottom w:w="28" w:type="dxa"/>
          <w:right w:w="28" w:type="dxa"/>
        </w:tblCellMar>
      </w:tblPr>
      <w:tblGrid>
        <w:gridCol w:w="679"/>
        <w:gridCol w:w="596"/>
        <w:gridCol w:w="600"/>
        <w:gridCol w:w="310"/>
        <w:gridCol w:w="1435"/>
        <w:gridCol w:w="160"/>
        <w:gridCol w:w="109"/>
        <w:gridCol w:w="109"/>
        <w:gridCol w:w="109"/>
        <w:gridCol w:w="351"/>
        <w:gridCol w:w="1627"/>
        <w:gridCol w:w="256"/>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44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 by segment</w:t>
            </w:r>
          </w:p>
        </w:tc>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Alternatives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1,299,938 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1,266,567 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(18)Earnings Per Share</w:t>
      </w:r>
    </w:p>
    <w:p>
      <w:pPr>
        <w:pStyle w:val="TextBody"/>
        <w:bidi w:val="0"/>
        <w:spacing w:before="0" w:after="0"/>
        <w:ind w:left="0" w:right="0" w:hanging="18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Company’s treatment for basic and diluted earnings (loss) per share for instruments outstanding of the Company. Potentially dilutive instruments are only considered in the calculation to the extent they would be dilutive.</w:t>
      </w:r>
    </w:p>
    <w:tbl>
      <w:tblPr>
        <w:tblW w:w="10205" w:type="dxa"/>
        <w:jc w:val="left"/>
        <w:tblInd w:w="0" w:type="dxa"/>
        <w:tblLayout w:type="fixed"/>
        <w:tblCellMar>
          <w:top w:w="28" w:type="dxa"/>
          <w:left w:w="28" w:type="dxa"/>
          <w:bottom w:w="28" w:type="dxa"/>
          <w:right w:w="28" w:type="dxa"/>
        </w:tblCellMar>
      </w:tblPr>
      <w:tblGrid>
        <w:gridCol w:w="661"/>
        <w:gridCol w:w="473"/>
        <w:gridCol w:w="478"/>
        <w:gridCol w:w="109"/>
        <w:gridCol w:w="109"/>
        <w:gridCol w:w="109"/>
        <w:gridCol w:w="493"/>
        <w:gridCol w:w="410"/>
        <w:gridCol w:w="424"/>
        <w:gridCol w:w="126"/>
        <w:gridCol w:w="126"/>
        <w:gridCol w:w="126"/>
        <w:gridCol w:w="977"/>
        <w:gridCol w:w="977"/>
        <w:gridCol w:w="995"/>
        <w:gridCol w:w="114"/>
        <w:gridCol w:w="114"/>
        <w:gridCol w:w="114"/>
        <w:gridCol w:w="436"/>
        <w:gridCol w:w="436"/>
        <w:gridCol w:w="448"/>
        <w:gridCol w:w="125"/>
        <w:gridCol w:w="125"/>
        <w:gridCol w:w="125"/>
        <w:gridCol w:w="456"/>
        <w:gridCol w:w="456"/>
        <w:gridCol w:w="663"/>
      </w:tblGrid>
      <w:tr>
        <w:trPr/>
        <w:tc>
          <w:tcPr>
            <w:tcW w:w="6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Class B Shares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If-converted method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If-converted method</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Series C Preferred Shares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Two-class method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More dilutive of two-class method or if-converted method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Warrants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 outstanding</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 outstanding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 outstanding</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 outstanding</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Holbein Earn-In Shares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Excluded</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stock method</w:t>
            </w:r>
          </w:p>
        </w:tc>
      </w:tr>
    </w:tbl>
    <w:p>
      <w:pPr>
        <w:pStyle w:val="TextBody"/>
        <w:bidi w:val="0"/>
        <w:spacing w:lineRule="auto" w:line="268" w:before="24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The if-converted method for these instruments includes adding back to the numerator any related income or loss allocations to noncontrolling interest, as well as any incremental tax expense had the instruments converted into Class A Shares as of the beginning of the period.</w:t>
      </w:r>
    </w:p>
    <w:p>
      <w:pPr>
        <w:pStyle w:val="TextBody"/>
        <w:bidi w:val="0"/>
        <w:spacing w:lineRule="auto" w:line="268" w:before="120" w:after="283"/>
        <w:jc w:val="both"/>
        <w:rPr/>
      </w:pPr>
      <w:r>
        <w:rPr>
          <w:rFonts w:ascii="Times New Roman;sans-serif" w:hAnsi="Times New Roman;sans-serif"/>
          <w:b/>
          <w:color w:val="000000"/>
          <w:sz w:val="12"/>
        </w:rPr>
        <w:t>(2)</w:t>
      </w:r>
      <w:r>
        <w:rPr>
          <w:color w:val="000000"/>
        </w:rPr>
        <w:t xml:space="preserve"> </w:t>
      </w:r>
      <w:r>
        <w:rPr>
          <w:rFonts w:ascii="Times New Roman;sans-serif" w:hAnsi="Times New Roman;sans-serif"/>
          <w:b w:val="false"/>
          <w:color w:val="000000"/>
          <w:sz w:val="18"/>
        </w:rPr>
        <w:t>During the three months ended March 31, 2024, the Company issued Series C Preferred Shares and Warrants for Class A Shares. The Series C Preferred Shares are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w:t>
      </w:r>
    </w:p>
    <w:p>
      <w:pPr>
        <w:pStyle w:val="TextBody"/>
        <w:bidi w:val="0"/>
        <w:spacing w:lineRule="auto" w:line="268" w:before="120" w:after="283"/>
        <w:jc w:val="both"/>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As mentioned in note 2, during the three months ended March 31, 2024, the Company issued Series C Preferred Shares and Warrants for Class A Shares. The Warrants do not participate in dividends declared on common stock and are excluded from the calculation of basic earnings per share. Since the Warrants are classified as liabilities and remeasured at fair value each period, application of the treasury stock method for calculation of diluted earnings per share includes reversing the income statement effect of the fair value remeasurement for the period.</w:t>
      </w:r>
    </w:p>
    <w:p>
      <w:pPr>
        <w:pStyle w:val="TextBody"/>
        <w:bidi w:val="0"/>
        <w:spacing w:lineRule="auto" w:line="288" w:before="120" w:after="283"/>
        <w:jc w:val="both"/>
        <w:rPr/>
      </w:pPr>
      <w:r>
        <w:rPr>
          <w:rFonts w:ascii="Times New Roman;sans-serif" w:hAnsi="Times New Roman;sans-serif"/>
          <w:b/>
          <w:color w:val="000000"/>
          <w:sz w:val="12"/>
        </w:rPr>
        <w:t>(4)</w:t>
      </w:r>
      <w:r>
        <w:rPr>
          <w:color w:val="000000"/>
        </w:rPr>
        <w:t xml:space="preserve"> </w:t>
      </w:r>
      <w:r>
        <w:rPr>
          <w:rFonts w:ascii="Times New Roman;sans-serif" w:hAnsi="Times New Roman;sans-serif"/>
          <w:b w:val="false"/>
          <w:color w:val="000000"/>
          <w:sz w:val="18"/>
        </w:rPr>
        <w:t>During the third quarter of 2023, the Company modified the Holbein Earn-In shares arrangement such that the settlement of the Earn-In shares would be in shares at each service period. As of March 31, 2024, the service periods related to the Holbein Earn-In shares had not been completed, and therefore such shares have not been included in the calculation of basic earnings (loss) per share for the three months ended March 31, 2024 and March 31, 2023. However, in calculating the Company’s diluted earnings (loss) per share, the Company utilized the treasury stock method to determine the potential number of dilutive shares for the three months ended March 31, 2024 and March 31, 2023. For the three months ended March 31, 2024 and March 31, 2023, the Holbein Earn-In shares were excluded from the Company’s diluted earnings per share calculation as the Earn-In shares were classified as contingently issuable common shares. The key terms of the Holbein Earn-Ins are discussed in Note 5 (Equity-Based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2109"/>
        <w:gridCol w:w="1810"/>
        <w:gridCol w:w="1816"/>
        <w:gridCol w:w="109"/>
        <w:gridCol w:w="109"/>
        <w:gridCol w:w="210"/>
        <w:gridCol w:w="210"/>
        <w:gridCol w:w="425"/>
        <w:gridCol w:w="1399"/>
        <w:gridCol w:w="210"/>
        <w:gridCol w:w="109"/>
        <w:gridCol w:w="109"/>
        <w:gridCol w:w="109"/>
        <w:gridCol w:w="270"/>
        <w:gridCol w:w="1002"/>
        <w:gridCol w:w="199"/>
      </w:tblGrid>
      <w:tr>
        <w:trPr/>
        <w:tc>
          <w:tcPr>
            <w:tcW w:w="2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798" w:type="dxa"/>
            <w:gridSpan w:val="6"/>
            <w:tcBorders/>
          </w:tcPr>
          <w:p>
            <w:pPr>
              <w:pStyle w:val="TableContents"/>
              <w:bidi w:val="0"/>
              <w:spacing w:before="0" w:after="283"/>
              <w:jc w:val="left"/>
              <w:rPr>
                <w:sz w:val="4"/>
                <w:szCs w:val="4"/>
              </w:rPr>
            </w:pPr>
            <w:r>
              <w:rPr>
                <w:sz w:val="4"/>
                <w:szCs w:val="4"/>
              </w:rPr>
            </w:r>
          </w:p>
        </w:tc>
      </w:tr>
      <w:tr>
        <w:trPr/>
        <w:tc>
          <w:tcPr>
            <w:tcW w:w="5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the Company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66,718,427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57,546,811 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120,561,316 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57,546,811 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Class A Common Stock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per Class A Common Stock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potentially dilutive instruments were excluded from the calculation of diluted net loss per share because their effect would have been antidilutive:</w:t>
      </w:r>
    </w:p>
    <w:tbl>
      <w:tblPr>
        <w:tblW w:w="8087" w:type="dxa"/>
        <w:jc w:val="left"/>
        <w:tblInd w:w="0" w:type="dxa"/>
        <w:tblLayout w:type="fixed"/>
        <w:tblCellMar>
          <w:top w:w="28" w:type="dxa"/>
          <w:left w:w="28" w:type="dxa"/>
          <w:bottom w:w="28" w:type="dxa"/>
          <w:right w:w="28" w:type="dxa"/>
        </w:tblCellMar>
      </w:tblPr>
      <w:tblGrid>
        <w:gridCol w:w="1275"/>
        <w:gridCol w:w="1121"/>
        <w:gridCol w:w="1129"/>
        <w:gridCol w:w="109"/>
        <w:gridCol w:w="109"/>
        <w:gridCol w:w="506"/>
        <w:gridCol w:w="506"/>
        <w:gridCol w:w="506"/>
        <w:gridCol w:w="506"/>
        <w:gridCol w:w="509"/>
        <w:gridCol w:w="109"/>
        <w:gridCol w:w="109"/>
        <w:gridCol w:w="109"/>
        <w:gridCol w:w="434"/>
        <w:gridCol w:w="434"/>
        <w:gridCol w:w="616"/>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and Class B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55,032,961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20,399,877</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10,396,318</w:t>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(19)Commitments and Contingencies</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and December 31, 2023, the liability associated with the TRA was approximately $24.9 million and $17.6 million, respectively. Payments under the TRA that are on account of liabilities arising in connection with the Business Combination will be revalued at the end of each reporting period with the gain or loss recognized in earnings. As of March 31, 2024 and December 31, 2023, the Company carried $7.3 million and $13.2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200" w:after="283"/>
        <w:jc w:val="both"/>
        <w:rPr/>
      </w:pPr>
      <w:r>
        <w:rPr>
          <w:rFonts w:ascii="Times New Roman;sans-serif" w:hAnsi="Times New Roman;sans-serif"/>
          <w:b w:val="false"/>
          <w:color w:val="000000"/>
          <w:sz w:val="22"/>
        </w:rPr>
        <w:t xml:space="preserve">In connection with the TRA, certain parties to the Business Combination who received Class B Units in Umbrella have the ability to exchange Class B Units in Umbrella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ans-serif" w:hAnsi="Times New Roman;sans-serif"/>
          <w:b w:val="false"/>
          <w:i/>
          <w:color w:val="000000"/>
          <w:sz w:val="22"/>
        </w:rPr>
        <w:t>Contingencies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On August 31, 2023, holders of Class B Units exchanged </w:t>
      </w:r>
      <w:r>
        <w:rPr>
          <w:rFonts w:ascii="Times New Roman;sans-serif" w:hAnsi="Times New Roman;sans-serif"/>
          <w:b w:val="false"/>
          <w:color w:val="000000"/>
          <w:sz w:val="22"/>
        </w:rPr>
        <w:t xml:space="preserve">1,813,248 </w:t>
      </w:r>
      <w:r>
        <w:rPr>
          <w:rFonts w:ascii="Times New Roman;sans-serif" w:hAnsi="Times New Roman;sans-serif"/>
          <w:b w:val="false"/>
          <w:color w:val="000000"/>
          <w:sz w:val="22"/>
          <w:shd w:fill="FFFFFF" w:val="clear"/>
        </w:rPr>
        <w:t xml:space="preserve">Class B Paired Interests to the Company, in exchange for shares of Class A Common Stock on a 1:1 basis totaling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200" w:after="283"/>
        <w:jc w:val="both"/>
        <w:rPr/>
      </w:pPr>
      <w:r>
        <w:rPr>
          <w:rFonts w:ascii="Times New Roman;sans-serif" w:hAnsi="Times New Roman;sans-serif"/>
          <w:b w:val="false"/>
          <w:color w:val="000000"/>
          <w:sz w:val="22"/>
          <w:shd w:fill="FFFFFF" w:val="clear"/>
        </w:rPr>
        <w:t xml:space="preserve">amount equal to </w:t>
      </w:r>
      <w:r>
        <w:rPr>
          <w:rFonts w:ascii="Times New Roman;sans-serif" w:hAnsi="Times New Roman;sans-serif"/>
          <w:b w:val="false"/>
          <w:color w:val="000000"/>
          <w:sz w:val="22"/>
        </w:rPr>
        <w:t>$7.31</w:t>
      </w:r>
      <w:r>
        <w:rPr>
          <w:color w:val="000000"/>
          <w:shd w:fill="FFFFFF" w:val="clear"/>
        </w:rPr>
        <w:t xml:space="preserve"> </w:t>
      </w:r>
      <w:r>
        <w:rPr>
          <w:rFonts w:ascii="Times New Roman;sans-serif" w:hAnsi="Times New Roman;sans-serif"/>
          <w:b w:val="false"/>
          <w:color w:val="000000"/>
          <w:sz w:val="22"/>
          <w:shd w:fill="FFFFFF" w:val="clear"/>
        </w:rPr>
        <w:t xml:space="preserve">multiplied by the total number of shares of Class A Common Stock received at the time of the transaction. </w:t>
      </w:r>
      <w:r>
        <w:rPr>
          <w:rFonts w:ascii="Times New Roman;sans-serif" w:hAnsi="Times New Roman;sans-serif"/>
          <w:b w:val="false"/>
          <w:color w:val="000000"/>
          <w:sz w:val="22"/>
        </w:rPr>
        <w:t>On March 11, 2024, holders of Class B Common Stock exchanged 4,954,518 Class B Paired Interests with the Company, in exchange for shares of Class A Common Stock on a 1:1 basis totaling an amount equal to $6.61 multiplied by the total number of shares of Class B Common Stock exchanged at the time of the transaction.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assuming no material changes in the relevant tax laws and that the Company generates sufficient taxable income to realize the full tax benefit of the increased amortization resulting from the increase in tax basis of certain of AlTi’s assets, we expect to pay approximately $24.9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pStyle w:val="TextBody"/>
        <w:bidi w:val="0"/>
        <w:spacing w:lineRule="auto" w:line="256" w:before="20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March 31, 2024 and December 31, 2023, the fair value of the earn-out shares was $22.9 million and $62.4 million, respectively. See Note 2 (Summary of Significant Accounting Policies) for additional detail.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AWMS Earn-out Liability</w:t>
      </w:r>
    </w:p>
    <w:p>
      <w:pPr>
        <w:pStyle w:val="TextBody"/>
        <w:bidi w:val="0"/>
        <w:spacing w:before="0" w:after="0"/>
        <w:ind w:left="0" w:right="0" w:hanging="18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March 31, 2024 and December 31, 2023, the AWMS earn-out liability of $1.1 million and $1.1 million, respectively, is reported in Earn-out liability, at fair value, in the Condensed Consolidated Statement of Financial Position.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xml:space="preserve">, with changes in fair value to be recognized in Gain (loss) on earn-out liability in the Condensed Consolidated Statement of Operations and in Fair value of earn-out liability in the Condensed Consolidated Statement of Cash Flows in the period of change.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may be named as a defendant in legal or regulatory actions. Although there can be no assurance of the outcome of such matters, management’s current assessment is that no loss contingency reserve is required to be recorded as of March 31, 2024 for any potential liability related to any current legal or regulatory proceeding or claim that would individually or in the aggregate materially affect our results of operations, financial condition, or cash flows.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Home REIT is a real estate investment trust company listed on the London Stock Exchange. AFM UK was its alternative investment fund manager (“AIFM”) until August 21, 2023 and AHRA was its investment adviser until June 30, 2023. AFM UK is a wholly owned subsidiary of the Company. AHRA was owned by ARE (another wholly owned subsidiary of the Company) up until December 30, 2022, when it was sold. AlTi was formed on January 3, 2023, through a business combination transaction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 </w:t>
      </w:r>
    </w:p>
    <w:p>
      <w:pPr>
        <w:pStyle w:val="TextBody"/>
        <w:bidi w:val="0"/>
        <w:spacing w:before="200" w:after="283"/>
        <w:jc w:val="both"/>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6, 2023, a pre-action letter of claim was received by AFM UK and ARE asserting potential claims against those entities relating to the above matters (a pre-action letter of claim is required to be sent by a claimant to a potential defendant under the Practice Direction on Pre-Action Protocols and Conduct contained in the United Kingdom’s Ministry of Justice Civil Procedure Rules prior to a claimant commencing litigation in the UK). This relates to the historic management of Home REIT by certain legacy Alvarium entities. The pre-action letter was sent by a law firm acting on behalf of a group of current and former shareholders in Home REIT and, in addition to AFM UK and ARE, was addressed to Home REIT and its directors. The pre-action letter does not provide details of amounts being claimed from any of the potential defendants (whether jointly or severally), and it is not possible at this point in time for us to reliably assess what the quantum of such claims might be, or AFM UK’s and ARE’s potential exposure, though they may potentially be material to the Company. If any litigation or other action is commenced by current and/or former shareholders of Home REIT against AFM UK and/or ARE, we intend to defend ourselves in any such matters vigorously. However, if any claims were commenced, we would anticipate that such claims may involve complex questions of law and fact and we may incur significant legal expenses in defending such litigation.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April 12, 2024, pre-action letters of claim were received by AFM UK and ARE from solicitors acting for Home REIT and its directors. This relates to the historic management of Home REIT by certain legacy Alvarium entities. In the letters, Home REIT and its directors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actions or omissions of AHRA under the UK’s appointed representative regime. The pre-action letters do not provide details of the overall amounts being claimed from either AFM UK or ARE (whether jointly or severally), and it is not possible at this point in time for us to reliably assess what the quantum of such claims might be, or AFM UK’s and ARE’s potential exposure, though they may potentially be material to the Company. If any litigation or other action is commenced by Home REIT and/or its directors against AFM UK and/or ARE, we intend to defend ourselves in any such matters vigorously. However, if any claims were commenced, we would anticipate that such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involve complex questions of law and fact and we may incur significant legal expenses in defending such litigation.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HLIF is a private fund which pursues a similar investment strategy to Home REIT, and which we are in the process of transitioning to a new manager.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2"/>
        </w:rPr>
        <w:t>In February 2024, the UK FCA commenced investigations into the historic performance of certain group entities, in their services to Home REIT and/or HLIF, and whether they breached certain civil or criminal regulatory rules and/or principles. The investigations</w:t>
      </w:r>
      <w:r>
        <w:rPr>
          <w:color w:val="000000"/>
        </w:rPr>
        <w:t xml:space="preserve"> </w:t>
      </w:r>
      <w:r>
        <w:rPr>
          <w:rFonts w:ascii="Times New Roman;sans-serif" w:hAnsi="Times New Roman;sans-serif"/>
          <w:b w:val="false"/>
          <w:color w:val="000000"/>
          <w:sz w:val="24"/>
        </w:rPr>
        <w:t xml:space="preserve">relate to the historic management of Home REIT and/or HLIF by certain legacy Alvarium entities. The investigations </w:t>
      </w:r>
      <w:r>
        <w:rPr>
          <w:rFonts w:ascii="Times New Roman;sans-serif" w:hAnsi="Times New Roman;sans-serif"/>
          <w:b w:val="false"/>
          <w:color w:val="000000"/>
          <w:sz w:val="22"/>
        </w:rPr>
        <w:t>are focused primarily on whether any false or misleading statements were made in relation to Home REIT and/or HLIF and/or whether these group entities breached other FCA rules and/or principles. We no longer provide services to Home REIT and are in the process of transitioning the management of HLIF. Once this is completed, the legacy Alvarium companies that provided these services will cease operating.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to the Company.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(20)Equity</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A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31, 2024 and December 31, 2023, there were 71,064,411 and 65,110,875, respectively, shares of Class A Common Stock outstanding. Of those shares, 754,968 are subject to performance targets under the terms of the Business Combination Earn-out as of both March 31, 2024 and December 31, 2023. The holders of the Class A Common Stock represent the controlling interest of the Company.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Class B Common Stock</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March 31, 2024 and December 31, 2023, there were 48,265,195 and 53,219,713, respectively, shares of Class B Common Stock outstanding.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Series C Preferred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Constellation Transaction, the Company issued 115,000 shares of Series C Preferred Stock to Constellation. The Series C Preferred Stock is classified outside of permanent equity as mezzanine equity in the accompanying Consolidated Statement of Financial Position as they are not mandatorily redeemable as of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xbxContent>
                </v:textbox>
                <w10:wrap type="none"/>
              </v:rect>
            </w:pict>
          </mc:Fallback>
        </mc:AlternateContent>
      </w:r>
    </w:p>
    <w:p>
      <w:pPr>
        <w:pStyle w:val="TextBody"/>
        <w:bidi w:val="0"/>
        <w:spacing w:lineRule="auto" w:line="268" w:before="120" w:after="283"/>
        <w:jc w:val="center"/>
        <w:rPr>
          <w:rFonts w:ascii="Times New Roman;sans-serif" w:hAnsi="Times New Roman;sans-serif"/>
          <w:b/>
          <w:color w:val="000000"/>
          <w:sz w:val="22"/>
        </w:rPr>
      </w:pPr>
      <w:r>
        <w:rPr>
          <w:rFonts w:ascii="Times New Roman;sans-serif" w:hAnsi="Times New Roman;sans-serif"/>
          <w:b/>
          <w:color w:val="000000"/>
          <w:sz w:val="22"/>
        </w:rPr>
        <w:t>AlTi Global, Inc.</w:t>
      </w:r>
    </w:p>
    <w:p>
      <w:pPr>
        <w:pStyle w:val="TextBody"/>
        <w:bidi w:val="0"/>
        <w:spacing w:lineRule="auto" w:line="256" w:before="0" w:after="0"/>
        <w:jc w:val="center"/>
        <w:rPr>
          <w:rFonts w:ascii="Times New Roman;sans-serif" w:hAnsi="Times New Roman;sans-serif"/>
          <w:b/>
          <w:color w:val="000000"/>
          <w:sz w:val="24"/>
        </w:rPr>
      </w:pPr>
      <w:r>
        <w:rPr>
          <w:rFonts w:ascii="Times New Roman;sans-serif" w:hAnsi="Times New Roman;sans-serif"/>
          <w:b/>
          <w:color w:val="000000"/>
          <w:sz w:val="24"/>
        </w:rPr>
        <w:t>Notes to Condensed Consolidated Financial Statements (Unaudited)</w:t>
      </w:r>
    </w:p>
    <w:p>
      <w:pPr>
        <w:pStyle w:val="TextBody"/>
        <w:bidi w:val="0"/>
        <w:spacing w:before="0" w:after="0"/>
        <w:jc w:val="center"/>
        <w:rPr/>
      </w:pPr>
      <w:r>
        <w:rPr/>
      </w:r>
    </w:p>
    <w:p>
      <w:pPr>
        <w:pStyle w:val="TextBody"/>
        <w:bidi w:val="0"/>
        <w:spacing w:lineRule="auto" w:line="288" w:before="360" w:after="283"/>
        <w:ind w:left="0" w:right="0" w:hanging="540"/>
        <w:jc w:val="both"/>
        <w:rPr>
          <w:rFonts w:ascii="Times New Roman;sans-serif" w:hAnsi="Times New Roman;sans-serif"/>
          <w:b/>
          <w:color w:val="000000"/>
          <w:sz w:val="22"/>
        </w:rPr>
      </w:pPr>
      <w:r>
        <w:rPr>
          <w:rFonts w:ascii="Times New Roman;sans-serif" w:hAnsi="Times New Roman;sans-serif"/>
          <w:b/>
          <w:color w:val="000000"/>
          <w:sz w:val="22"/>
        </w:rPr>
        <w:t>(21)Subsequent Events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evaluated events and transactions through the date of issuance of these financial statements. Based on management’s evaluation there are no events subsequent to March 31, 2024 that require adjustment to or disclosure in the consolidated financial statements, except as noted 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East End Advisors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1, 2024, the Company entered into a membership interest purchase agreement to acquire 100% of the interest in East End Advisors, LLC from EEA Holding Company, LLC. The initial purchase price was $76.4 million. EEA Holding Company, LLC is entitled to future payments over the next five years based on future earnings of East End Advisors, LLC. The Company is in the process of assessing its accounting for the transaction.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Pointwise Acquisition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9, 2024, the Company closed its acquisition of the remaining 50% of the issued share capital of Pointwise Partners Limited (“Pointwise”). The Company previously owned 50% of the shares in Pointwise and equity method accounted for it as a joint venture. An estimated purchase price of $7.0 million was calculated prior to the closing date. 50% of the purchase price will be payable in cash in two installments with the remaining 50% being payable in the Company’s shares.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FOS Disposal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6, 2023, the Company entered into an agreement to sell FOS, which is part of the Company’s Wealth Management segment, for a total consideration, net of selling costs, of approximately $18.8 million. The total consideration will be paid in two installments the first of which amount to $20.1 million and was received on May 8, 2024 and a second payment, that is estimated to be $0.1 million within 10 days of the agreement of the completion accounts. The Company is expecting to incur costs of $1.4 million in relation to this transaction, of which $0.5 million has been paid to date.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Envoi Acquisition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8, 2024, the Company entered into a purchase agreement to acquire substantially all the assets of Envoi, LLC (“Envoi”). The initial purchase price will be approximately $25.2 million, and the transaction is expected to close on July 1, 2024. Certain Envoi members are entitled to additional installment amounts over the next four years, calculated in accordance with revenue-based formulas.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lineRule="auto" w:line="288" w:before="200" w:after="283"/>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 FINANCIAL CONDITION AND RESULTS OF OPERATIONS OF ALTI GLOBAL, INC.</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unaudited financial statements and the related notes included in this Quarterly Report.</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Amounts and percentages presented throughout our discussion and analysis of financial condition and results of operations may reflect rounded results in thousands (unless otherwise indicated) and consequently, totals may not appear to sum.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Our Business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are a multi-disciplinary financial services business, with a diverse array of investment, advisory, and administrative capabilities with which we serve our clients and investors around the globe; and provide value to our shareholders. Our business is organized into two business segments: Wealth Management and Strategic Alternatives (formerly known as Asset Management):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we manage or advise approximately $71.0 billion in combined assets as of March 31, 2024;</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2"/>
        </w:rPr>
        <w:t>in our Wealth Management segment, 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2"/>
        </w:rPr>
        <w:t xml:space="preserve">in our Strategic Alternatives segment, we assist our investors with alternative investments and co-investments by providing access to highly differentiated opportunities in these areas as well as structuring and selecting partners with a proven track record in alternative asset classes, with attractive risk adjusted return characteristics.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global, with approximately 460 professionals operating in 21 cities in 10 countries across three continents as of March 31, 2024. Following the sales of the FOS and LRA businesses, we will have approximately 410 professionals, and the cities and countries in which we operate will be reduced by one, to reflect our exit from Isle of Man. See Note 3 (Business Combinations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services that we provide form a complementary ecosystem for our target markets of clients, investors, and businesses, many of whom share common interests and goals that we are able to connect and serve. The complementary nature of our services and a differentiated suite of capabilities positions us well for organic growth across our business lines. Our strategy includes a focus on inorganic growth through acquisitions and investments in talented managers in exchange for a share of future revenues or profits. We also believe we are well positioned to capitalize on global market trends and dynamics that we see facing our world as well as the industry, clients, investors, and businesses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Fee Structure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Consistent with offering a diverse range of services, we generate a diverse range of revenue streams across our business lines. A high-level summary of these revenue streams is set forth below.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Broadly, our revenues fall into four categories: recurring management, advisory, or administration fees; performance or incentive fees; distribution from investments and other income or fees: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2"/>
        </w:rPr>
        <w:t xml:space="preserve">Management, advisory, and administration fees are historically more predictable across market conditions than our other revenue sources. These fees are recurring in nature (usually being annual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quarterly fees) and are earned from both our wealth management division from investment management, investment advisory, trusts and administration, and family office services, and also from our fund management activities associated with our internally managed funds. Added to the recurring nature of these fees, our high client retention rate in our wealth management services, and the long-term nature of our fund management fees, means that these fees are also relatively stable.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2"/>
        </w:rPr>
        <w:t xml:space="preserve">Incentive or performance fees are comprised of both carried interest payments we earn on co-investments and annual performance or incentive fees earned in some cases from our investment management and advisory or fund management services associated with our internally managed funds. These fees, being performance related, are variable in nature and more susceptible to impact from exogenous factors. As a result, performance and incentive fees provide potential upside to our revenues in the future and, in our view, can be highly accretive to our profitability. </w:t>
      </w:r>
    </w:p>
    <w:p>
      <w:pPr>
        <w:pStyle w:val="TextBody"/>
        <w:bidi w:val="0"/>
        <w:spacing w:lineRule="auto" w:line="276" w:before="180" w:after="283"/>
        <w:ind w:left="0" w:right="0" w:hanging="360"/>
        <w:jc w:val="both"/>
        <w:rPr/>
      </w:pPr>
      <w:r>
        <w:rPr>
          <w:color w:val="000000"/>
        </w:rPr>
        <w:t>•</w:t>
      </w:r>
      <w:r>
        <w:rPr>
          <w:rFonts w:ascii="Times New Roman;sans-serif" w:hAnsi="Times New Roman;sans-serif"/>
          <w:b w:val="false"/>
          <w:color w:val="000000"/>
          <w:sz w:val="22"/>
        </w:rPr>
        <w:t>Distributions from investments are generated from the equity interests we have in the three external managers pursuant to which we are entitled to distributions based on the terms of the respective arrangements. Distributions from each investment will be recorded upon receipt of the distribution. We receive distributions from its External Strategic Managers through our profit or revenue sharing arrangements that are generated through their management and incentive fees based on performance of the underlying investments. The management component of the distributions is recurring in nature, while the incentive portion is more susceptible to impact from exogenous factors.</w:t>
      </w:r>
    </w:p>
    <w:p>
      <w:pPr>
        <w:pStyle w:val="TextBody"/>
        <w:bidi w:val="0"/>
        <w:spacing w:lineRule="auto" w:line="276" w:before="180" w:after="283"/>
        <w:ind w:left="0" w:right="0" w:hanging="360"/>
        <w:jc w:val="both"/>
        <w:rPr/>
      </w:pPr>
      <w:r>
        <w:rPr>
          <w:color w:val="000000"/>
        </w:rPr>
        <w:t>•</w:t>
      </w:r>
      <w:r>
        <w:rPr>
          <w:rFonts w:ascii="Times New Roman;sans-serif" w:hAnsi="Times New Roman;sans-serif"/>
          <w:b w:val="false"/>
          <w:color w:val="000000"/>
          <w:sz w:val="22"/>
        </w:rPr>
        <w:t xml:space="preserve">Other income or fees include transaction fees from our strategic advisory, corporate advisory, brokerage, and placement agency services. Transaction fees are generally non-recurring in nature, are typically commission based, and are payable on the successful completion of a transaction. Transactions are also susceptible to impact from exogenous factors. However, as is the case with performance and incentive fees, transaction fees provide potential upside to our revenues and, in our view, can be highly accretive to our profitability. </w:t>
      </w:r>
    </w:p>
    <w:p>
      <w:pPr>
        <w:pStyle w:val="TextBody"/>
        <w:bidi w:val="0"/>
        <w:spacing w:lineRule="auto" w:line="288" w:before="18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Wealth Management Fees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 management or advisory fees are the primary source of revenue in our Wealth Management segment. These fees are generally calculated on the basis of a percentage of the value of each client’s assets (AUM or AUA) and are charged using either an average daily balance or ending balance, quarterly in arrears.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fees vary depending upon the level and complexity of client assets and the services being provided. The fee typically covers the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Some clients in certain jurisdictions may also pay performance fees if their portfolio achieves returns in excess of an agreed benchmark or hurdle rate. Typically, such fees are paid annually upon crystallization and are not accrued prior to being earned. </w:t>
      </w:r>
    </w:p>
    <w:p>
      <w:pPr>
        <w:pStyle w:val="TextBody"/>
        <w:bidi w:val="0"/>
        <w:spacing w:lineRule="auto" w:line="288" w:before="180" w:after="283"/>
        <w:jc w:val="both"/>
        <w:rPr/>
      </w:pPr>
      <w:r>
        <w:rPr>
          <w:rFonts w:ascii="Times New Roman;sans-serif" w:hAnsi="Times New Roman;sans-serif"/>
          <w:b/>
          <w:i/>
          <w:color w:val="000000"/>
          <w:sz w:val="22"/>
        </w:rPr>
        <w:t>Strategic Alternatives</w:t>
      </w:r>
      <w:r>
        <w:rPr>
          <w:color w:val="000000"/>
        </w:rPr>
        <w:t xml:space="preserve"> </w:t>
      </w:r>
      <w:r>
        <w:rPr>
          <w:rFonts w:ascii="Times New Roman;sans-serif" w:hAnsi="Times New Roman;sans-serif"/>
          <w:b w:val="false"/>
          <w:color w:val="000000"/>
          <w:sz w:val="22"/>
        </w:rPr>
        <w:t>F</w:t>
      </w:r>
      <w:r>
        <w:rPr>
          <w:rFonts w:ascii="Times New Roman;sans-serif" w:hAnsi="Times New Roman;sans-serif"/>
          <w:b/>
          <w:i/>
          <w:color w:val="000000"/>
          <w:sz w:val="22"/>
        </w:rPr>
        <w:t>ees</w:t>
      </w:r>
    </w:p>
    <w:p>
      <w:pPr>
        <w:pStyle w:val="TextBody"/>
        <w:bidi w:val="0"/>
        <w:spacing w:lineRule="auto" w:line="256"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Fund Management Fees</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earn management fees in our Strategic Alternatives segment through our alternatives platform (compensation for internal fund management and advisory services), private real estate fund management and private real estate recurring fees. The management fees for the alternatives platform are approximately 0.75% to 1.5% of the net asset value of the funds’ underlying investments.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TIG Arbitrage is entitled to receive incentive fees if certain performance returns have been achieved as stipulated in our governing documents. The incentive fees for TIG Arbitrage are calculated using 15% to 20% of the net profit/income. We recognize our incentive fees when it is no longer probable that a significant reversal of revenue will occur. Our incentive fees are not subject to clawback provisions.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Distributions from Investments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 are earned through our profit or revenue sharing arrangements with the External Strategic Managers. Our economic interests in the External Strategic Managers are as follows:</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Real Estate Bridge Lending Strategy—20.92% profit share;</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European Equities—25% revenue share; and</w:t>
      </w:r>
    </w:p>
    <w:p>
      <w:pPr>
        <w:pStyle w:val="TextBody"/>
        <w:bidi w:val="0"/>
        <w:spacing w:lineRule="auto" w:line="268" w:before="120" w:after="283"/>
        <w:ind w:left="0" w:right="0" w:hanging="360"/>
        <w:jc w:val="both"/>
        <w:rPr/>
      </w:pPr>
      <w:r>
        <w:rPr>
          <w:color w:val="000000"/>
        </w:rPr>
        <w:t>•</w:t>
      </w:r>
      <w:r>
        <w:rPr>
          <w:rFonts w:ascii="Times New Roman;sans-serif" w:hAnsi="Times New Roman;sans-serif"/>
          <w:b w:val="false"/>
          <w:color w:val="000000"/>
          <w:sz w:val="22"/>
        </w:rPr>
        <w:t>Asian Credit and Special Situations—12% revenue share</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distributions from investments from European equities and Asian credit and special situations are comprised of a management fee component and, depending on performance, an incentive fee component. Depending on the fund, the incentive fee component can range from 15% to 35% of the net profit/income, in excess of a 10% return hurdle. </w:t>
      </w:r>
    </w:p>
    <w:p>
      <w:pPr>
        <w:pStyle w:val="TextBody"/>
        <w:bidi w:val="0"/>
        <w:spacing w:lineRule="auto" w:line="268"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Co-investment</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sponsor of private market direct and co-investment transactions, we generate income from debt and equity structures relating to specified real estate investments or investments in other alternative asset classes. Private market fees include arrangement, retainer, management, advisory, performance, acquisition, promote and other associated fees as well as interest arbitrage for debt structures.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typically medium to long-term (three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may be entitled to a portion of the performance-related entitlements (such as carried interest or promote) that may be payable on exit from Co-investment transactions. Such revenues are only received if the investor hurdle (i.e. a minimum return to the investor) is reached and may include a catch-up. Carried interest entitlements are based on a percentage of the investor return above such hurdle and are set on a deal and fund basis. Typically, carried interest entitlements represent 10% to 20% of the investors’ equity internal rate of return in excess of an 8% to 15% hurdle, with no carried interest entitlement being payable if the hurdle is not met. In relation to our co-investments, a group company will typically have entered into an advisory or management agreement, or other arrangement, that entitles us to receive a share of base management fees (whether directly or through a joint venture entity) from the inception of the relevant investment or joint venture, through to exit and the liquidation of the relevant transaction vehicle, or as otherwise set out in an approved business plan. Where we have established feeder vehicles for clients, there may also be administration and advisory fees associated with those vehicles (these are earned by our trusts and administration business).</w:t>
      </w:r>
    </w:p>
    <w:p>
      <w:pPr>
        <w:pStyle w:val="TextBody"/>
        <w:bidi w:val="0"/>
        <w:spacing w:lineRule="auto" w:line="268" w:before="18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Real Estate Fund</w:t>
      </w:r>
    </w:p>
    <w:p>
      <w:pPr>
        <w:pStyle w:val="TextBody"/>
        <w:bidi w:val="0"/>
        <w:spacing w:lineRule="auto" w:line="26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generate income from managing and advising a private real estate investment fund. Our fees from managing and advising this vehicle are contained in management and advisory contracts relating to the relevant fund and are typically calculated on a sliding scale of percentages of the asset value, market capitalization or the investor capital of the relevant fund as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Market Trends and Business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is directly and indirectly affected by conditions in the financial markets and economic conditions, particularly in the U.S. and to a lesser extent in Europe, and Asia. Our business is also sensitive to current and expected interest rates, as well as the currency markets.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After significant market gains in 2023, Q1 2024 continued the pattern of strong equity market performance. The S&amp;P 500 and the MSCI All Country World Index increased by 10.6% and 8.3% total return, respectively, over the quarter, after rising by 26.3% and 22.8% total return, respectively, for the year 2023. Government fixed income markets in Q1, however, came under modest pressure as yields rose and bond prices fell. The Bloomberg U.S. Aggregate Bond Index declined by 0.8% in Q1 2024, while the Barclays Global Aggregate Index rose a modest 0.1% over the same time frame. While Government bond prices had a more volatile start to the year, it is noteworthy that credit conditions in the US continued to improve with credit spreads — the extra yield over Treasuries that corporate bonds must pay to compensate for extra risk — continued to narrow, resulting in the US High Yield index (iShares IBoxx $HY) index rising by 1.5% over the quarter.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catalysts for recent market stock market strength have been a combination of factors, including: the US economy continuing to show solid economic growth, which bodes well for earnings growth as the year progresses. The US stock market also benefits from the trend of generative AI, as close to 30% of its shares are represented by leading technology companies, that are both investing in and likely to continue to benefit from monetization of this innovation over time. There are also signs that other parts of the global economy are recovering, with economic growth improving in China, with Q1 GDP up 5.3% annualized on the quarter. The euro zone economy also grew by more than expected in the first quarter of 2024, buoyed by a return to growth for Germany and strong expansion in Spain. Gross domestic product increased by 0.3% quarter-on-quarter for a 0.5% year-on-year rise, compared with market expectations that both would expand by 0.2%.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Stock market gains in Q1 have come even though inflation prints in the US have generally come in above expectations, leading investors to moderate expectations for when the Fed Reserve will be able to reduce short end US interest rates this year. These higher inflation prints, and the expected large size of the US fiscal deficit help explain why US government bond yields have risen this year. In contrast, better disinflationary data in Europe and to some extent the UK have helped the Central Bank of these economies signal that rates will likely be reduced, by mid-year. The divergent outlook for easing in policy interest rates has had an impact on currencies with the US Dollar Index up 3.1% to the end of Q1. This has partially impacted the returns from our international portfolios, translated back into US dollars as the Euro and Sterling have declined by 2.3% and 0.9%, respectively versus the US dollar in the first quarter.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fee-based revenue streams are driven by the value of clients’ portfolio holdings, in the case of our Wealth Management segment or the performance of our varied funds and direct investments in our Strategic Alternatives segment. The overall level of revenues in these businesses, however, does not correlate completely with changes in global equity and fixed income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our Wealth Management segment, while our client portfolios are well diversified across a range of asset classes and thus are not solely impacted by changes in equities or government bonds, they benefited in the year from the strong performance in the equity and fixed income markets. Client portfolios also include holdings such as gold, credit and hedge funds that also delivered positive returns in the year. Portfolio fluctuations also depend on multiple additional factors that include, but are not limited to, the level and duration of fixed income holdings with short-term money market funds showing limited volatility over the quarter, the level of alternative and private market holdings and the geographic and industry mix of client’s equity assets. We also note that our UHNW client base generally does not need to draw down from their portfolios to support day-to-day living needs and, accordingly, is able to approach portfolio investing with a long-term time horizon. Hence, in terms of behavior, they are less sensitive to short-term changes in market conditions.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our Strategic Alternatives segment, the majority of our fees are derived from alternative funds which are structured to have low correlation to equity and fixed income markets and in some cases benefit in times of market stress. In particular, our European long-short equity and Asian Credit manager continue to perform well in the first quarter. With respect to incentive fees earned by our event-driven strategy, US GAAP only permits recognition of such fees when they are fully crystallized, which typically occurs in the fourth quarter of each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Still high interest rates continue to have an impact on our public and private real estate assets. The higher cost of capital environment, ongoing increases in costs of construction and generally stagnating real estate prices are negatively impacting some of the real estate segments in which we operate. These declines impact the level of management fees that we earn. In addition, following completion of the sale of LXi REIT Advisors during the first quarter, the level of management fees we earn from public real estate will decline in future periods. On the private real estate side, the more difficult market and interest rate conditions may reduce the ultimate return expected from some of these investments. It is important to note that these assets are utilized in conjunction with longer-term investment strategies and are not subject to daily market pricing. Given the uncertainty in outlook, and the potential for diminution in value at realization, we modified our billing methodology for certain of our private real estate holdings, which will result in lower fees earned, until monetization.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currently do not hedge corporate currency risk associated with client portfolio and investor holdings across global markets. Hence, as we report our revenues in U.S. dollars, the translation impact from changes in the value of currencies outside the U.S. dollar can impact our results in any given financial reporting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believe that the combination of our Wealth Management and Strategic Alternatives segments differentiates us from pure-play firms in both sectors and provides a growing base of recurring and diversified revenues. Since the Business Combination, total AUM/AUA increased approximately 9%, and within our Wealth Management segment, these have grown 26% since the Business Combination.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first quarter of 2024, we generated revenues of $50.8 million. We believe these results, generated through a combination of strong market performance and organic client wins, are starting to reflect the power of our franchise, which we believe will continue to flow to an improved bottom line as we look forward to the remainder of 2024. Adjusted earnings before interest, taxes, depreciation, and amortization (“EBITDA”) was $6.8 million for the period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continued to right-size the organization, simplify our business lines, and initiate processes to reduce the number of our regulated entities, while securing important client wins and adding key revenue-generating talent. Since the beginning of the year, we have reported AUM/AUA growth amidst a volatile market environment.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core businesses continue to perform well. Based on the new initiatives undertaken this year and those that we embarked on during 2023, we expect operating expenses to continue to trend downward in 2024. As these cost savings and other growth initiatives take hold next year, we would expect to see the impact of operating leverage drive improvements and greater consistency in our US GAAP results and Adjusted EBITDA. In addition, we believe that we will be able to deploy the capital raised from the investments from Allianz and Constellation to make accretive investments that will benefit our GAAP results and Adjusted EBITDA in 2024,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Managing Business Performance and Key Financial Measures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Non-US GAAP Financial Measures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use Adjusted Net Income and Adjusted EBITDA as non-US GAAP financial measures. Adjusted EBITDA is derived from and reconciled to, but not equivalent to, its most directly comparable US GAAP measure of net income (loss). Adjusted Net Income represents net income (loss) before taxes plus (a) equity-settled share-based payments, (b) transaction-related costs, including professional fees, (c) impairment of equity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 (d) depreciation and amortization expense.</w:t>
      </w:r>
    </w:p>
    <w:p>
      <w:pPr>
        <w:pStyle w:val="TextBody"/>
        <w:bidi w:val="0"/>
        <w:spacing w:lineRule="auto" w:line="288" w:before="200" w:after="283"/>
        <w:jc w:val="both"/>
        <w:rPr/>
      </w:pPr>
      <w:r>
        <w:rPr>
          <w:rFonts w:ascii="Times New Roman;sans-serif" w:hAnsi="Times New Roman;sans-serif"/>
          <w:b w:val="false"/>
          <w:color w:val="000000"/>
          <w:sz w:val="22"/>
        </w:rPr>
        <w:t>We use Adjusted Net Income and Adjusted EBITDA as</w:t>
      </w:r>
      <w:r>
        <w:rPr>
          <w:color w:val="000000"/>
          <w:shd w:fill="FFFFFF" w:val="clear"/>
        </w:rPr>
        <w:t xml:space="preserve"> </w:t>
      </w:r>
      <w:r>
        <w:rPr>
          <w:rFonts w:ascii="Times New Roman;sans-serif" w:hAnsi="Times New Roman;sans-serif"/>
          <w:b w:val="false"/>
          <w:color w:val="000000"/>
          <w:sz w:val="22"/>
          <w:shd w:fill="FFFFFF" w:val="clear"/>
        </w:rPr>
        <w:t>non-US GAAP measures to track our performance and assess our ability to service our borrowings. These non-US GAAP</w:t>
      </w:r>
      <w:r>
        <w:rPr>
          <w:color w:val="000000"/>
        </w:rPr>
        <w:t xml:space="preserve"> </w:t>
      </w:r>
      <w:r>
        <w:rPr>
          <w:rFonts w:ascii="Times New Roman;sans-serif" w:hAnsi="Times New Roman;sans-serif"/>
          <w:b w:val="false"/>
          <w:color w:val="000000"/>
          <w:sz w:val="22"/>
        </w:rPr>
        <w:t>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non-US GAAP measures, as well as a reconciliation of these measures to the most comparable measure in accordance with US GAAP, see “Reconciliation of Consolidated US GAAP Financial Measures to Certain Non-US GAAP Measures.”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non-US GAAP financial measures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67"/>
        <w:gridCol w:w="1378"/>
        <w:gridCol w:w="1340"/>
        <w:gridCol w:w="283"/>
        <w:gridCol w:w="1038"/>
        <w:gridCol w:w="136"/>
        <w:gridCol w:w="116"/>
        <w:gridCol w:w="116"/>
        <w:gridCol w:w="116"/>
        <w:gridCol w:w="283"/>
        <w:gridCol w:w="1038"/>
        <w:gridCol w:w="136"/>
        <w:gridCol w:w="109"/>
        <w:gridCol w:w="109"/>
        <w:gridCol w:w="109"/>
        <w:gridCol w:w="435"/>
        <w:gridCol w:w="1392"/>
        <w:gridCol w:w="304"/>
      </w:tblGrid>
      <w:tr>
        <w:trPr/>
        <w:tc>
          <w:tcPr>
            <w:tcW w:w="17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Favorable (Unfavorable)</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Thousands)</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 Change</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Revenues</w:t>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Management/Advisory fees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46,224 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46,470 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Incentive fees</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from investments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(5,860)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Other income/fees</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(715)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Total Revenues</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50,812 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58,047 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(7,235)</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income (loss)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21,745 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(90,290)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112,035 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3,261 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1,579 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(4,287)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&amp; Amortization</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2,567 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(1,950)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EBITDA Reported</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29,515 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(77,862)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107,377 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(a)</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6,490 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5,838 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 based compensation - Legacy (b)</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(24,774)</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expenses (c)</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8,843 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17,773 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(8,930)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warrant liability (d)</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12,942 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(12,602)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on investments (e)</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 in fair value of earn-out liability (f)</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(39,454)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(68,660)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streamlining cost (g)</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1,477 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Impairment (non-cash) (h)</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Losses on EMI/Carried Interest (non-cash) (i)</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EMI Adjustments (Interest, Depreciation, Taxes &amp; Amortization) (j)</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1,039 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Adjusted EBITDA</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6,818 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10,835 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(4,017)</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awards of Class A Common stock (approved post-transaction).</w:t>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awards of Class A Common stock (approved pre-transaction).</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and subsequent business combinations/divestitures, including professional fees.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to Investments held at fair value and and the TRA liability.</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(h)Represents impairment of carried interest/equity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(i)Represents the amortization of the step-up in 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(j)Represents reported interest, depreciation, amortization, and tax adjustments of the Company's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Operating Metrics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monitor certain operating metrics that are common to the wealth and asset management industry, which are discussed below.</w:t>
      </w:r>
    </w:p>
    <w:tbl>
      <w:tblPr>
        <w:tblW w:w="4445" w:type="dxa"/>
        <w:jc w:val="left"/>
        <w:tblInd w:w="0" w:type="dxa"/>
        <w:tblLayout w:type="fixed"/>
        <w:tblCellMar>
          <w:top w:w="28" w:type="dxa"/>
          <w:left w:w="28" w:type="dxa"/>
          <w:bottom w:w="28" w:type="dxa"/>
          <w:right w:w="28" w:type="dxa"/>
        </w:tblCellMar>
      </w:tblPr>
      <w:tblGrid>
        <w:gridCol w:w="685"/>
        <w:gridCol w:w="602"/>
        <w:gridCol w:w="603"/>
        <w:gridCol w:w="187"/>
        <w:gridCol w:w="187"/>
        <w:gridCol w:w="187"/>
        <w:gridCol w:w="583"/>
        <w:gridCol w:w="583"/>
        <w:gridCol w:w="828"/>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4445" w:type="dxa"/>
            <w:gridSpan w:val="9"/>
            <w:tcBorders>
              <w:top w:val="single" w:sz="8" w:space="0" w:color="000000"/>
              <w:left w:val="single" w:sz="8" w:space="0" w:color="000000"/>
              <w:right w:val="single" w:sz="8" w:space="0" w:color="000000"/>
            </w:tcBorders>
            <w:shd w:fill="2F5496"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AlTi Global, Inc.</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$38.0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$71.0 billion</w:t>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left w:val="single" w:sz="8" w:space="0" w:color="000000"/>
              <w:bottom w:val="single" w:sz="8" w:space="0" w:color="000000"/>
            </w:tcBorders>
            <w:shd w:fill="7B7B7B"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Wealth Management</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$35.4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$53.5 billion</w:t>
            </w:r>
          </w:p>
        </w:tc>
        <w:tc>
          <w:tcPr>
            <w:tcW w:w="56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left w:val="single" w:sz="8" w:space="0" w:color="000000"/>
              <w:bottom w:val="single" w:sz="8" w:space="0" w:color="000000"/>
              <w:right w:val="single" w:sz="8" w:space="0" w:color="000000"/>
            </w:tcBorders>
            <w:shd w:fill="538135"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Strategic Alternatives</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AUM: $2.6 billion</w:t>
            </w:r>
          </w:p>
          <w:p>
            <w:pPr>
              <w:pStyle w:val="TableContents"/>
              <w:bidi w:val="0"/>
              <w:spacing w:lineRule="auto" w:line="288" w:before="0" w:after="0"/>
              <w:jc w:val="center"/>
              <w:rPr>
                <w:rFonts w:ascii="Times New Roman;sans-serif" w:hAnsi="Times New Roman;sans-serif"/>
                <w:b/>
                <w:color w:val="FFFFFF"/>
                <w:sz w:val="20"/>
              </w:rPr>
            </w:pPr>
            <w:r>
              <w:rPr>
                <w:rFonts w:ascii="Times New Roman;sans-serif" w:hAnsi="Times New Roman;sans-serif"/>
                <w:b/>
                <w:color w:val="FFFFFF"/>
                <w:sz w:val="20"/>
              </w:rPr>
              <w:t>AUA: $17.5 billion</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Wealth Management - AUM</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 for our Wealth Management segment for the periods indicated:</w:t>
      </w:r>
    </w:p>
    <w:p>
      <w:pPr>
        <w:pStyle w:val="TextBody"/>
        <w:bidi w:val="0"/>
        <w:spacing w:before="0" w:after="0"/>
        <w:jc w:val="both"/>
        <w:rPr/>
      </w:pPr>
      <w:r>
        <w:rPr/>
      </w:r>
    </w:p>
    <w:tbl>
      <w:tblPr>
        <w:tblW w:w="9587" w:type="dxa"/>
        <w:jc w:val="left"/>
        <w:tblInd w:w="0" w:type="dxa"/>
        <w:tblLayout w:type="fixed"/>
        <w:tblCellMar>
          <w:top w:w="28" w:type="dxa"/>
          <w:left w:w="28" w:type="dxa"/>
          <w:bottom w:w="28" w:type="dxa"/>
          <w:right w:w="28" w:type="dxa"/>
        </w:tblCellMar>
      </w:tblPr>
      <w:tblGrid>
        <w:gridCol w:w="1669"/>
        <w:gridCol w:w="1468"/>
        <w:gridCol w:w="1483"/>
        <w:gridCol w:w="109"/>
        <w:gridCol w:w="109"/>
        <w:gridCol w:w="232"/>
        <w:gridCol w:w="232"/>
        <w:gridCol w:w="481"/>
        <w:gridCol w:w="1761"/>
        <w:gridCol w:w="232"/>
        <w:gridCol w:w="109"/>
        <w:gridCol w:w="109"/>
        <w:gridCol w:w="109"/>
        <w:gridCol w:w="278"/>
        <w:gridCol w:w="1017"/>
        <w:gridCol w:w="189"/>
      </w:tblGrid>
      <w:tr>
        <w:trPr/>
        <w:tc>
          <w:tcPr>
            <w:tcW w:w="166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shd w:fill="FFCA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34,525 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27,961 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Clients,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Cash Flow,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Market Performance,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Assets subject to change in billing methodology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35,458 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30,408 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34,992 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29,185 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Wealth Management - AUA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AUA includes all assets we manage as defined above, oversee, and report on. We view AUA as a core metric to measure our investment and fundraising performance as it includes non-financial assets (e.g., real estate)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pStyle w:val="TextBody"/>
        <w:bidi w:val="0"/>
        <w:spacing w:lineRule="auto" w:line="247"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AUA for our Wealth Management segment for the periods indicated:</w:t>
      </w:r>
    </w:p>
    <w:p>
      <w:pPr>
        <w:pStyle w:val="TextBody"/>
        <w:bidi w:val="0"/>
        <w:spacing w:before="0" w:after="0"/>
        <w:jc w:val="both"/>
        <w:rPr/>
      </w:pPr>
      <w:r>
        <w:rPr/>
      </w:r>
    </w:p>
    <w:tbl>
      <w:tblPr>
        <w:tblW w:w="7232" w:type="dxa"/>
        <w:jc w:val="left"/>
        <w:tblInd w:w="0" w:type="dxa"/>
        <w:tblLayout w:type="fixed"/>
        <w:tblCellMar>
          <w:top w:w="28" w:type="dxa"/>
          <w:left w:w="28" w:type="dxa"/>
          <w:bottom w:w="28" w:type="dxa"/>
          <w:right w:w="28" w:type="dxa"/>
        </w:tblCellMar>
      </w:tblPr>
      <w:tblGrid>
        <w:gridCol w:w="738"/>
        <w:gridCol w:w="650"/>
        <w:gridCol w:w="652"/>
        <w:gridCol w:w="109"/>
        <w:gridCol w:w="109"/>
        <w:gridCol w:w="232"/>
        <w:gridCol w:w="232"/>
        <w:gridCol w:w="481"/>
        <w:gridCol w:w="1761"/>
        <w:gridCol w:w="232"/>
        <w:gridCol w:w="109"/>
        <w:gridCol w:w="109"/>
        <w:gridCol w:w="109"/>
        <w:gridCol w:w="320"/>
        <w:gridCol w:w="1171"/>
        <w:gridCol w:w="21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2"/>
              </w:rPr>
            </w:pPr>
            <w:r>
              <w:rPr>
                <w:rFonts w:ascii="Times New Roman;sans-serif" w:hAnsi="Times New Roman;sans-serif"/>
                <w:b/>
                <w:i/>
                <w:color w:val="000000"/>
                <w:sz w:val="22"/>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2036" w:type="dxa"/>
            <w:gridSpan w:val="6"/>
            <w:tcBorders/>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March 31,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51,036 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42,541 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2,464 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53,500 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45,623 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52,268 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44,082 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color w:val="000000"/>
          <w:sz w:val="22"/>
        </w:rPr>
      </w:pPr>
      <w:r>
        <w:rPr>
          <w:rFonts w:ascii="Times New Roman;sans-serif" w:hAnsi="Times New Roman;sans-serif"/>
          <w:b/>
          <w:color w:val="000000"/>
          <w:sz w:val="22"/>
        </w:rPr>
        <w:t>Strategic Alternatives - AUM/AUA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Company’s Strategic Alternatives AUM/AUA includes the following:</w:t>
      </w:r>
    </w:p>
    <w:p>
      <w:pPr>
        <w:pStyle w:val="TextBody"/>
        <w:bidi w:val="0"/>
        <w:spacing w:lineRule="auto" w:line="288" w:before="200" w:after="283"/>
        <w:ind w:left="0" w:right="0" w:hanging="360"/>
        <w:jc w:val="both"/>
        <w:rPr/>
      </w:pPr>
      <w:r>
        <w:rPr>
          <w:color w:val="231F20"/>
        </w:rPr>
        <w:t>•</w:t>
      </w:r>
      <w:r>
        <w:rPr>
          <w:rFonts w:ascii="Times New Roman;sans-serif" w:hAnsi="Times New Roman;sans-serif"/>
          <w:b w:val="false"/>
          <w:color w:val="000000"/>
          <w:sz w:val="22"/>
        </w:rPr>
        <w:t xml:space="preserve">assets managed by the Alternatives platform, including by TIG Arbitrage $2.3 billion and $2.4 billion, respectively, and the External Strategic Managers (AUA $5.2 billion and $5.3 billion as of March 31, 2024 and December 31, 2023, respectively); </w:t>
      </w:r>
    </w:p>
    <w:p>
      <w:pPr>
        <w:pStyle w:val="TextBody"/>
        <w:bidi w:val="0"/>
        <w:spacing w:lineRule="auto" w:line="288" w:before="200" w:after="283"/>
        <w:ind w:left="0" w:right="0" w:hanging="360"/>
        <w:jc w:val="both"/>
        <w:rPr/>
      </w:pPr>
      <w:r>
        <w:rPr>
          <w:color w:val="231F20"/>
        </w:rPr>
        <w:t>•</w:t>
      </w:r>
      <w:r>
        <w:rPr>
          <w:rFonts w:ascii="Times New Roman;sans-serif" w:hAnsi="Times New Roman;sans-serif"/>
          <w:b w:val="false"/>
          <w:color w:val="000000"/>
          <w:sz w:val="22"/>
        </w:rPr>
        <w:t>Co-investment real estate advisory services, where we include the value of our private market direct and co-investment real estate investments (AUA $9.6 billion and $10.1 billion as of March 31, 2024 and December 31, 2023, respectively); and</w:t>
      </w:r>
    </w:p>
    <w:p>
      <w:pPr>
        <w:pStyle w:val="TextBody"/>
        <w:bidi w:val="0"/>
        <w:spacing w:lineRule="auto" w:line="288" w:before="200" w:after="283"/>
        <w:ind w:left="0" w:right="0" w:hanging="360"/>
        <w:jc w:val="both"/>
        <w:rPr/>
      </w:pPr>
      <w:r>
        <w:rPr>
          <w:color w:val="231F20"/>
        </w:rPr>
        <w:t>•</w:t>
      </w:r>
      <w:r>
        <w:rPr>
          <w:rFonts w:ascii="Times New Roman;sans-serif" w:hAnsi="Times New Roman;sans-serif"/>
          <w:b w:val="false"/>
          <w:color w:val="000000"/>
          <w:sz w:val="22"/>
        </w:rPr>
        <w:t>Assets managed in a private real estate investment fund (AUM $0.3 billion and $2.6 billion as of March 31, 2024 and December 31, 2023, respectively) from which we generate fee revenue. The Company’s reported value of these assets is either the net asset value or the market capitalization of the fund.</w:t>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the change in our total AUM/AUA by strategy and product for our alternatives platform for the periods indicated: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Alternatives Platform</w:t>
      </w:r>
    </w:p>
    <w:tbl>
      <w:tblPr>
        <w:tblW w:w="10205" w:type="dxa"/>
        <w:jc w:val="left"/>
        <w:tblInd w:w="0" w:type="dxa"/>
        <w:tblLayout w:type="fixed"/>
        <w:tblCellMar>
          <w:top w:w="28" w:type="dxa"/>
          <w:left w:w="28" w:type="dxa"/>
          <w:bottom w:w="28" w:type="dxa"/>
          <w:right w:w="28" w:type="dxa"/>
        </w:tblCellMar>
      </w:tblPr>
      <w:tblGrid>
        <w:gridCol w:w="504"/>
        <w:gridCol w:w="443"/>
        <w:gridCol w:w="444"/>
        <w:gridCol w:w="274"/>
        <w:gridCol w:w="779"/>
        <w:gridCol w:w="152"/>
        <w:gridCol w:w="348"/>
        <w:gridCol w:w="615"/>
        <w:gridCol w:w="195"/>
        <w:gridCol w:w="286"/>
        <w:gridCol w:w="595"/>
        <w:gridCol w:w="161"/>
        <w:gridCol w:w="287"/>
        <w:gridCol w:w="618"/>
        <w:gridCol w:w="161"/>
        <w:gridCol w:w="274"/>
        <w:gridCol w:w="609"/>
        <w:gridCol w:w="153"/>
        <w:gridCol w:w="311"/>
        <w:gridCol w:w="550"/>
        <w:gridCol w:w="175"/>
        <w:gridCol w:w="272"/>
        <w:gridCol w:w="772"/>
        <w:gridCol w:w="151"/>
        <w:gridCol w:w="231"/>
        <w:gridCol w:w="656"/>
        <w:gridCol w:w="189"/>
      </w:tblGrid>
      <w:tr>
        <w:trPr/>
        <w:tc>
          <w:tcPr>
            <w:tcW w:w="50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Thousands)</w:t>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January 1, 2024</w:t>
            </w:r>
          </w:p>
        </w:tc>
        <w:tc>
          <w:tcPr>
            <w:tcW w:w="11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Appreciation</w:t>
            </w:r>
          </w:p>
        </w:tc>
        <w:tc>
          <w:tcPr>
            <w:tcW w:w="1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New Investments</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Subscriptions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Redemptions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AUM/AUA at March 31, 2024</w:t>
            </w:r>
          </w:p>
        </w:tc>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AUM/AUA</w:t>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TIG Arbitrage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Real Estate Bridge Lending Strategy</w:t>
            </w:r>
            <w:r>
              <w:rPr>
                <w:color w:val="000000"/>
              </w:rPr>
              <w:t xml:space="preserve"> </w:t>
            </w:r>
            <w:r>
              <w:rPr>
                <w:rFonts w:ascii="Times New Roman;sans-serif" w:hAnsi="Times New Roman;sans-serif"/>
                <w:b/>
                <w:color w:val="000000"/>
                <w:sz w:val="10"/>
              </w:rPr>
              <w:t>(1)</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European Equities</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Asian Credit and Special Situation</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External Strategic Managers Subtotal</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7,571 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pPr>
      <w:r>
        <w:rPr>
          <w:rFonts w:ascii="Times New Roman;sans-serif" w:hAnsi="Times New Roman;sans-serif"/>
          <w:b/>
          <w:color w:val="000000"/>
          <w:sz w:val="12"/>
        </w:rPr>
        <w:t xml:space="preserve">(1) </w:t>
      </w:r>
      <w:r>
        <w:rPr>
          <w:rFonts w:ascii="Times New Roman;sans-serif" w:hAnsi="Times New Roman;sans-serif"/>
          <w:b w:val="false"/>
          <w:color w:val="000000"/>
          <w:sz w:val="18"/>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presents the change in our total AUM/AUA for our Real Estate - Private funds for our Strategic Alternatives segment for the periods indicated: </w:t>
      </w:r>
    </w:p>
    <w:p>
      <w:pPr>
        <w:pStyle w:val="TextBody"/>
        <w:bidi w:val="0"/>
        <w:spacing w:before="0" w:after="0"/>
        <w:jc w:val="left"/>
        <w:rPr/>
      </w:pPr>
      <w:r>
        <w:rPr/>
      </w:r>
    </w:p>
    <w:tbl>
      <w:tblPr>
        <w:tblW w:w="8176" w:type="dxa"/>
        <w:jc w:val="left"/>
        <w:tblInd w:w="0" w:type="dxa"/>
        <w:tblLayout w:type="fixed"/>
        <w:tblCellMar>
          <w:top w:w="28" w:type="dxa"/>
          <w:left w:w="28" w:type="dxa"/>
          <w:bottom w:w="28" w:type="dxa"/>
          <w:right w:w="28" w:type="dxa"/>
        </w:tblCellMar>
      </w:tblPr>
      <w:tblGrid>
        <w:gridCol w:w="1162"/>
        <w:gridCol w:w="1022"/>
        <w:gridCol w:w="1025"/>
        <w:gridCol w:w="109"/>
        <w:gridCol w:w="109"/>
        <w:gridCol w:w="232"/>
        <w:gridCol w:w="232"/>
        <w:gridCol w:w="481"/>
        <w:gridCol w:w="1761"/>
        <w:gridCol w:w="232"/>
        <w:gridCol w:w="109"/>
        <w:gridCol w:w="109"/>
        <w:gridCol w:w="109"/>
        <w:gridCol w:w="278"/>
        <w:gridCol w:w="1017"/>
        <w:gridCol w:w="189"/>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8"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For the 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12,720 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14,130 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(2,747)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AUM/AUA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9,973 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12,822 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Average AUM/AUA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11,347 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13,476 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AUA is reported with a one quarter lag for HLIF as management fees are billed on that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Components of Consolidated Results of Income</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Management/Advisory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Incentive Fees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Distributions from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management and incentive fees based on performance of the underlying investments.</w:t>
      </w:r>
    </w:p>
    <w:p>
      <w:pPr>
        <w:pStyle w:val="TextBody"/>
        <w:bidi w:val="0"/>
        <w:spacing w:lineRule="auto" w:line="288" w:before="200"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Other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lineRule="auto" w:line="288" w:before="200" w:after="283"/>
        <w:jc w:val="both"/>
        <w:rPr/>
      </w:pPr>
      <w:r>
        <w:rPr>
          <w:rFonts w:ascii="Times New Roman;sans-serif" w:hAnsi="Times New Roman;sans-serif"/>
          <w:b w:val="false"/>
          <w:i/>
          <w:color w:val="000000"/>
          <w:sz w:val="22"/>
        </w:rPr>
        <w:t xml:space="preserve">Compensation and Employee Benefits: </w:t>
      </w:r>
      <w:r>
        <w:rPr>
          <w:rFonts w:ascii="Times New Roman;sans-serif" w:hAnsi="Times New Roman;sans-serif"/>
          <w:b w:val="false"/>
          <w:color w:val="000000"/>
          <w:sz w:val="22"/>
        </w:rPr>
        <w:t>Compensation generally includes salaries, bonuses, other performance-based compensation such as commissions, long-term deferral programs, benefits, and payroll taxes. Compensation is accrued over the related service period and long-term deferral program awards are paid out based on the various vesting dates.</w:t>
      </w:r>
    </w:p>
    <w:p>
      <w:pPr>
        <w:pStyle w:val="TextBody"/>
        <w:bidi w:val="0"/>
        <w:spacing w:lineRule="auto" w:line="288" w:before="200" w:after="283"/>
        <w:jc w:val="both"/>
        <w:rPr/>
      </w:pPr>
      <w:r>
        <w:rPr>
          <w:rFonts w:ascii="Times New Roman;sans-serif" w:hAnsi="Times New Roman;sans-serif"/>
          <w:b w:val="false"/>
          <w:i/>
          <w:color w:val="000000"/>
          <w:sz w:val="22"/>
        </w:rPr>
        <w:t xml:space="preserve">General, Administrative and Other Expenses: </w:t>
      </w:r>
      <w:r>
        <w:rPr>
          <w:rFonts w:ascii="Times New Roman;sans-serif" w:hAnsi="Times New Roman;sans-serif"/>
          <w:b w:val="false"/>
          <w:color w:val="000000"/>
          <w:sz w:val="22"/>
        </w:rPr>
        <w:t xml:space="preserve">General, administrative and other expenses include costs primarily related to professional services, occupancy, travel, communication and information services, distribution costs, and other general operating items. </w:t>
      </w:r>
    </w:p>
    <w:p>
      <w:pPr>
        <w:pStyle w:val="TextBody"/>
        <w:bidi w:val="0"/>
        <w:spacing w:lineRule="auto" w:line="288" w:before="200" w:after="283"/>
        <w:jc w:val="both"/>
        <w:rPr/>
      </w:pPr>
      <w:r>
        <w:rPr>
          <w:rFonts w:ascii="Times New Roman;sans-serif" w:hAnsi="Times New Roman;sans-serif"/>
          <w:b w:val="false"/>
          <w:i/>
          <w:color w:val="000000"/>
          <w:sz w:val="22"/>
        </w:rPr>
        <w:t xml:space="preserve">Depreciation and Amortization Expenses: </w:t>
      </w:r>
      <w:r>
        <w:rPr>
          <w:rFonts w:ascii="Times New Roman;sans-serif" w:hAnsi="Times New Roman;sans-serif"/>
          <w:b w:val="false"/>
          <w:color w:val="000000"/>
          <w:sz w:val="22"/>
        </w:rPr>
        <w:t>Fixed assets are depreciated or amortized on a straight-line basis, with the corresponding depreciation and amortization expense included within depreciation and amortization in the Company’s Condensed Consolidated Statement of Operations. The estimated useful life for leasehold improvements is the lesser of the remaining lease term or the life of the asset, while other fixed assets are generally depreciated over a period of three to fifteen years.</w:t>
      </w:r>
    </w:p>
    <w:p>
      <w:pPr>
        <w:pStyle w:val="TextBody"/>
        <w:bidi w:val="0"/>
        <w:spacing w:lineRule="auto" w:line="288" w:before="200" w:after="283"/>
        <w:jc w:val="both"/>
        <w:rPr/>
      </w:pPr>
      <w:r>
        <w:rPr>
          <w:rFonts w:ascii="Times New Roman;sans-serif" w:hAnsi="Times New Roman;sans-serif"/>
          <w:b w:val="false"/>
          <w:i/>
          <w:color w:val="000000"/>
          <w:sz w:val="22"/>
        </w:rPr>
        <w:t xml:space="preserve">Interest Expense: </w:t>
      </w:r>
      <w:r>
        <w:rPr>
          <w:rFonts w:ascii="Times New Roman;sans-serif" w:hAnsi="Times New Roman;sans-serif"/>
          <w:b w:val="false"/>
          <w:color w:val="000000"/>
          <w:sz w:val="22"/>
          <w:shd w:fill="FFFFFF" w:val="clear"/>
        </w:rPr>
        <w:t>I</w:t>
      </w:r>
      <w:r>
        <w:rPr>
          <w:rFonts w:ascii="Times New Roman;sans-serif" w:hAnsi="Times New Roman;sans-serif"/>
          <w:b w:val="false"/>
          <w:color w:val="000000"/>
          <w:sz w:val="22"/>
        </w:rPr>
        <w:t>nterest expense consists of the interest expense on our outstanding debt, amortization of deferred financing costs, and amortization of original issue discount.</w:t>
      </w:r>
    </w:p>
    <w:p>
      <w:pPr>
        <w:pStyle w:val="TextBody"/>
        <w:bidi w:val="0"/>
        <w:spacing w:lineRule="auto" w:line="288" w:before="200" w:after="283"/>
        <w:jc w:val="both"/>
        <w:rPr/>
      </w:pPr>
      <w:r>
        <w:rPr>
          <w:rFonts w:ascii="Times New Roman;sans-serif" w:hAnsi="Times New Roman;sans-serif"/>
          <w:b w:val="false"/>
          <w:i/>
          <w:color w:val="000000"/>
          <w:sz w:val="22"/>
        </w:rPr>
        <w:t xml:space="preserve">Income Tax Expense: </w:t>
      </w:r>
      <w:r>
        <w:rPr>
          <w:rFonts w:ascii="Times New Roman;sans-serif" w:hAnsi="Times New Roman;sans-serif"/>
          <w:b w:val="false"/>
          <w:color w:val="000000"/>
          <w:sz w:val="22"/>
        </w:rPr>
        <w:t>Income tax expense consists of taxes paid or payable by our consolidated operating subsidiaries. Certain of our subsidiaries are 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Consolidated Condensed Results of Operations – For the Three Months Ended March 31, 2024 and March 31, 2023</w:t>
      </w:r>
    </w:p>
    <w:tbl>
      <w:tblPr>
        <w:tblW w:w="10205" w:type="dxa"/>
        <w:jc w:val="left"/>
        <w:tblInd w:w="0" w:type="dxa"/>
        <w:tblLayout w:type="fixed"/>
        <w:tblCellMar>
          <w:top w:w="28" w:type="dxa"/>
          <w:left w:w="28" w:type="dxa"/>
          <w:bottom w:w="28" w:type="dxa"/>
          <w:right w:w="28" w:type="dxa"/>
        </w:tblCellMar>
      </w:tblPr>
      <w:tblGrid>
        <w:gridCol w:w="1126"/>
        <w:gridCol w:w="847"/>
        <w:gridCol w:w="838"/>
        <w:gridCol w:w="271"/>
        <w:gridCol w:w="930"/>
        <w:gridCol w:w="140"/>
        <w:gridCol w:w="110"/>
        <w:gridCol w:w="110"/>
        <w:gridCol w:w="110"/>
        <w:gridCol w:w="257"/>
        <w:gridCol w:w="957"/>
        <w:gridCol w:w="132"/>
        <w:gridCol w:w="109"/>
        <w:gridCol w:w="109"/>
        <w:gridCol w:w="109"/>
        <w:gridCol w:w="292"/>
        <w:gridCol w:w="1143"/>
        <w:gridCol w:w="150"/>
        <w:gridCol w:w="150"/>
        <w:gridCol w:w="150"/>
        <w:gridCol w:w="150"/>
        <w:gridCol w:w="109"/>
        <w:gridCol w:w="109"/>
        <w:gridCol w:w="109"/>
        <w:gridCol w:w="109"/>
        <w:gridCol w:w="109"/>
        <w:gridCol w:w="109"/>
        <w:gridCol w:w="109"/>
        <w:gridCol w:w="109"/>
        <w:gridCol w:w="109"/>
        <w:gridCol w:w="109"/>
        <w:gridCol w:w="109"/>
        <w:gridCol w:w="109"/>
        <w:gridCol w:w="109"/>
        <w:gridCol w:w="109"/>
        <w:gridCol w:w="109"/>
        <w:gridCol w:w="109"/>
        <w:gridCol w:w="109"/>
        <w:gridCol w:w="162"/>
      </w:tblGrid>
      <w:tr>
        <w:trPr/>
        <w:tc>
          <w:tcPr>
            <w:tcW w:w="112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Management/advisory fees</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fees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investments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income/fees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employee benefits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107,748 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(90,290)</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Revenue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Management/Advisory fees. </w:t>
      </w:r>
      <w:r>
        <w:rPr>
          <w:rFonts w:ascii="Times New Roman;sans-serif" w:hAnsi="Times New Roman;sans-serif"/>
          <w:b w:val="false"/>
          <w:color w:val="000000"/>
          <w:sz w:val="22"/>
        </w:rPr>
        <w:t>The decrease in management and advisory fees of $(0.2) million for the three months ended March 31, 2024 as compared to the three months ended March 31, 2023 was driven primarily by lower management fees in our Strategic Alternatives, reflecting lower AUM in that segment, offset by higher management fees in Wealth Management, in line with higher year over year AUM.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Incentive fees. </w:t>
      </w:r>
      <w:r>
        <w:rPr>
          <w:rFonts w:ascii="Times New Roman;sans-serif" w:hAnsi="Times New Roman;sans-serif"/>
          <w:b w:val="false"/>
          <w:color w:val="000000"/>
          <w:sz w:val="22"/>
        </w:rPr>
        <w:t>The decrease in incentive fees of $(0.4) million for the three months ended March 31, 2024 as compared to the three months ended March 31, 2023 was driven by lower performance of investments held in Strategic Alternatives in the current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Distributions from investments. </w:t>
      </w:r>
      <w:r>
        <w:rPr>
          <w:rFonts w:ascii="Times New Roman;sans-serif" w:hAnsi="Times New Roman;sans-serif"/>
          <w:b w:val="false"/>
          <w:color w:val="000000"/>
          <w:sz w:val="22"/>
        </w:rPr>
        <w:t>The decrease in distributions from investments of $(5.9) million for the three months ended March 31, 2024 as compared to the three months ended March 31, 2023 was driven by lower incentive fee distributions from the European equities strategy in Strategic Alternatives in the current period. Prior year performance was particularly strong for that strategy, resulting in significant incentive fees in the prior period. Management fee distributions, which represented 64% of distributions from investments for the three months ended March 31, 2024 and 24% for three months ended March 31, 2023, were essentially consistent period over period in dollar value.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Other fees / income. </w:t>
      </w:r>
      <w:r>
        <w:rPr>
          <w:rFonts w:ascii="Times New Roman;sans-serif" w:hAnsi="Times New Roman;sans-serif"/>
          <w:b w:val="false"/>
          <w:color w:val="000000"/>
          <w:sz w:val="22"/>
        </w:rPr>
        <w:t>The decrease in other fees / income of $(0.7) million for the three months ended March 31, 2024 as compared to the three months ended March 31, 2023 was primarily driven by lower transactional income in Strategic Alternatives in the current period, which generated $0.8m of Other fees for the three months ended March 31, 2023 and no revenue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xbxContent>
                </v:textbox>
                <w10:wrap type="none"/>
              </v:rect>
            </w:pict>
          </mc:Fallback>
        </mc:AlternateContent>
      </w:r>
    </w:p>
    <w:p>
      <w:pPr>
        <w:pStyle w:val="TextBody"/>
        <w:bidi w:val="0"/>
        <w:spacing w:before="0" w:after="0"/>
        <w:jc w:val="left"/>
        <w:rPr/>
      </w:pPr>
      <w:r>
        <w:rPr/>
      </w: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Expenses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Compensation Expense. </w:t>
      </w:r>
      <w:r>
        <w:rPr>
          <w:rFonts w:ascii="Times New Roman;sans-serif" w:hAnsi="Times New Roman;sans-serif"/>
          <w:b w:val="false"/>
          <w:color w:val="000000"/>
          <w:sz w:val="22"/>
        </w:rPr>
        <w:t>The decrease in compensation expense of $(23.6) million for the three months ended March 31, 2024 as compared to the three months ended March 31, 2023 was primarily driven by $24.7 million</w:t>
      </w:r>
      <w:r>
        <w:rPr>
          <w:color w:val="000000"/>
          <w:shd w:fill="FFFFFF" w:val="clear"/>
        </w:rPr>
        <w:t xml:space="preserve"> </w:t>
      </w:r>
      <w:r>
        <w:rPr>
          <w:rFonts w:ascii="Times New Roman;sans-serif" w:hAnsi="Times New Roman;sans-serif"/>
          <w:b w:val="false"/>
          <w:color w:val="000000"/>
          <w:sz w:val="22"/>
          <w:shd w:fill="FFFFFF" w:val="clear"/>
        </w:rPr>
        <w:t xml:space="preserve">of non-cash stock based compensation related to both legacy TWMH and Alvarium incentive plans as well as the issuance of AlTi equity following the Business Combination during the three months ended </w:t>
      </w:r>
      <w:r>
        <w:rPr>
          <w:rFonts w:ascii="Times New Roman;sans-serif" w:hAnsi="Times New Roman;sans-serif"/>
          <w:b w:val="false"/>
          <w:color w:val="000000"/>
          <w:sz w:val="22"/>
        </w:rPr>
        <w:t>March 31, 2023</w:t>
      </w:r>
      <w:r>
        <w:rPr>
          <w:rFonts w:ascii="Times New Roman;sans-serif" w:hAnsi="Times New Roman;sans-serif"/>
          <w:b w:val="false"/>
          <w:color w:val="000000"/>
          <w:sz w:val="22"/>
          <w:shd w:fill="FFFFFF" w:val="clear"/>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Non-compensation Expense. </w:t>
      </w:r>
      <w:r>
        <w:rPr>
          <w:rFonts w:ascii="Times New Roman;sans-serif" w:hAnsi="Times New Roman;sans-serif"/>
          <w:b w:val="false"/>
          <w:color w:val="000000"/>
          <w:sz w:val="22"/>
        </w:rPr>
        <w:t>The decrease in non-compensation expenses of $(12.4) million for the three months ended March 31, 2024 as compared to the three months ended March 31, 2023 was primarily driven by $11.4 million in professional fees incurred during the three months ended March 31, 2024 compared to $22.9 million in professional fees incurred during the three months ended March 31, 2023.</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Other income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other income (expenses) of $79.0 million for the three months ended March 31, 2024 as compared to the three months ended March 31, 2023 was primarily driven by a gain of $39.5 million related to the change in fair value of earn-out liabilities as a result of share price changes during the three months ended March 31, 2024 compared to a $(29.2) million loss related to the change in fair value of earn-out liabilities as a result of share price changes and a $(12.9) million loss related to the exchange of warrants into common stock during the three months ended March 31, 2023.</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color w:val="000000"/>
          <w:sz w:val="22"/>
        </w:rPr>
      </w:pPr>
      <w:r>
        <w:rPr>
          <w:rFonts w:ascii="Times New Roman;sans-serif" w:hAnsi="Times New Roman;sans-serif"/>
          <w:b/>
          <w:color w:val="000000"/>
          <w:sz w:val="22"/>
        </w:rPr>
        <w:t>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effective tax rate was 1.6% for the for the three months ended March 31, 2024 compared to (5.4)% for the three months ended March 31, 2023. The difference in the effective tax rate is primarily driven by the legal entity organizational changes which occurred on account of the Business Combination, the tax impact of 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Reconciliation of Consolidated US GAAP Financial Measures to Certain Non-US GAAP Measures</w:t>
      </w:r>
    </w:p>
    <w:p>
      <w:pPr>
        <w:pStyle w:val="TextBody"/>
        <w:bidi w:val="0"/>
        <w:spacing w:lineRule="auto" w:line="288" w:before="200" w:after="283"/>
        <w:jc w:val="both"/>
        <w:rPr/>
      </w:pPr>
      <w:r>
        <w:rPr>
          <w:rFonts w:ascii="Times New Roman;sans-serif" w:hAnsi="Times New Roman;sans-serif"/>
          <w:b w:val="false"/>
          <w:color w:val="000000"/>
          <w:sz w:val="22"/>
          <w:shd w:fill="FFFFFF" w:val="clear"/>
        </w:rPr>
        <w:t xml:space="preserve">We use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non-US GAAP measures to assess and track our performance.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 xml:space="preserve">EBITDA as presented in this Quarterly Report are supplemental measures of our performance that are not required by, or presented in accordance with, US GAAP.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shd w:fill="FFFFFF" w:val="clear"/>
        </w:rPr>
        <w:t xml:space="preserve">The following table presents the reconciliation of net income as reported in our Condensed Consolidated Statement of Operations to </w:t>
      </w:r>
      <w:r>
        <w:rPr>
          <w:rFonts w:ascii="Times New Roman;sans-serif" w:hAnsi="Times New Roman;sans-serif"/>
          <w:b w:val="false"/>
          <w:color w:val="000000"/>
          <w:sz w:val="22"/>
        </w:rPr>
        <w:t>Adjusted Net Income and Adjusted</w:t>
      </w:r>
      <w:r>
        <w:rPr>
          <w:color w:val="000000"/>
          <w:shd w:fill="FFFFFF" w:val="clear"/>
        </w:rPr>
        <w:t xml:space="preserve"> </w:t>
      </w:r>
      <w:r>
        <w:rPr>
          <w:rFonts w:ascii="Times New Roman;sans-serif" w:hAnsi="Times New Roman;sans-serif"/>
          <w:b w:val="false"/>
          <w:color w:val="000000"/>
          <w:sz w:val="22"/>
          <w:shd w:fill="FFFFFF" w:val="clear"/>
        </w:rPr>
        <w:t>EBITDA for the periods indicated:</w:t>
      </w:r>
    </w:p>
    <w:tbl>
      <w:tblPr>
        <w:tblW w:w="10908" w:type="dxa"/>
        <w:jc w:val="left"/>
        <w:tblInd w:w="0" w:type="dxa"/>
        <w:tblLayout w:type="fixed"/>
        <w:tblCellMar>
          <w:top w:w="28" w:type="dxa"/>
          <w:left w:w="28" w:type="dxa"/>
          <w:bottom w:w="28" w:type="dxa"/>
          <w:right w:w="28" w:type="dxa"/>
        </w:tblCellMar>
      </w:tblPr>
      <w:tblGrid>
        <w:gridCol w:w="697"/>
        <w:gridCol w:w="296"/>
        <w:gridCol w:w="298"/>
        <w:gridCol w:w="233"/>
        <w:gridCol w:w="681"/>
        <w:gridCol w:w="122"/>
        <w:gridCol w:w="109"/>
        <w:gridCol w:w="109"/>
        <w:gridCol w:w="109"/>
        <w:gridCol w:w="225"/>
        <w:gridCol w:w="769"/>
        <w:gridCol w:w="117"/>
        <w:gridCol w:w="109"/>
        <w:gridCol w:w="109"/>
        <w:gridCol w:w="109"/>
        <w:gridCol w:w="211"/>
        <w:gridCol w:w="721"/>
        <w:gridCol w:w="109"/>
        <w:gridCol w:w="109"/>
        <w:gridCol w:w="109"/>
        <w:gridCol w:w="109"/>
        <w:gridCol w:w="211"/>
        <w:gridCol w:w="736"/>
        <w:gridCol w:w="109"/>
        <w:gridCol w:w="109"/>
        <w:gridCol w:w="109"/>
        <w:gridCol w:w="109"/>
        <w:gridCol w:w="211"/>
        <w:gridCol w:w="791"/>
        <w:gridCol w:w="109"/>
        <w:gridCol w:w="109"/>
        <w:gridCol w:w="109"/>
        <w:gridCol w:w="109"/>
        <w:gridCol w:w="211"/>
        <w:gridCol w:w="736"/>
        <w:gridCol w:w="109"/>
        <w:gridCol w:w="109"/>
        <w:gridCol w:w="109"/>
        <w:gridCol w:w="109"/>
        <w:gridCol w:w="109"/>
        <w:gridCol w:w="109"/>
        <w:gridCol w:w="109"/>
        <w:gridCol w:w="109"/>
        <w:gridCol w:w="109"/>
        <w:gridCol w:w="109"/>
        <w:gridCol w:w="109"/>
        <w:gridCol w:w="109"/>
        <w:gridCol w:w="109"/>
        <w:gridCol w:w="109"/>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16"/>
              </w:rPr>
            </w:pPr>
            <w:r>
              <w:rPr>
                <w:rFonts w:ascii="Times New Roman;sans-serif" w:hAnsi="Times New Roman;sans-serif"/>
                <w:b/>
                <w:i/>
                <w:color w:val="000000"/>
                <w:sz w:val="16"/>
              </w:rPr>
              <w:t>(Dollars in Thousands, except share data)</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Strategic Alternatives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Strategic Alternatives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Wealth Management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and Adjusted EBITDA</w:t>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before taxes</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(a)</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 Legacy (b)</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(c)</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 (d)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fair value of (gains)/losses on investments (e)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 (f)</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Organization streamlining cost (g)</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(non-cash) (h)</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(Gains)/Losses on EMI/Carried Interest (non-cash) (i)</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EMI Adjustments (Interest, Depreciation, Taxes &amp; Amortization) (j)</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(loss) before taxes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tax (expense) benefit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tax adjustments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(a)Add-back of non-cash expense related to awards of Class A Common stock (approved post-transaction).</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(b)Add-back of non-cash expense related to awards of Class A Common stock (approved pre-transaction).</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(c)Add-back of transaction expenses related to the Business Combination and subsequent business combinations/divestitures, including professional fees.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(d)Represents the change in fair value of the warrant liability.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(e)Represents the change in unrealized gains/losses related primarily to Investments held at fair value and the TRA liability.</w:t>
      </w:r>
    </w:p>
    <w:p>
      <w:pPr>
        <w:pStyle w:val="TextBody"/>
        <w:bidi w:val="0"/>
        <w:spacing w:lineRule="auto" w:line="288" w:before="0" w:after="0"/>
        <w:ind w:left="0" w:right="0" w:hanging="360"/>
        <w:jc w:val="both"/>
        <w:rPr/>
      </w:pPr>
      <w:r>
        <w:rPr>
          <w:rFonts w:ascii="Times New Roman;sans-serif" w:hAnsi="Times New Roman;sans-serif"/>
          <w:b w:val="false"/>
          <w:color w:val="000000"/>
          <w:sz w:val="22"/>
          <w:shd w:fill="FFFFFF" w:val="clear"/>
        </w:rPr>
        <w:t>(f)</w:t>
      </w:r>
      <w:r>
        <w:rPr>
          <w:rFonts w:ascii="Times New Roman;sans-serif" w:hAnsi="Times New Roman;sans-serif"/>
          <w:b w:val="false"/>
          <w:color w:val="000000"/>
          <w:sz w:val="22"/>
        </w:rPr>
        <w:t>Represents the change in fair value of the earn-out liability.</w:t>
      </w:r>
    </w:p>
    <w:p>
      <w:pPr>
        <w:pStyle w:val="TextBody"/>
        <w:bidi w:val="0"/>
        <w:spacing w:lineRule="auto" w:line="288" w:before="0" w:after="0"/>
        <w:ind w:left="0" w:right="0" w:hanging="36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(g)Represents cost to implement organization change to derive cost synergy.</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(h)Represents impairment of carried interest/equity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(i)Represents the amortization of the step-up in equity method investments.</w: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(j)Represents reported interest, depreciation, amortization, and tax adjustments of the Company's equity method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January 3, 2023, concurrent with the consummation of the Business Combination, the Company entered into a $250.0 million credit facility with a syndicate led by BMO Capital Markets Corp. The facility, which has a term of five years and is comprised of a $150.0 million revolving credit facility and a $100 million term loan facility, was to be used to pay down subsidiary debt and fund growth initiatives. As of March 31, 2024, the Company had $61.5 million outstanding on the term loan facility and $126.0 million outstanding on the revolving credit facility. See Note 14 (Debt, net of unamortized deferred financing costs).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Allianz and Constellation Investment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22, 2024, the Company entered into an Investment Agreement (the “Allianz Investment Agreement”) with Allianz, pursuant to which, among other things, at the closing of the transaction, and based on the terms and subject to the conditions set forth therein: (i) Allianz will purchase in the aggregate $250 million of the Company’s capital securities, consisting of (a) 140,000 shares of a newly created class of preferred stock to be designated Series A Cumulative Convertible Preferred Stock, with a liquidation preference of $1,000 per share (the “Series A Preferred Stock”) and (b) 19,318,580.96 shares of the Company’s Class A Common Stock at a purchase price of $5.69 per share, and (ii) the Company will issue to Allianz warrants to purchase 5,000,000 shares of Class A Common Stock at an exercise price of $7.40 per share of Class A Common Stock, subject to customary adjustments (collectively, the “Allianz Transaction”). Consummation of the Allianz Transaction is expected to close during the second quarter of 2024, subject to, among other things, applicable regulatory approvals, Company stockholder approval and other customary closing conditions.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additional shares of Series A Preferred Stock up to an aggregate amount equal to $50,000,000.</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the Constellation Warrants to purchase 1,533,333 shares of the Company’s Class A Common Stock in each case on terms consistent with the Constellation Investment Agreement, dated February 22, 2024 and previously disclosed on the Company’s Current Report on Form 8-K filed with the Securities and Exchange Commission on February 23, 2024.</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previously reported, during the period commencing May 1, 2024 until September 30, 2024, the Company is permitted to deliver a capital demand notice requiring Constellation to purchase and acquire an additional 35,000 shares of Series C Preferred Stock, representing an additional investment equal to $35.0 million, subject to applicable regulatory approvals and other customary closing conditions. In the event that the Company delivers such notice to Constellation, Constellation will also receive from the Company, and the Company shall issue to Constellation, warrants to purchase 466,667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For the Three Months Ended March 31, 2024 Compared to the Three Months Ended March 31, 2023</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tables and discussion summarize our Condensed Consolidated Statement of Cash Flows by activity attributable to AlTi. Negative amounts represent an outflow or use of cash.</w:t>
      </w:r>
    </w:p>
    <w:tbl>
      <w:tblPr>
        <w:tblW w:w="10202" w:type="dxa"/>
        <w:jc w:val="left"/>
        <w:tblInd w:w="0" w:type="dxa"/>
        <w:tblLayout w:type="fixed"/>
        <w:tblCellMar>
          <w:top w:w="28" w:type="dxa"/>
          <w:left w:w="28" w:type="dxa"/>
          <w:bottom w:w="28" w:type="dxa"/>
          <w:right w:w="28" w:type="dxa"/>
        </w:tblCellMar>
      </w:tblPr>
      <w:tblGrid>
        <w:gridCol w:w="1526"/>
        <w:gridCol w:w="1339"/>
        <w:gridCol w:w="1350"/>
        <w:gridCol w:w="265"/>
        <w:gridCol w:w="1038"/>
        <w:gridCol w:w="137"/>
        <w:gridCol w:w="109"/>
        <w:gridCol w:w="109"/>
        <w:gridCol w:w="109"/>
        <w:gridCol w:w="249"/>
        <w:gridCol w:w="1063"/>
        <w:gridCol w:w="128"/>
        <w:gridCol w:w="109"/>
        <w:gridCol w:w="109"/>
        <w:gridCol w:w="109"/>
        <w:gridCol w:w="403"/>
        <w:gridCol w:w="1578"/>
        <w:gridCol w:w="209"/>
        <w:gridCol w:w="109"/>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Favorable (unfavorable)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145,109 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 balances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119,381 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(176,306)</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295,687 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and cash equivalents increased $295.7 million as of March 31, 2024 as compared to March 31, 2023, primarily due to the Company’s completed sale to Constellation of 115,000 shares of a newly created class of preferred stock designated Series C Preferred Stock for a purchase price equal to $115.0 million. See MD&amp;A (Liquidity and Capital Resources) discussion for additional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Operating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cash inflows from operating activities comprise of cash collected through management and advisory fees, incentive fees, distributions from investments and other income/fees. Our cash outflows from operating activities consist of operating expenses, the most significant components of which included compensation and benefits, professional fees and interest on our debt obligations. Our net operating cash outflow of $(15.5) million for three months ended March 31, 2024 was primarily driven by the level of professional fees, which continue to be elevated due to high usage of professional services firms in connection with capital raising and other financing activities and related to supporting the Company’s evolving financial reporting infrastructure. Management believes the current level of professional fee spend will be reduced over time as the Company’s financial reporting environment continues to mature. Our net operating cash outflow of $(61.0) million for the three months ended March 31, 2023 was driven by the cash outflow of $(33.9) million related to compensation and benefits expenses as well as approximately $(26.5) million of accrued professional fees in connection with the close of the Business Combination.</w:t>
      </w:r>
    </w:p>
    <w:p>
      <w:pPr>
        <w:pStyle w:val="TextBody"/>
        <w:bidi w:val="0"/>
        <w:spacing w:lineRule="auto" w:line="276"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Investing Activities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net investing cash flows provided by investing activities of $31.0 million during the three months ended March 31, 2024 primarily related to proceeds from the sale of LXi.</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Financing Activities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net cash flows provided by financing activities of $104.1 million during the three months ended March 31, 2024 were primarily driven by the issuance of preferred equity to Constellation Wealth Capital, net of transaction costs paid. </w:t>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Future Sources and Uses of Liquidity</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the normal course of business, we may engage in off-balance sheet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 xml:space="preserve">Contractual Obligations </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Tax Receivable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discussed in Note 19 (Commitments and Contingencies) to our condensed consolidated financial statements included in this Quarterly Report, we may in the future be required to make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Amounts payable under the TRA are contingent upon (i) the generation of taxable income over the life of the TRA, (ii) the tax rates in effect as of time periods in which tax benefits are used, and (iii) certain terms governing the rate of interest to be applied to payments under the TRA.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and December 31, 2023, the liability associated with the TRA was approximately $24.9 million and $17.6 million, respectively. Payments under the TRA that are on account of liabilities arising in connection with the Business Combination will be revalued at the end of each reporting period with the gain or loss recognized in earnings. As of March 31, 2024 and December 31, 2023, the Company carried $7.3 million and $13.2 million, respectively of its TRA liability at fair value, as it is contingent consideration from the Business Combination. The remaining portion of the TRA liability is carried at a value equal to the expected future payments under the TRA</w:t>
      </w:r>
    </w:p>
    <w:p>
      <w:pPr>
        <w:pStyle w:val="TextBody"/>
        <w:bidi w:val="0"/>
        <w:spacing w:lineRule="auto" w:line="288" w:before="200" w:after="283"/>
        <w:jc w:val="both"/>
        <w:rPr/>
      </w:pPr>
      <w:r>
        <w:rPr>
          <w:rFonts w:ascii="Times New Roman;sans-serif" w:hAnsi="Times New Roman;sans-serif"/>
          <w:b w:val="false"/>
          <w:color w:val="000000"/>
          <w:sz w:val="22"/>
        </w:rPr>
        <w:t xml:space="preserve">In connection with the TRA, certain parties to the Business Combination who received Class B Units in Umbrella have the ability to exchange Class B Units in Umbrella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sans-serif" w:hAnsi="Times New Roman;sans-serif"/>
          <w:b w:val="false"/>
          <w:i/>
          <w:color w:val="000000"/>
          <w:sz w:val="22"/>
        </w:rPr>
        <w:t>Contingencies</w:t>
      </w:r>
      <w:r>
        <w:rPr>
          <w:rFonts w:ascii="Times New Roman;sans-serif" w:hAnsi="Times New Roman;sans-serif"/>
          <w:b w:val="false"/>
          <w:color w:val="000000"/>
          <w:sz w:val="22"/>
        </w:rPr>
        <w:t xml:space="preserve">. </w:t>
      </w:r>
      <w:r>
        <w:rPr>
          <w:rFonts w:ascii="Times New Roman;sans-serif" w:hAnsi="Times New Roman;sans-serif"/>
          <w:b w:val="false"/>
          <w:color w:val="000000"/>
          <w:sz w:val="22"/>
          <w:shd w:fill="FFFFFF" w:val="clear"/>
        </w:rPr>
        <w:t xml:space="preserve">On August 31, 2023, holders of Class B Units exchanged </w:t>
      </w:r>
      <w:r>
        <w:rPr>
          <w:rFonts w:ascii="Times New Roman;sans-serif" w:hAnsi="Times New Roman;sans-serif"/>
          <w:b w:val="false"/>
          <w:color w:val="000000"/>
          <w:sz w:val="22"/>
        </w:rPr>
        <w:t xml:space="preserve">1,813,248 </w:t>
      </w:r>
      <w:r>
        <w:rPr>
          <w:rFonts w:ascii="Times New Roman;sans-serif" w:hAnsi="Times New Roman;sans-serif"/>
          <w:b w:val="false"/>
          <w:color w:val="000000"/>
          <w:sz w:val="22"/>
          <w:shd w:fill="FFFFFF" w:val="clear"/>
        </w:rPr>
        <w:t xml:space="preserve">Class B Paired Interests with the Company, in exchange for shares of Class A Common Stock on a 1:1 basis totaling an amount equal to </w:t>
      </w:r>
      <w:r>
        <w:rPr>
          <w:rFonts w:ascii="Times New Roman;sans-serif" w:hAnsi="Times New Roman;sans-serif"/>
          <w:b w:val="false"/>
          <w:color w:val="000000"/>
          <w:sz w:val="22"/>
        </w:rPr>
        <w:t>$7.31</w:t>
      </w:r>
      <w:r>
        <w:rPr>
          <w:color w:val="000000"/>
          <w:shd w:fill="FFFFFF" w:val="clear"/>
        </w:rPr>
        <w:t xml:space="preserve"> </w:t>
      </w:r>
      <w:r>
        <w:rPr>
          <w:rFonts w:ascii="Times New Roman;sans-serif" w:hAnsi="Times New Roman;sans-serif"/>
          <w:b w:val="false"/>
          <w:color w:val="000000"/>
          <w:sz w:val="22"/>
          <w:shd w:fill="FFFFFF" w:val="clear"/>
        </w:rPr>
        <w:t xml:space="preserve">multiplied by the total number of shares of Class A Common Stock received at the time of the transaction. </w:t>
      </w:r>
      <w:r>
        <w:rPr>
          <w:rFonts w:ascii="Times New Roman;sans-serif" w:hAnsi="Times New Roman;sans-serif"/>
          <w:b w:val="false"/>
          <w:color w:val="000000"/>
          <w:sz w:val="22"/>
        </w:rPr>
        <w:t>On March 11, 2024, holders of Class B Common Stock exchanged 4,954,518 Class B Paired Interests with the Company, in exchange for shares of Class A Common Stock on a 1:1 basis totaling an amount equal to $6.61 multiplied by the total number of shares of Class B Common Stock exchanged at the time of the transaction.</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assuming no material changes in the relevant tax laws and that the Company generates sufficient taxable income to realize the full tax benefit of the increased amortization resulting from the increase in tax basis of certain of AlTi’s assets, we expect to pay approximately $24.9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Warrants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As of March 31, 2024, none of such Warrants are outstanding.</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27, 2024, the Company completed the issuance of Constellation Warrants to purchase 1,533,333 shares of the Company’s Class A Common Stock at an exercise price of $7.40 per share. As of March 31, 2024, none of the Constellation Warrants have been exercised.</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 xml:space="preserve">Business Combination Earn-out </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March 31, 2024 and December 31, 2023, the fair value of the earn-out shares was $22.9 million and $62.4 million, respectively. See Note 2 (Summary of Significant Accounting Policies) for additional detail.</w:t>
      </w:r>
    </w:p>
    <w:p>
      <w:pPr>
        <w:pStyle w:val="TextBody"/>
        <w:bidi w:val="0"/>
        <w:spacing w:lineRule="auto" w:line="288" w:before="200" w:after="283"/>
        <w:jc w:val="both"/>
        <w:rPr>
          <w:rFonts w:ascii="Times New Roman;sans-serif" w:hAnsi="Times New Roman;sans-serif"/>
          <w:b/>
          <w:i/>
          <w:color w:val="000000"/>
          <w:sz w:val="22"/>
        </w:rPr>
      </w:pPr>
      <w:r>
        <w:rPr>
          <w:rFonts w:ascii="Times New Roman;sans-serif" w:hAnsi="Times New Roman;sans-serif"/>
          <w:b/>
          <w:i/>
          <w:color w:val="000000"/>
          <w:sz w:val="22"/>
        </w:rPr>
        <w:t>AWMS Earn-out Liability</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2"/>
        </w:rPr>
        <w:t xml:space="preserve">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(or AWMS earn-out liability), and the payment of assumed liabilities. As of March 31, 2024 and December 31, 2023, the AWMS earn-out liability of $1.1 million and $1.1 million is reported in Earn-out liability, at fair value, in the Condensed Consolidated Statement of Financial Position and Consolidated Statement of Financial Position, respectively.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sans-serif" w:hAnsi="Times New Roman;sans-serif"/>
          <w:b w:val="false"/>
          <w:i/>
          <w:color w:val="000000"/>
          <w:sz w:val="22"/>
        </w:rPr>
        <w:t>Fair Value Measurement</w:t>
      </w:r>
      <w:r>
        <w:rPr>
          <w:rFonts w:ascii="Times New Roman;sans-serif" w:hAnsi="Times New Roman;sans-serif"/>
          <w:b w:val="false"/>
          <w:color w:val="000000"/>
          <w:sz w:val="22"/>
        </w:rPr>
        <w:t xml:space="preserve">, with changes in fair value to be recognized in Gain (loss) on earn-out liability in the Condensed Consolidated Statement of Operations and in Fair value of earn-out liability in the Condensed Consolidated Statement of Cash Flows in the period of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Indemnification Arrangements</w:t>
      </w:r>
    </w:p>
    <w:p>
      <w:pPr>
        <w:pStyle w:val="TextBody"/>
        <w:bidi w:val="0"/>
        <w:spacing w:lineRule="auto" w:line="288" w:before="200" w:after="283"/>
        <w:jc w:val="both"/>
        <w:rPr/>
      </w:pPr>
      <w:r>
        <w:rPr>
          <w:rFonts w:ascii="Times New Roman;sans-serif" w:hAnsi="Times New Roman;sans-serif"/>
          <w:b w:val="false"/>
          <w:color w:val="000000"/>
          <w:sz w:val="22"/>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 Position. As of March 31, 2024, the Company has not had prior claims or losses pursuant to these contracts and expects the risk of material loss to be remote.</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Critical Accounting Estimates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22"/>
        </w:rPr>
        <w:t>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w:t>
      </w:r>
      <w:r>
        <w:rPr>
          <w:color w:val="FF0000"/>
        </w:rPr>
        <w:t xml:space="preserve"> </w:t>
      </w:r>
      <w:r>
        <w:rPr>
          <w:rFonts w:ascii="Times New Roman;sans-serif" w:hAnsi="Times New Roman;sans-serif"/>
          <w:b w:val="false"/>
          <w:color w:val="000000"/>
          <w:sz w:val="22"/>
        </w:rPr>
        <w:t>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interim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Estimation of Fair Values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Investments at Fair Value – External Strategic Managers:</w:t>
      </w:r>
      <w:r>
        <w:rPr>
          <w:color w:val="000000"/>
        </w:rPr>
        <w:t xml:space="preserve"> </w:t>
      </w:r>
      <w:r>
        <w:rPr>
          <w:rFonts w:ascii="Times New Roman;sans-serif" w:hAnsi="Times New Roman;sans-serif"/>
          <w:b w:val="false"/>
          <w:color w:val="000000"/>
          <w:sz w:val="22"/>
        </w:rPr>
        <w:t xml:space="preserve">The fair values of our Investments in External Strategic Managers were determined using 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TRA Liability: </w:t>
      </w:r>
      <w:r>
        <w:rPr>
          <w:rFonts w:ascii="Times New Roman;sans-serif" w:hAnsi="Times New Roman;sans-serif"/>
          <w:b w:val="false"/>
          <w:color w:val="000000"/>
          <w:sz w:val="22"/>
        </w:rPr>
        <w:t>We carry a portion of our TRA liability at fair value, as it is a contingent consideration related to the Business Combination. The 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Business Combination Earn-out Liability and AWMS Earn-out Liability:</w:t>
      </w:r>
      <w:r>
        <w:rPr>
          <w:color w:val="000000"/>
        </w:rPr>
        <w:t xml:space="preserve"> </w:t>
      </w:r>
      <w:r>
        <w:rPr>
          <w:rFonts w:ascii="Times New Roman;sans-serif" w:hAnsi="Times New Roman;sans-serif"/>
          <w:b w:val="false"/>
          <w:color w:val="000000"/>
          <w:sz w:val="22"/>
        </w:rPr>
        <w:t>The fair values of our Business Combination Earn-out Securities liability and our AWMS earn-out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Equity-based Compensation: </w:t>
      </w:r>
      <w:r>
        <w:rPr>
          <w:rFonts w:ascii="Times New Roman;sans-serif" w:hAnsi="Times New Roman;sans-serif"/>
          <w:b w:val="false"/>
          <w:color w:val="000000"/>
          <w:sz w:val="22"/>
        </w:rPr>
        <w:t xml:space="preserve">The Company issued stock grants to certain employees as bonus compensation. The fair value of the grants was determined based on the share price on the date of issuance.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Assets Acquired and Liabilities Assumed in Business Combinations: </w:t>
      </w:r>
      <w:r>
        <w:rPr>
          <w:rFonts w:ascii="Times New Roman;sans-serif" w:hAnsi="Times New Roman;sans-serif"/>
          <w:b w:val="false"/>
          <w:color w:val="000000"/>
          <w:sz w:val="22"/>
        </w:rPr>
        <w:t>The determination of the fair values of assets acquired and liabilities assumed in business 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Reporting Units for Goodwill Impairment Testing: </w:t>
      </w:r>
      <w:r>
        <w:rPr>
          <w:rFonts w:ascii="Times New Roman;sans-serif" w:hAnsi="Times New Roman;sans-serif"/>
          <w:b w:val="false"/>
          <w:color w:val="000000"/>
          <w:sz w:val="22"/>
        </w:rPr>
        <w:t xml:space="preserve">In assessing goodwill impairment, we determine the fair value of reporting units using established valuation methodologies, primarily the discounted cash flow approach and market approach. The income approach involves discounting future cash flows generated by the reporting units, considering key assumptions such as revenue growth rates, discount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br/>
        <w:b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Constellation Warrants: </w:t>
      </w:r>
      <w:r>
        <w:rPr>
          <w:rFonts w:ascii="Times New Roman;sans-serif" w:hAnsi="Times New Roman;sans-serif"/>
          <w:b w:val="false"/>
          <w:color w:val="000000"/>
          <w:sz w:val="22"/>
        </w:rPr>
        <w:t xml:space="preserve">The fair value of our Constellation Warrants uses various significant unobservable inputs and was determined by using the Black-Scholes-Merton Model.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Income Taxes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pStyle w:val="TextBody"/>
        <w:bidi w:val="0"/>
        <w:spacing w:lineRule="auto" w:line="288" w:before="200" w:after="283"/>
        <w:jc w:val="both"/>
        <w:rPr/>
      </w:pPr>
      <w:r>
        <w:rPr>
          <w:rFonts w:ascii="Times New Roman;sans-serif" w:hAnsi="Times New Roman;sans-serif"/>
          <w:b w:val="false"/>
          <w:color w:val="000000"/>
          <w:sz w:val="22"/>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r>
        <w:rPr>
          <w:color w:val="FF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Variable Interest Entities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judgement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relevantly insignificant direct and indirect investments into our products, the likelihood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reasonable change in our estimation and judgement would likely not result in a change in our conclusions to consolidate or not consolidate any VIEs to which we have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2"/>
        </w:rPr>
      </w:pPr>
      <w:r>
        <w:rPr>
          <w:rFonts w:ascii="Times New Roman;sans-serif" w:hAnsi="Times New Roman;sans-serif"/>
          <w:b/>
          <w:color w:val="000000"/>
          <w:sz w:val="22"/>
        </w:rPr>
        <w:t>Impact of Changes in Accounting on Recent and Future Trends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considered all newly issued accounting guidance that is applicable to its operations and the preparation of its unaudited condensed consolidated statements, including those it has not yet adopted. We believe that none of the changes to US GAAP that went into effect during the three months ended March 31, 2024, or that have been issued but that we have not yet adopted have substantively impacted our recent trends or are expected to substantively impact our future trends.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primary exposure to market risk is related to our role as wealth management advisor to our investment products and the sensitivity to movements in the market value of their investments, including the effect on management fees and investment income.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Market Risk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 changing the asset holdings, including increasing or decreasing the non-billable portion of their asset portfolios. Such changes will also impact our fees.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Credit Risk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party to agreements providing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Interest Rate Risk</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31, 2024, the Company had $187.5 million outstanding under our borrowing agreements, including $61.5 million outstanding on the Term Loan facility and $126.0 million outstanding on the Revolving Credit Facility:</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interest rate on our financing agreements fluctuates with changes in 3-month and 6-month SOFR, which at March 31, 2024 were 5.41% and 5.74%, respectively. The weighted average interest rate on outstanding borrowings as of March 31, 2023, was 9.48%.</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floating rate component of our financing agreements payable as of March 31, 2024, we estimate that a 100 basis point increase in interest rates would result in increased interest expense of approximately $1.9 million over the next 12 months.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Exchange Rate Risk</w:t>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monitor our exposure to exchange rate risks in the course of our regular operating activities, wherein we utilize payments received in foreign currencies to fulfill obligations in foreign currencies. When appropriate, we will use of derivative financial instruments to hedge the net foreign currency exposure from certain direct investments denominated in foreign currencies and the cash flow exposure from our foreign based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March 31, 2024. 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March 31, 2024, our disclosure controls and procedures were not effective due to material weaknesses in internal control over financial reporting, as further described below in Management’s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previously disclosed in Part II, Item 9 of our Annual Report,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but as of March 31, 2024 has not completed its efforts to design and implement a testing plan to determine the effectiveness of controls that support our financial statements and reporting. As a result, several specific material weaknesses in our internal control over financial reporting remain as of March 31, 2024, as discussed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is in the process of implementing a remediation plan for these material weaknesses, including, among other things, hiring additional accounting personnel, completing its efforts to design and implement process level and management review controls and to sufficiently document and implement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was no change in our internal control over financial reporting that occurred during the three months ended March 31, 2024, covered by this Quarterly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19 (Commitments and Contingencies) there are no material legal or regulatory proceedings currently pending or threatened against us.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12, 2024, pre-action letters of claim were received by AFM UK and ARE from solicitors acting for Home REIT and its directors. This relates to the historic management of Home REIT by certain legacy Alvarium entities. In the letters, Home REIT and its directors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actions or omissions of AHRA under the UK’s appointed representative regime. The pre-action letters do not provide details of the overall amounts being claimed from either AFM UK or ARE (whether jointly or severally), and it is not possible at this point in time for us to reliably assess what the quantum of such claims might be, or AFM UK’s and ARE’s potential exposure, though they may potentially be material to the Company. If any litigation or other action is commenced by Home REIT and/or its directors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and the trading price of our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We may face damage to our professional reputation and legal liability if our services are not regarded as satisfactory or for other reasons.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entities is now the subject of investigations by the UK FCA and, in the case of Home REIT, potential claims are being asserted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its current and former shareholders and, separately, by Home REIT and its directors. We no longer provide services to Home REIT and are in the process of transitioning the management of HLIF. Once this is completed the legacy Alvarium companies that provided these services will cease operating. Notwithstanding this, we or our subsidiaries may potentially suffer reputational damage from the allegations concerning the management of Home REIT or HLIF. Further, we may be subject to the risk of legal and regulatory liabilities or actions alleging breach of regulatory rules and/or principles, negligence, misconduct (including deceit), breach of fiduciary duty or breach of contract. </w:t>
      </w:r>
      <w:r>
        <w:rPr>
          <w:rFonts w:ascii="Times New Roman;sans-serif" w:hAnsi="Times New Roman;sans-serif"/>
          <w:b w:val="false"/>
          <w:color w:val="000000"/>
          <w:sz w:val="24"/>
        </w:rPr>
        <w:t xml:space="preserve">In particular, although the UK FCA’s investigations concerning the historic management of Home REIT and HLIF have only recently commenced and their outcomes cannot be known or anticipated as at the date of this Quarterly Report, any financial penalties or other adverse outcomes resulting from these investigations adversely affect our business, financial condition or results of operations. </w:t>
      </w:r>
      <w:r>
        <w:rPr>
          <w:rFonts w:ascii="Times New Roman;sans-serif" w:hAnsi="Times New Roman;sans-serif"/>
          <w:b w:val="false"/>
          <w:color w:val="000000"/>
          <w:sz w:val="22"/>
        </w:rPr>
        <w:t>Similarly, if any litigation or other action is commenced against AFM UK and/or ARE in connection with Home REIT, whilst it is not possible at this point in time for us to reliably assess the quantum of such claims, or AFM UK’s and ARE’s potential exposure, such claims may potentially be material to the Company and, although we would intend to defend ourselves in any such claims, an adverse outcome could adversely affect our business, financial condition or results of operations. These risks often may be difficult to assess or quantify and their existence and magnitude often remain unknown for substantial periods of time. We may incur significant legal expenses in defending litigation and responding to the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We may face damage to our professional reputation and legal liability if our services are not regarded as satisfactory or for other reasons.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entities is now the subject of investigations by the UK FCA and, in the case of Home REIT, potential claims are being asserted by its current and former shareholders and, separately, by Home REIT and its directors. We no longer provide services to Home REIT and are in the process of transitioning the management of HLIF. Once this is completed the legacy Alvarium companies that provided these services will cease operating. Notwithstanding this, we or our subsidiaries may potentially suffer reputational damage from the allegations concerning the management of Home REIT or HLIF. Further, we may be subject to the risk of legal and regulatory liabilities or actions alleging breach of regulatory rules and/or principles, negligence, misconduct (including deceit), breach of fiduciary duty or breach of contract. </w:t>
      </w:r>
      <w:r>
        <w:rPr>
          <w:rFonts w:ascii="Times New Roman;sans-serif" w:hAnsi="Times New Roman;sans-serif"/>
          <w:b w:val="false"/>
          <w:color w:val="000000"/>
          <w:sz w:val="24"/>
        </w:rPr>
        <w:t xml:space="preserve">In particular, although the UK FCA’s investigations concerning the historic management of Home REIT and HLIF have only recently commenced and their outcomes cannot be known or anticipated as at the date of this Quarterly Report, any financial penalties or other adverse outcomes resulting from these investigations may adversely affect our business, financial condition or results of operations. </w:t>
      </w:r>
      <w:r>
        <w:rPr>
          <w:rFonts w:ascii="Times New Roman;sans-serif" w:hAnsi="Times New Roman;sans-serif"/>
          <w:b w:val="false"/>
          <w:color w:val="000000"/>
          <w:sz w:val="22"/>
        </w:rPr>
        <w:t xml:space="preserve">Similarly, if any litigation or other action is commenced against AFM UK and/or ARE in connection with Home REIT, whilst it is not possible at this point in time for us to reliably assess the quantum of such claims, or AFM UK’s and ARE’s potential exposure, such claims may potentially be material to the Company and, although we would intend to defend ourselves in any such claims, an adverse outcome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could adversely affect our business, financial condition or results of operations. These risks often may be difficult to assess or quantify and their existence and magnitude often remain unknown for substantial periods of time. We may incur significant legal expenses in defending litigation and responding to the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231F20"/>
          <w:sz w:val="22"/>
        </w:rPr>
        <w:t>On March 27, 2024, the Company completed the sale to Constellation of 115,000 shares of a newly created class of preferred stock designated Series C Preferred Stock for a purchase price equal to $115.0 million</w:t>
      </w:r>
      <w:r>
        <w:rPr>
          <w:color w:val="231F20"/>
        </w:rPr>
        <w:t xml:space="preserve"> </w:t>
      </w:r>
      <w:r>
        <w:rPr>
          <w:rFonts w:ascii="Times New Roman;sans-serif" w:hAnsi="Times New Roman;sans-serif"/>
          <w:b w:val="false"/>
          <w:color w:val="231F20"/>
          <w:sz w:val="22"/>
        </w:rPr>
        <w:t>and issued to Constellation the Constellation Warrants to purchase 1,533,333 shares of the Company’s Class A Common Stock, in each case on terms consistent with the Constellation Investment Agreement, dated February 22, 2024 and previously disclosed on the Company’s Current Report on Form 8-K filed with the Securities and Exchange Commission on February 23, 2024.</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231F20"/>
          <w:sz w:val="22"/>
        </w:rPr>
      </w:pPr>
      <w:r>
        <w:rPr>
          <w:rFonts w:ascii="Times New Roman;sans-serif" w:hAnsi="Times New Roman;sans-serif"/>
          <w:b w:val="false"/>
          <w:color w:val="231F20"/>
          <w:sz w:val="22"/>
        </w:rPr>
        <w:t>On March 27, 2024, the Company completed the issuance of Constellation Warrants to purchase 1,533,333 shares of the Company’s Class A Common Stock at an exercise price of $7.40 per share. As of March 31, 2024, none of the Constellation Warrants have been exercised.</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231F20"/>
          <w:sz w:val="22"/>
        </w:rPr>
      </w:pPr>
      <w:r>
        <w:rPr>
          <w:rFonts w:ascii="Times New Roman;sans-serif" w:hAnsi="Times New Roman;sans-serif"/>
          <w:b w:val="false"/>
          <w:color w:val="231F20"/>
          <w:sz w:val="22"/>
        </w:rPr>
        <w:t>The securities sold to Constellation were issued without registration under the Securities Act in reliance upon the exemption provided under Section 4(a)(2) of the Securities Act in a transaction not involving any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3. Defaults Upon Senior Securities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lineRule="auto" w:line="28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None.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None.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During the quarter ended March 31, 2024,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p>
      <w:pPr>
        <w:pStyle w:val="TextBody"/>
        <w:bidi w:val="0"/>
        <w:spacing w:lineRule="auto" w:line="268" w:before="2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exhibits are filed or furnished herewith:</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84"/>
        <w:gridCol w:w="336"/>
        <w:gridCol w:w="339"/>
        <w:gridCol w:w="2799"/>
        <w:gridCol w:w="2616"/>
        <w:gridCol w:w="3731"/>
      </w:tblGrid>
      <w:tr>
        <w:trPr/>
        <w:tc>
          <w:tcPr>
            <w:tcW w:w="38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 Number</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w:t>
            </w:r>
          </w:p>
        </w:tc>
      </w:tr>
      <w:tr>
        <w:trPr/>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80"/>
                  <w:sz w:val="22"/>
                  <w:u w:val="single"/>
                </w:rPr>
                <w:t xml:space="preserve">Membership Interest Purchase Agreement by and among AlTi Global, Inc., AlTi Global Wealth Management Holdings Limited, East End Advisors, LLC, EEA Holding Company, LLC, and, solely for the limited purposes set forth therein, David Salomon, Richard Salomon, Peter Nadosy and Brian Clifford, dated April 1, 2024 (incorporated by reference to Exhibit </w:t>
              </w:r>
            </w:hyperlink>
            <w:hyperlink r:id="rId4">
              <w:r>
                <w:rPr>
                  <w:rStyle w:val="InternetLink"/>
                  <w:rFonts w:ascii="Times New Roman;sans-serif" w:hAnsi="Times New Roman;sans-serif"/>
                  <w:b w:val="false"/>
                  <w:color w:val="000080"/>
                  <w:sz w:val="22"/>
                  <w:u w:val="single"/>
                </w:rPr>
                <w:t>10</w:t>
              </w:r>
            </w:hyperlink>
            <w:hyperlink r:id="rId5">
              <w:r>
                <w:rPr>
                  <w:rStyle w:val="InternetLink"/>
                  <w:rFonts w:ascii="Times New Roman;sans-serif" w:hAnsi="Times New Roman;sans-serif"/>
                  <w:b w:val="false"/>
                  <w:color w:val="000080"/>
                  <w:sz w:val="22"/>
                  <w:u w:val="single"/>
                </w:rPr>
                <w:t>.1 to the Company’s Current Report on Form 8-K filed on April 1, 2024).</w:t>
              </w:r>
            </w:hyperlink>
            <w:hyperlink r:id="rId6">
              <w:r>
                <w:rPr>
                  <w:rStyle w:val="InternetLink"/>
                  <w:rFonts w:ascii="Times New Roman;sans-serif" w:hAnsi="Times New Roman;sans-serif"/>
                  <w:b w:val="false"/>
                  <w:color w:val="000080"/>
                  <w:sz w:val="22"/>
                  <w:u w:val="single"/>
                </w:rPr>
                <w:t xml:space="preserve"> </w:t>
              </w:r>
            </w:hyperlink>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ans-serif" w:hAnsi="Times New Roman;sans-serif"/>
                  <w:b w:val="false"/>
                  <w:color w:val="0000FF"/>
                  <w:sz w:val="22"/>
                  <w:u w:val="single"/>
                </w:rPr>
                <w:t>Certificate of Designation of Series C Cumulative Convertible Preferred Stock, dated March 27, 2024 (incorporated by reference to Exhibit 3.1 to the Company’s Current Report on Form 8-K filed on March 27, 2024).</w:t>
              </w:r>
            </w:hyperlink>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ans-serif" w:hAnsi="Times New Roman;sans-serif"/>
                  <w:b w:val="false"/>
                  <w:color w:val="0000FF"/>
                  <w:sz w:val="22"/>
                  <w:u w:val="single"/>
                </w:rPr>
                <w:t>Warrant to Purchase Class A Common Stock, dated March 27, 2024 (incorporated by reference to Exhibit 4.1 to the Company’s Current Report on Form 8-K filed on March 27, 2024).</w:t>
              </w:r>
            </w:hyperlink>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4x10xqexhibit311.htm">
              <w:r>
                <w:rPr>
                  <w:rStyle w:val="InternetLink"/>
                  <w:rFonts w:ascii="Times New Roman;sans-serif" w:hAnsi="Times New Roman;sans-serif"/>
                  <w:b w:val="false"/>
                  <w:color w:val="0000FF"/>
                  <w:sz w:val="22"/>
                  <w:u w:val="single"/>
                </w:rPr>
                <w:t>Certification of Principal Executive Officer Pursuant to Rules 13a-14(a) and 15d-14(a) under the Securities Exchange Act of 1934, as Adopted Pursuant to Section 302 of the Sarbanes-Oxley Act of 2002.</w:t>
              </w:r>
            </w:hyperlink>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4x10xqexhibit312.htm">
              <w:r>
                <w:rPr>
                  <w:rStyle w:val="InternetLink"/>
                  <w:rFonts w:ascii="Times New Roman;sans-serif" w:hAnsi="Times New Roman;sans-serif"/>
                  <w:b w:val="false"/>
                  <w:color w:val="0000FF"/>
                  <w:sz w:val="22"/>
                  <w:u w:val="single"/>
                </w:rPr>
                <w:t>Certification of Principal Financial Officer Pursuant to Rules 13a-14(a) and 15d-14(a) under the Securities Exchange Act of 1934, as Adopted Pursuant to Section 302 of the Sarbanes-Oxley Act of 2002.</w:t>
              </w:r>
            </w:hyperlink>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4x10xqexhibit321.htm">
              <w:r>
                <w:rPr>
                  <w:rStyle w:val="InternetLink"/>
                  <w:rFonts w:ascii="Times New Roman;sans-serif" w:hAnsi="Times New Roman;sans-serif"/>
                  <w:b w:val="false"/>
                  <w:color w:val="0000FF"/>
                  <w:sz w:val="22"/>
                  <w:u w:val="single"/>
                </w:rPr>
                <w:t>Certification of Principal Executive Officer Pursuant to 18 U.S.C. Section 1350, as Adopted Pursuant to Section 906 of the Sarbanes-Oxley Act of 2002.</w:t>
              </w:r>
            </w:hyperlink>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r>
        <w:trPr/>
        <w:tc>
          <w:tcPr>
            <w:tcW w:w="1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91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lti-033124x10xqexhibit322.htm">
              <w:r>
                <w:rPr>
                  <w:rStyle w:val="InternetLink"/>
                  <w:rFonts w:ascii="Times New Roman;sans-serif" w:hAnsi="Times New Roman;sans-serif"/>
                  <w:b w:val="false"/>
                  <w:color w:val="0000FF"/>
                  <w:sz w:val="22"/>
                  <w:u w:val="single"/>
                </w:rPr>
                <w:t>Certification of Principal Financial Officer Pursuant to 18 U.S.C. Section 1350, as Adopted Pursuant to Section 906 of the Sarbanes-Oxley Act of 2002.</w:t>
              </w:r>
            </w:hyperlink>
          </w:p>
        </w:tc>
      </w:tr>
      <w:tr>
        <w:trPr/>
        <w:tc>
          <w:tcPr>
            <w:tcW w:w="1059" w:type="dxa"/>
            <w:gridSpan w:val="3"/>
            <w:tcBorders/>
            <w:vAlign w:val="center"/>
          </w:tcPr>
          <w:p>
            <w:pPr>
              <w:pStyle w:val="TableContents"/>
              <w:bidi w:val="0"/>
              <w:spacing w:before="0" w:after="283"/>
              <w:jc w:val="left"/>
              <w:rPr>
                <w:sz w:val="4"/>
                <w:szCs w:val="4"/>
              </w:rPr>
            </w:pPr>
            <w:r>
              <w:rPr>
                <w:sz w:val="4"/>
                <w:szCs w:val="4"/>
              </w:rPr>
            </w:r>
          </w:p>
        </w:tc>
        <w:tc>
          <w:tcPr>
            <w:tcW w:w="91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68" w:before="3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requirements of the Securities Exchange Act of 1934, the registrant has duly caused this report to be signed on its behalf by the undersigned thereunto duly authorized. </w:t>
      </w:r>
    </w:p>
    <w:tbl>
      <w:tblPr>
        <w:tblW w:w="5580"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1034"/>
        <w:gridCol w:w="1034"/>
        <w:gridCol w:w="103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ALTI GLOBAL,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Tiedemann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Stephen Yarad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Stephen Yarad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(Principal Financial Officer and </w:t>
              <w:br/>
              <w:t>Principal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both"/>
        <w:rPr/>
      </w:pPr>
      <w:r>
        <w:rPr/>
      </w:r>
    </w:p>
    <w:p>
      <w:pPr>
        <w:pStyle w:val="TextBody"/>
        <w:bidi w:val="0"/>
        <w:spacing w:before="360" w:after="283"/>
        <w:jc w:val="both"/>
        <w:rPr/>
      </w:pPr>
      <w:r>
        <w:rPr/>
      </w:r>
    </w:p>
    <w:p>
      <w:pPr>
        <w:pStyle w:val="TextBody"/>
        <w:bidi w:val="0"/>
        <w:spacing w:before="3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EXECUTIVE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Michael Tiedemann,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May 10, 2024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Michael Tiedemann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31.2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OF CHIEF FINANCIAL OFFICER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PURSUANT TO RULES 13a-14(a) AND 15(d)-14(a) UNDER THE SECURITIES EXCHANGE ACT OF 1934,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SECTION 302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Stephen Yarad, certify that:</w:t>
      </w:r>
    </w:p>
    <w:tbl>
      <w:tblPr>
        <w:tblW w:w="6267" w:type="dxa"/>
        <w:jc w:val="left"/>
        <w:tblInd w:w="0" w:type="dxa"/>
        <w:tblLayout w:type="fixed"/>
        <w:tblCellMar>
          <w:top w:w="28" w:type="dxa"/>
          <w:left w:w="28" w:type="dxa"/>
          <w:bottom w:w="28" w:type="dxa"/>
          <w:right w:w="28" w:type="dxa"/>
        </w:tblCellMar>
      </w:tblPr>
      <w:tblGrid>
        <w:gridCol w:w="124"/>
        <w:gridCol w:w="109"/>
        <w:gridCol w:w="109"/>
        <w:gridCol w:w="1732"/>
        <w:gridCol w:w="1732"/>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AlTi Global,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 May 10, 2024 </w:t>
      </w:r>
    </w:p>
    <w:tbl>
      <w:tblPr>
        <w:tblW w:w="2759" w:type="dxa"/>
        <w:jc w:val="left"/>
        <w:tblInd w:w="0" w:type="dxa"/>
        <w:tblLayout w:type="fixed"/>
        <w:tblCellMar>
          <w:top w:w="28" w:type="dxa"/>
          <w:left w:w="28" w:type="dxa"/>
          <w:bottom w:w="28" w:type="dxa"/>
          <w:right w:w="28" w:type="dxa"/>
        </w:tblCellMar>
      </w:tblPr>
      <w:tblGrid>
        <w:gridCol w:w="880"/>
        <w:gridCol w:w="773"/>
        <w:gridCol w:w="1106"/>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Yarad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Yarad</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and </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32.1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2024, as filed with the Securities and Exchange Commission (the “Report”), I, Michael Tiedemann, Chief Executive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May 10, 2024 </w:t>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Tiedemann</w:t>
            </w:r>
          </w:p>
        </w:tc>
      </w:tr>
      <w:tr>
        <w:trPr/>
        <w:tc>
          <w:tcPr>
            <w:tcW w:w="24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Tiedemann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EXHIBIT 32.2 </w:t>
      </w:r>
    </w:p>
    <w:p>
      <w:pPr>
        <w:pStyle w:val="TextBody"/>
        <w:bidi w:val="0"/>
        <w:spacing w:lineRule="auto" w:line="240"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CERTIFICATION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18 U.S.C. SECTION 1350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ADOPTED PURSUANT TO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906 OF THE SARBANES-OXLEY ACT OF 2002 </w:t>
      </w:r>
    </w:p>
    <w:p>
      <w:pPr>
        <w:pStyle w:val="TextBody"/>
        <w:bidi w:val="0"/>
        <w:spacing w:lineRule="auto" w:line="240"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AlTi Global, Inc. (the “Company”) on Form 10-Q for the quarterly period ended March 31, 2024, as filed with the Securities and Exchange Commission (the “Report”), I, Stephen Yarad, Chief Financial Officer of the Company, certify, pursuant to 18 U.S.C. §1350, as added by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my knowledge, the information contained in the Report fairly presents, in all material respects, the financial condition and results of operations of the Company as of and for the period covered by the Report.</w:t>
            </w:r>
          </w:p>
        </w:tc>
      </w:tr>
    </w:tbl>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Dated: May 10, 2024 </w:t>
      </w:r>
    </w:p>
    <w:tbl>
      <w:tblPr>
        <w:tblW w:w="2759" w:type="dxa"/>
        <w:jc w:val="left"/>
        <w:tblInd w:w="0" w:type="dxa"/>
        <w:tblLayout w:type="fixed"/>
        <w:tblCellMar>
          <w:top w:w="28" w:type="dxa"/>
          <w:left w:w="28" w:type="dxa"/>
          <w:bottom w:w="28" w:type="dxa"/>
          <w:right w:w="28" w:type="dxa"/>
        </w:tblCellMar>
      </w:tblPr>
      <w:tblGrid>
        <w:gridCol w:w="880"/>
        <w:gridCol w:w="773"/>
        <w:gridCol w:w="1106"/>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Yarad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Yarad</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Financial Officer and </w:t>
            </w:r>
          </w:p>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38615/000162828024013885/alti-20240401.htm" TargetMode="External"/><Relationship Id="rId4" Type="http://schemas.openxmlformats.org/officeDocument/2006/relationships/hyperlink" Target="https://www.sec.gov/ix?doc=/Archives/edgar/data/0001838615/000162828024013885/alti-20240401.htm" TargetMode="External"/><Relationship Id="rId5" Type="http://schemas.openxmlformats.org/officeDocument/2006/relationships/hyperlink" Target="https://www.sec.gov/ix?doc=/Archives/edgar/data/0001838615/000162828024013885/alti-20240401.htm" TargetMode="External"/><Relationship Id="rId6" Type="http://schemas.openxmlformats.org/officeDocument/2006/relationships/hyperlink" Target="https://www.sec.gov/ix?doc=/Archives/edgar/data/0001838615/000162828024013885/alti-20240401.htm" TargetMode="External"/><Relationship Id="rId7" Type="http://schemas.openxmlformats.org/officeDocument/2006/relationships/hyperlink" Target="https://www.sec.gov/ix?doc=/Archives/edgar/data/0001838615/000162828024013316/alti-20240327.htm" TargetMode="External"/><Relationship Id="rId8" Type="http://schemas.openxmlformats.org/officeDocument/2006/relationships/hyperlink" Target="https://www.sec.gov/ix?doc=/Archives/edgar/data/0001838615/000162828024013316/alti-20240327.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48266</Words>
  <Characters>269338</Characters>
  <CharactersWithSpaces>315118</CharactersWithSpaces>
  <Paragraphs>4392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