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10"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39"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80"/>
          </w:cols>
          <w:pgMar w:left="300" w:top="206" w:right="319" w:bottom="1440" w:gutter="0" w:footer="0" w:header="0"/>
        </w:sectPr>
      </w:pPr>
    </w:p>
    <w:p>
      <w:pPr>
        <w:spacing w:after="0" w:line="18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94" w:lineRule="exact"/>
        <w:rPr>
          <w:sz w:val="24"/>
          <w:szCs w:val="24"/>
          <w:color w:val="auto"/>
        </w:rPr>
      </w:pPr>
    </w:p>
    <w:p>
      <w:pPr>
        <w:sectPr>
          <w:pgSz w:w="11900" w:h="16838" w:orient="portrait"/>
          <w:cols w:equalWidth="0" w:num="2">
            <w:col w:w="5960" w:space="560"/>
            <w:col w:w="4760"/>
          </w:cols>
          <w:pgMar w:left="300" w:top="20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001-40103</w:t>
      </w:r>
    </w:p>
    <w:p>
      <w:pPr>
        <w:spacing w:after="0" w:line="2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color w:val="auto"/>
        </w:rPr>
        <w:t>_________________________</w:t>
      </w:r>
    </w:p>
    <w:p>
      <w:pPr>
        <w:sectPr>
          <w:pgSz w:w="11900" w:h="16838" w:orient="portrait"/>
          <w:cols w:equalWidth="0" w:num="1">
            <w:col w:w="11280"/>
          </w:cols>
          <w:pgMar w:left="300" w:top="206" w:right="319" w:bottom="1440" w:gutter="0" w:footer="0" w:header="0"/>
          <w:type w:val="continuous"/>
        </w:sectPr>
      </w:pPr>
    </w:p>
    <w:p>
      <w:pPr>
        <w:spacing w:after="0" w:line="117" w:lineRule="exact"/>
        <w:rPr>
          <w:sz w:val="24"/>
          <w:szCs w:val="24"/>
          <w:color w:val="auto"/>
        </w:rPr>
      </w:pPr>
    </w:p>
    <w:tbl>
      <w:tblPr>
        <w:tblLayout w:type="fixed"/>
        <w:tblInd w:w="800" w:type="dxa"/>
        <w:tblCellMar>
          <w:top w:w="0" w:type="dxa"/>
          <w:left w:w="0" w:type="dxa"/>
          <w:bottom w:w="0" w:type="dxa"/>
          <w:right w:w="0" w:type="dxa"/>
        </w:tblCellMar>
      </w:tblPr>
      <w:tr>
        <w:trPr>
          <w:trHeight w:val="425"/>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34"/>
                <w:szCs w:val="34"/>
                <w:b w:val="1"/>
                <w:bCs w:val="1"/>
                <w:color w:val="auto"/>
                <w:w w:val="99"/>
              </w:rPr>
              <w:t>AlTi Global, Inc.</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8"/>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780" w:type="dxa"/>
            <w:vAlign w:val="bottom"/>
            <w:gridSpan w:val="3"/>
          </w:tcPr>
          <w:p>
            <w:pPr>
              <w:jc w:val="right"/>
              <w:ind w:right="1180"/>
              <w:spacing w:after="0"/>
              <w:rPr>
                <w:sz w:val="20"/>
                <w:szCs w:val="20"/>
                <w:color w:val="auto"/>
              </w:rPr>
            </w:pPr>
            <w:r>
              <w:rPr>
                <w:rFonts w:ascii="Times New Roman" w:cs="Times New Roman" w:eastAsia="Times New Roman" w:hAnsi="Times New Roman"/>
                <w:sz w:val="16"/>
                <w:szCs w:val="16"/>
                <w:color w:val="auto"/>
              </w:rPr>
              <w:t>_________________________</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3"/>
        </w:trPr>
        <w:tc>
          <w:tcPr>
            <w:tcW w:w="1120" w:type="dxa"/>
            <w:vAlign w:val="bottom"/>
          </w:tcPr>
          <w:p>
            <w:pPr>
              <w:spacing w:after="0"/>
              <w:rPr>
                <w:sz w:val="24"/>
                <w:szCs w:val="24"/>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92-1552220</w:t>
            </w:r>
          </w:p>
        </w:tc>
        <w:tc>
          <w:tcPr>
            <w:tcW w:w="220" w:type="dxa"/>
            <w:vAlign w:val="bottom"/>
          </w:tcPr>
          <w:p>
            <w:pPr>
              <w:spacing w:after="0"/>
              <w:rPr>
                <w:sz w:val="24"/>
                <w:szCs w:val="24"/>
                <w:color w:val="auto"/>
              </w:rPr>
            </w:pPr>
          </w:p>
        </w:tc>
      </w:tr>
      <w:tr>
        <w:trPr>
          <w:trHeight w:val="162"/>
        </w:trPr>
        <w:tc>
          <w:tcPr>
            <w:tcW w:w="1120" w:type="dxa"/>
            <w:vAlign w:val="bottom"/>
          </w:tcPr>
          <w:p>
            <w:pPr>
              <w:spacing w:after="0"/>
              <w:rPr>
                <w:sz w:val="14"/>
                <w:szCs w:val="14"/>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120" w:type="dxa"/>
            <w:vAlign w:val="bottom"/>
          </w:tcPr>
          <w:p>
            <w:pPr>
              <w:spacing w:after="0"/>
              <w:rPr>
                <w:sz w:val="12"/>
                <w:szCs w:val="12"/>
                <w:color w:val="auto"/>
              </w:rPr>
            </w:pPr>
          </w:p>
        </w:tc>
        <w:tc>
          <w:tcPr>
            <w:tcW w:w="2100" w:type="dxa"/>
            <w:vAlign w:val="bottom"/>
            <w:gridSpan w:val="2"/>
          </w:tcPr>
          <w:p>
            <w:pPr>
              <w:jc w:val="center"/>
              <w:ind w:right="24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268"/>
        </w:trPr>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22 Vanderbilt Avenue, 27</w:t>
            </w:r>
            <w:r>
              <w:rPr>
                <w:rFonts w:ascii="Times New Roman" w:cs="Times New Roman" w:eastAsia="Times New Roman" w:hAnsi="Times New Roman"/>
                <w:sz w:val="9"/>
                <w:szCs w:val="9"/>
                <w:b w:val="1"/>
                <w:bCs w:val="1"/>
                <w:color w:val="auto"/>
                <w:w w:val="99"/>
              </w:rPr>
              <w:t>th</w:t>
            </w:r>
            <w:r>
              <w:rPr>
                <w:rFonts w:ascii="Times New Roman" w:cs="Times New Roman" w:eastAsia="Times New Roman" w:hAnsi="Times New Roman"/>
                <w:sz w:val="14"/>
                <w:szCs w:val="14"/>
                <w:b w:val="1"/>
                <w:bCs w:val="1"/>
                <w:color w:val="auto"/>
                <w:w w:val="99"/>
              </w:rPr>
              <w:t xml:space="preserve"> Floor</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67"/>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New York, New York 10017</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8"/>
        </w:trPr>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4"/>
        </w:trPr>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780" w:type="dxa"/>
            <w:vAlign w:val="bottom"/>
            <w:gridSpan w:val="3"/>
          </w:tcPr>
          <w:p>
            <w:pPr>
              <w:jc w:val="right"/>
              <w:ind w:right="1720"/>
              <w:spacing w:after="0"/>
              <w:rPr>
                <w:sz w:val="20"/>
                <w:szCs w:val="20"/>
                <w:color w:val="auto"/>
              </w:rPr>
            </w:pPr>
            <w:r>
              <w:rPr>
                <w:rFonts w:ascii="Times New Roman" w:cs="Times New Roman" w:eastAsia="Times New Roman" w:hAnsi="Times New Roman"/>
                <w:sz w:val="14"/>
                <w:szCs w:val="14"/>
                <w:b w:val="1"/>
                <w:bCs w:val="1"/>
                <w:color w:val="auto"/>
              </w:rPr>
              <w:t>(212) 396-5900</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2"/>
        </w:trPr>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980" w:type="dxa"/>
            <w:vAlign w:val="bottom"/>
            <w:gridSpan w:val="4"/>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6"/>
        </w:trPr>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1880" w:type="dxa"/>
            <w:vAlign w:val="bottom"/>
            <w:gridSpan w:val="3"/>
          </w:tcPr>
          <w:p>
            <w:pPr>
              <w:jc w:val="center"/>
              <w:ind w:left="378"/>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25"/>
        </w:trPr>
        <w:tc>
          <w:tcPr>
            <w:tcW w:w="1120" w:type="dxa"/>
            <w:vAlign w:val="bottom"/>
          </w:tcPr>
          <w:p>
            <w:pPr>
              <w:spacing w:after="0"/>
              <w:rPr>
                <w:sz w:val="10"/>
                <w:szCs w:val="10"/>
                <w:color w:val="auto"/>
              </w:rPr>
            </w:pPr>
          </w:p>
        </w:tc>
        <w:tc>
          <w:tcPr>
            <w:tcW w:w="2100" w:type="dxa"/>
            <w:vAlign w:val="bottom"/>
            <w:gridSpan w:val="2"/>
          </w:tcPr>
          <w:p>
            <w:pPr>
              <w:jc w:val="center"/>
              <w:ind w:right="1129"/>
              <w:spacing w:after="0" w:line="105"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3780" w:type="dxa"/>
            <w:vAlign w:val="bottom"/>
            <w:gridSpan w:val="3"/>
          </w:tcPr>
          <w:p>
            <w:pPr>
              <w:jc w:val="center"/>
              <w:ind w:right="440"/>
              <w:spacing w:after="0" w:line="105" w:lineRule="exact"/>
              <w:rPr>
                <w:sz w:val="20"/>
                <w:szCs w:val="20"/>
                <w:color w:val="auto"/>
              </w:rPr>
            </w:pPr>
            <w:r>
              <w:rPr>
                <w:rFonts w:ascii="Times New Roman" w:cs="Times New Roman" w:eastAsia="Times New Roman" w:hAnsi="Times New Roman"/>
                <w:sz w:val="11"/>
                <w:szCs w:val="11"/>
                <w:b w:val="1"/>
                <w:bCs w:val="1"/>
                <w:color w:val="auto"/>
              </w:rPr>
              <w:t>Symbol (s)</w:t>
            </w:r>
          </w:p>
        </w:tc>
        <w:tc>
          <w:tcPr>
            <w:tcW w:w="660" w:type="dxa"/>
            <w:vAlign w:val="bottom"/>
          </w:tcPr>
          <w:p>
            <w:pPr>
              <w:spacing w:after="0"/>
              <w:rPr>
                <w:sz w:val="10"/>
                <w:szCs w:val="10"/>
                <w:color w:val="auto"/>
              </w:rPr>
            </w:pPr>
          </w:p>
        </w:tc>
        <w:tc>
          <w:tcPr>
            <w:tcW w:w="12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21"/>
        </w:trPr>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3"/>
        </w:trPr>
        <w:tc>
          <w:tcPr>
            <w:tcW w:w="3220" w:type="dxa"/>
            <w:vAlign w:val="bottom"/>
            <w:gridSpan w:val="3"/>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420" w:type="dxa"/>
            <w:vAlign w:val="bottom"/>
          </w:tcPr>
          <w:p>
            <w:pPr>
              <w:spacing w:after="0"/>
              <w:rPr>
                <w:sz w:val="20"/>
                <w:szCs w:val="20"/>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w w:val="99"/>
              </w:rPr>
              <w:t>ALTI</w:t>
            </w:r>
          </w:p>
        </w:tc>
        <w:tc>
          <w:tcPr>
            <w:tcW w:w="18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125" w:lineRule="exact"/>
        <w:rPr>
          <w:sz w:val="24"/>
          <w:szCs w:val="24"/>
          <w:color w:val="auto"/>
        </w:rPr>
      </w:pPr>
    </w:p>
    <w:p>
      <w:pPr>
        <w:spacing w:after="0"/>
        <w:tabs>
          <w:tab w:leader="none" w:pos="71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25" w:lineRule="exact"/>
        <w:rPr>
          <w:sz w:val="24"/>
          <w:szCs w:val="24"/>
          <w:color w:val="auto"/>
        </w:rPr>
      </w:pPr>
    </w:p>
    <w:p>
      <w:pPr>
        <w:spacing w:after="0"/>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60" w:type="dxa"/>
            <w:vAlign w:val="bottom"/>
          </w:tcPr>
          <w:p>
            <w:pPr>
              <w:jc w:val="center"/>
              <w:ind w:right="829"/>
              <w:spacing w:after="0"/>
              <w:rPr>
                <w:sz w:val="20"/>
                <w:szCs w:val="20"/>
                <w:color w:val="auto"/>
              </w:rPr>
            </w:pPr>
            <w:r>
              <w:rPr>
                <w:rFonts w:ascii="Times New Roman" w:cs="Times New Roman" w:eastAsia="Times New Roman" w:hAnsi="Times New Roman"/>
                <w:sz w:val="14"/>
                <w:szCs w:val="14"/>
                <w:color w:val="auto"/>
              </w:rPr>
              <w:t>Large accelerated filer</w:t>
            </w:r>
          </w:p>
        </w:tc>
        <w:tc>
          <w:tcPr>
            <w:tcW w:w="3000" w:type="dxa"/>
            <w:vAlign w:val="bottom"/>
          </w:tcPr>
          <w:p>
            <w:pPr>
              <w:ind w:left="900"/>
              <w:spacing w:after="0"/>
              <w:rPr>
                <w:sz w:val="20"/>
                <w:szCs w:val="20"/>
                <w:color w:val="auto"/>
              </w:rPr>
            </w:pPr>
            <w:r>
              <w:rPr>
                <w:rFonts w:ascii="Wingdings" w:cs="Wingdings" w:eastAsia="Wingdings" w:hAnsi="Wingdings"/>
                <w:sz w:val="14"/>
                <w:szCs w:val="14"/>
                <w:b w:val="1"/>
                <w:bCs w:val="1"/>
                <w:color w:val="auto"/>
              </w:rPr>
              <w:t>o</w:t>
            </w: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w w:val="94"/>
              </w:rPr>
              <w:t>x</w:t>
            </w:r>
          </w:p>
        </w:tc>
      </w:tr>
      <w:tr>
        <w:trPr>
          <w:trHeight w:val="212"/>
        </w:trPr>
        <w:tc>
          <w:tcPr>
            <w:tcW w:w="2160" w:type="dxa"/>
            <w:vAlign w:val="bottom"/>
          </w:tcPr>
          <w:p>
            <w:pPr>
              <w:jc w:val="center"/>
              <w:ind w:right="82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3000" w:type="dxa"/>
            <w:vAlign w:val="bottom"/>
          </w:tcPr>
          <w:p>
            <w:pPr>
              <w:ind w:left="900"/>
              <w:spacing w:after="0"/>
              <w:rPr>
                <w:sz w:val="20"/>
                <w:szCs w:val="20"/>
                <w:color w:val="auto"/>
              </w:rPr>
            </w:pPr>
            <w:r>
              <w:rPr>
                <w:rFonts w:ascii="Wingdings" w:cs="Wingdings" w:eastAsia="Wingdings" w:hAnsi="Wingdings"/>
                <w:sz w:val="14"/>
                <w:szCs w:val="14"/>
                <w:b w:val="1"/>
                <w:bCs w:val="1"/>
                <w:color w:val="auto"/>
              </w:rPr>
              <w:t>o</w:t>
            </w: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rPr>
              <w:t>o</w:t>
            </w:r>
          </w:p>
        </w:tc>
      </w:tr>
      <w:tr>
        <w:trPr>
          <w:trHeight w:val="212"/>
        </w:trPr>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0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2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Wingdings" w:cs="Wingdings" w:eastAsia="Wingdings" w:hAnsi="Wingdings"/>
          <w:sz w:val="14"/>
          <w:szCs w:val="14"/>
          <w:b w:val="1"/>
          <w:bCs w:val="1"/>
          <w:color w:val="auto"/>
        </w:rPr>
        <w:t>o</w:t>
      </w:r>
    </w:p>
    <w:p>
      <w:pPr>
        <w:spacing w:after="0" w:line="8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4"/>
          <w:szCs w:val="14"/>
          <w:b w:val="1"/>
          <w:bCs w:val="1"/>
          <w:color w:val="auto"/>
        </w:rPr>
        <w:t>x</w:t>
      </w:r>
    </w:p>
    <w:p>
      <w:pPr>
        <w:spacing w:after="0" w:line="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4"/>
          <w:szCs w:val="14"/>
          <w:b w:val="1"/>
          <w:bCs w:val="1"/>
          <w:color w:val="auto"/>
        </w:rPr>
        <w:t>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5"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on June 30, 2024, based on the closing price of $5.21 for shares of the registrant’s Class A Common Stock (as defined herein) as reported by the Nasdaq Capital Market, was approximately $453.7 million shares beneficially owned by each executive officer, director, and holder of more than 10% of shares have been excluded in that such persons may be deemed to be affiliates. This determination of affiliate status is not necessarily a conclusive determination for other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96,100,040 shares of Class A Common Stock and 46,138,876 shares of Class B Common Stock (as defined herein) as of March 14, 2025.</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relating to the Annual Meeting of Stockholders are incorporated by reference into Part III of this Annual Report on Form 10-K where indicated.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Definitive Proxy Statement will be filed with the Securities and Exchange Commission within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106680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60" w:type="dxa"/>
            <w:vAlign w:val="bottom"/>
            <w:gridSpan w:val="8"/>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40" w:type="dxa"/>
            <w:vAlign w:val="bottom"/>
          </w:tcPr>
          <w:p>
            <w:pPr>
              <w:spacing w:after="0"/>
              <w:rPr>
                <w:sz w:val="16"/>
                <w:szCs w:val="16"/>
                <w:color w:val="auto"/>
              </w:rPr>
            </w:pPr>
          </w:p>
        </w:tc>
      </w:tr>
      <w:tr>
        <w:trPr>
          <w:trHeight w:val="365"/>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91"/>
              </w:rPr>
              <w:t>PART I</w:t>
            </w:r>
          </w:p>
        </w:tc>
        <w:tc>
          <w:tcPr>
            <w:tcW w:w="18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8"/>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Business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1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Risk Factors</w:t>
            </w:r>
          </w:p>
        </w:tc>
        <w:tc>
          <w:tcPr>
            <w:tcW w:w="7460" w:type="dxa"/>
            <w:vAlign w:val="bottom"/>
            <w:gridSpan w:val="21"/>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1b.</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1c.</w:t>
            </w:r>
          </w:p>
        </w:tc>
        <w:tc>
          <w:tcPr>
            <w:tcW w:w="1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6480" w:type="dxa"/>
            <w:vAlign w:val="bottom"/>
            <w:gridSpan w:val="12"/>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380" w:type="dxa"/>
            <w:vAlign w:val="bottom"/>
            <w:gridSpan w:val="20"/>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1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7080" w:type="dxa"/>
            <w:vAlign w:val="bottom"/>
            <w:gridSpan w:val="17"/>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461"/>
        </w:trPr>
        <w:tc>
          <w:tcPr>
            <w:tcW w:w="12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89"/>
              </w:rPr>
              <w:t>PART II</w:t>
            </w:r>
          </w:p>
        </w:tc>
        <w:tc>
          <w:tcPr>
            <w:tcW w:w="1840" w:type="dxa"/>
            <w:vAlign w:val="bottom"/>
          </w:tcPr>
          <w:p>
            <w:pPr>
              <w:spacing w:after="0"/>
              <w:rPr>
                <w:sz w:val="24"/>
                <w:szCs w:val="24"/>
                <w:color w:val="auto"/>
              </w:rPr>
            </w:pPr>
          </w:p>
        </w:tc>
      </w:tr>
      <w:tr>
        <w:trPr>
          <w:trHeight w:val="198"/>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3"/>
              </w:rPr>
              <w:t>[Reserved]</w:t>
            </w:r>
          </w:p>
        </w:tc>
        <w:tc>
          <w:tcPr>
            <w:tcW w:w="6400" w:type="dxa"/>
            <w:vAlign w:val="bottom"/>
            <w:tcBorders>
              <w:top w:val="single" w:sz="8" w:color="0000FF"/>
            </w:tcBorders>
            <w:gridSpan w:val="21"/>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w:t>
            </w:r>
          </w:p>
        </w:tc>
        <w:tc>
          <w:tcPr>
            <w:tcW w:w="5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6"/>
              </w:rPr>
              <w:t>Management’s Discussion And Analysis Of Financial Condition And Results Of Operations</w:t>
            </w:r>
          </w:p>
        </w:tc>
        <w:tc>
          <w:tcPr>
            <w:tcW w:w="2500" w:type="dxa"/>
            <w:vAlign w:val="bottom"/>
            <w:gridSpan w:val="4"/>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7a.</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8.</w:t>
            </w:r>
          </w:p>
        </w:tc>
        <w:tc>
          <w:tcPr>
            <w:tcW w:w="29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6"/>
              </w:rPr>
              <w:t>Financial Statements And Supplementary Data</w:t>
            </w:r>
          </w:p>
        </w:tc>
        <w:tc>
          <w:tcPr>
            <w:tcW w:w="880" w:type="dxa"/>
            <w:vAlign w:val="bottom"/>
            <w:tcBorders>
              <w:top w:val="single" w:sz="8" w:color="0000FF"/>
            </w:tcBorders>
            <w:gridSpan w:val="2"/>
          </w:tcPr>
          <w:p>
            <w:pPr>
              <w:spacing w:after="0"/>
              <w:rPr>
                <w:sz w:val="18"/>
                <w:szCs w:val="18"/>
                <w:color w:val="auto"/>
              </w:rPr>
            </w:pPr>
          </w:p>
        </w:tc>
        <w:tc>
          <w:tcPr>
            <w:tcW w:w="4440" w:type="dxa"/>
            <w:vAlign w:val="bottom"/>
            <w:gridSpan w:val="7"/>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w:t>
            </w:r>
          </w:p>
        </w:tc>
        <w:tc>
          <w:tcPr>
            <w:tcW w:w="57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w w:val="96"/>
              </w:rPr>
              <w:t>Changes In And Disagreements With Accountants On Accounting And Financial Disclosure</w:t>
            </w:r>
          </w:p>
        </w:tc>
        <w:tc>
          <w:tcPr>
            <w:tcW w:w="2480" w:type="dxa"/>
            <w:vAlign w:val="bottom"/>
            <w:gridSpan w:val="3"/>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9a.</w:t>
            </w:r>
          </w:p>
        </w:tc>
        <w:tc>
          <w:tcPr>
            <w:tcW w:w="1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6"/>
              </w:rPr>
              <w:t>Controls And Procedures</w:t>
            </w:r>
          </w:p>
        </w:tc>
        <w:tc>
          <w:tcPr>
            <w:tcW w:w="6660" w:type="dxa"/>
            <w:vAlign w:val="bottom"/>
            <w:gridSpan w:val="13"/>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5"/>
              </w:rPr>
              <w:t>Other Information</w:t>
            </w:r>
          </w:p>
        </w:tc>
        <w:tc>
          <w:tcPr>
            <w:tcW w:w="7100" w:type="dxa"/>
            <w:vAlign w:val="bottom"/>
            <w:gridSpan w:val="18"/>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9c.</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461"/>
        </w:trPr>
        <w:tc>
          <w:tcPr>
            <w:tcW w:w="12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96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color w:val="auto"/>
                <w:w w:val="95"/>
              </w:rPr>
              <w:t>PART III</w:t>
            </w:r>
          </w:p>
        </w:tc>
        <w:tc>
          <w:tcPr>
            <w:tcW w:w="1840" w:type="dxa"/>
            <w:vAlign w:val="bottom"/>
          </w:tcPr>
          <w:p>
            <w:pPr>
              <w:spacing w:after="0"/>
              <w:rPr>
                <w:sz w:val="24"/>
                <w:szCs w:val="24"/>
                <w:color w:val="auto"/>
              </w:rPr>
            </w:pPr>
          </w:p>
        </w:tc>
      </w:tr>
      <w:tr>
        <w:trPr>
          <w:trHeight w:val="198"/>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10.</w:t>
            </w:r>
          </w:p>
        </w:tc>
        <w:tc>
          <w:tcPr>
            <w:tcW w:w="3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6"/>
              </w:rPr>
              <w:t>Directors, Executive Officers And Corporate Governance</w:t>
            </w:r>
          </w:p>
        </w:tc>
        <w:tc>
          <w:tcPr>
            <w:tcW w:w="4660" w:type="dxa"/>
            <w:vAlign w:val="bottom"/>
            <w:gridSpan w:val="8"/>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11.</w:t>
            </w:r>
          </w:p>
        </w:tc>
        <w:tc>
          <w:tcPr>
            <w:tcW w:w="15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5"/>
              </w:rPr>
              <w:t>Executive Compensation</w:t>
            </w:r>
          </w:p>
        </w:tc>
        <w:tc>
          <w:tcPr>
            <w:tcW w:w="6680" w:type="dxa"/>
            <w:vAlign w:val="bottom"/>
            <w:gridSpan w:val="14"/>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12.</w:t>
            </w:r>
          </w:p>
        </w:tc>
        <w:tc>
          <w:tcPr>
            <w:tcW w:w="64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w w:val="96"/>
              </w:rPr>
              <w:t>Security Ownership Of Certain Beneficial Owners And Management And Related Stockholder Matters</w:t>
            </w:r>
          </w:p>
        </w:tc>
        <w:tc>
          <w:tcPr>
            <w:tcW w:w="1820" w:type="dxa"/>
            <w:vAlign w:val="bottom"/>
            <w:gridSpan w:val="2"/>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13.</w:t>
            </w:r>
          </w:p>
        </w:tc>
        <w:tc>
          <w:tcPr>
            <w:tcW w:w="4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6"/>
              </w:rPr>
              <w:t>Certain Relationships And Related Transactions, And Director Independence</w:t>
            </w:r>
          </w:p>
        </w:tc>
        <w:tc>
          <w:tcPr>
            <w:tcW w:w="3440" w:type="dxa"/>
            <w:vAlign w:val="bottom"/>
            <w:gridSpan w:val="5"/>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14.</w:t>
            </w:r>
          </w:p>
        </w:tc>
        <w:tc>
          <w:tcPr>
            <w:tcW w:w="2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6"/>
              </w:rPr>
              <w:t>Principal Accountant Fees And Services</w:t>
            </w:r>
          </w:p>
        </w:tc>
        <w:tc>
          <w:tcPr>
            <w:tcW w:w="5720" w:type="dxa"/>
            <w:vAlign w:val="bottom"/>
            <w:gridSpan w:val="11"/>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15.</w:t>
            </w: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16.</w:t>
            </w:r>
          </w:p>
        </w:tc>
        <w:tc>
          <w:tcPr>
            <w:tcW w:w="13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5"/>
              </w:rPr>
              <w:t>Form 10-K Summary</w:t>
            </w:r>
          </w:p>
        </w:tc>
        <w:tc>
          <w:tcPr>
            <w:tcW w:w="1420" w:type="dxa"/>
            <w:vAlign w:val="bottom"/>
            <w:tcBorders>
              <w:top w:val="single" w:sz="8" w:color="0000FF"/>
            </w:tcBorders>
            <w:gridSpan w:val="6"/>
          </w:tcPr>
          <w:p>
            <w:pPr>
              <w:spacing w:after="0"/>
              <w:rPr>
                <w:sz w:val="18"/>
                <w:szCs w:val="18"/>
                <w:color w:val="auto"/>
              </w:rPr>
            </w:pPr>
          </w:p>
        </w:tc>
        <w:tc>
          <w:tcPr>
            <w:tcW w:w="5480" w:type="dxa"/>
            <w:vAlign w:val="bottom"/>
            <w:gridSpan w:val="10"/>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426"/>
        </w:trPr>
        <w:tc>
          <w:tcPr>
            <w:tcW w:w="1200" w:type="dxa"/>
            <w:vAlign w:val="bottom"/>
          </w:tcPr>
          <w:p>
            <w:pPr>
              <w:spacing w:after="0"/>
              <w:rPr>
                <w:sz w:val="24"/>
                <w:szCs w:val="24"/>
                <w:color w:val="auto"/>
              </w:rPr>
            </w:pP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747"/>
        </w:trPr>
        <w:tc>
          <w:tcPr>
            <w:tcW w:w="1200" w:type="dxa"/>
            <w:vAlign w:val="bottom"/>
          </w:tcPr>
          <w:p>
            <w:pPr>
              <w:spacing w:after="0"/>
              <w:rPr>
                <w:sz w:val="24"/>
                <w:szCs w:val="24"/>
                <w:color w:val="auto"/>
              </w:rPr>
            </w:pPr>
          </w:p>
        </w:tc>
        <w:tc>
          <w:tcPr>
            <w:tcW w:w="940" w:type="dxa"/>
            <w:vAlign w:val="bottom"/>
            <w:tcBorders>
              <w:top w:val="single" w:sz="8" w:color="0000FF"/>
            </w:tcBorders>
            <w:gridSpan w:val="6"/>
          </w:tcPr>
          <w:p>
            <w:pPr>
              <w:spacing w:after="0"/>
              <w:rPr>
                <w:sz w:val="24"/>
                <w:szCs w:val="24"/>
                <w:color w:val="auto"/>
              </w:rPr>
            </w:pPr>
          </w:p>
        </w:tc>
        <w:tc>
          <w:tcPr>
            <w:tcW w:w="3860" w:type="dxa"/>
            <w:vAlign w:val="bottom"/>
            <w:gridSpan w:val="14"/>
          </w:tcPr>
          <w:p>
            <w:pPr>
              <w:jc w:val="right"/>
              <w:ind w:right="242"/>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93"/>
        </w:trPr>
        <w:tc>
          <w:tcPr>
            <w:tcW w:w="12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Capitalized terms used herein but not otherwise defined herein shall have the respective meanings ascribed to them in the Amended and Restated Business Combination Agreement, a copy of which is filed as an exhibit to our Annual Report on Form 10-K for the year ended December 31, 2024 (“Annual Report”).</w:t>
      </w:r>
    </w:p>
    <w:p>
      <w:pPr>
        <w:spacing w:after="0" w:line="155"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“AFM UK” means Alvarium Fund Managers (UK) Limited, an English private limited company.</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“AHRA” means Alvarium Home REIT Advisors Limited, an English private limited company.</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“Allianz” means Allianz Strategic Investments S.à.r.l., a Luxembourg private limited liability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or “Successor” means AlTi Global, Inc., together with its consolidated subsidiaries.</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Global Topco” means AlTi Global Topco Limited, formerly known as Alvarium Topco, an Isle of Man entity which was established by Alvarium and owned by the Alvarium Shareholders.</w:t>
      </w:r>
    </w:p>
    <w:p>
      <w:pPr>
        <w:spacing w:after="0" w:line="14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means AlTi Asset Management Holdings 2 Limited, formerly known as Alvarium Investments Limited, an English private limited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Shareholders” means the shareholders of Alvarium.</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“ALWP” means AlTi Wealth Management (Singapore) Pte Limited.</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means AlTi RE Limited, formerly known as Alvarium RE Limited, an English private limited company.</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“AUA” means assets under advisement.</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means assets under management.</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“AWMS” means Alvarium Investment Managers (Suisse) SA.</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means the transactions contemplated by the Business Combination Agreement.</w:t>
      </w:r>
    </w:p>
    <w:p>
      <w:pPr>
        <w:spacing w:after="0" w:line="14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Agreement” means the Amended and Restated Business Combination Agreement, dated as of October 25, 2022, by and among Cartesian, Umbrella Merger Sub, TWMH, TIG GP, TIG MGMT, Alvarium and Umbrella.</w:t>
      </w:r>
    </w:p>
    <w:p>
      <w:pPr>
        <w:spacing w:after="0" w:line="175" w:lineRule="exact"/>
        <w:rPr>
          <w:rFonts w:ascii="Times New Roman" w:cs="Times New Roman" w:eastAsia="Times New Roman" w:hAnsi="Times New Roman"/>
          <w:sz w:val="16"/>
          <w:szCs w:val="16"/>
          <w:color w:val="auto"/>
        </w:rPr>
      </w:pPr>
    </w:p>
    <w:p>
      <w:pPr>
        <w:ind w:left="520" w:right="140" w:hanging="260"/>
        <w:spacing w:after="0" w:line="244" w:lineRule="auto"/>
        <w:tabs>
          <w:tab w:leader="none" w:pos="51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6"/>
          <w:szCs w:val="16"/>
          <w:color w:val="auto"/>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spacing w:after="0" w:line="112" w:lineRule="exact"/>
        <w:rPr>
          <w:rFonts w:ascii="Arial" w:cs="Arial" w:eastAsia="Arial" w:hAnsi="Arial"/>
          <w:sz w:val="17"/>
          <w:szCs w:val="17"/>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spacing w:after="0" w:line="11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means Cartesian Growth Corporation, a Cayman Islands exempted company, prior to the Business Combination.</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Act” means the Cayman Islands Companies Act (as revised) of the Cayman Islands, as the same may be amended from time to time.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 w:name="page5"/>
    <w:bookmarkEnd w:id="4"/>
    <w:p>
      <w:pPr>
        <w:ind w:left="260" w:hanging="260"/>
        <w:spacing w:after="0" w:line="273"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means the Class A Common Stock, par value $0.0001 per share, of the Company, including any shares of such Class A Common Stock issuable upon the exercise of any warrant or other right to acquire shares of such Class A Common Stock.</w:t>
      </w:r>
    </w:p>
    <w:p>
      <w:pPr>
        <w:spacing w:after="0" w:line="101"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Stock” means the Class B Common Stock, par value $0.0001 per share, of the Company, including any shares of such Class B Common Stock issuable upon the exercise of any warrant or other right to acquire shares of such Class B Common Stock.</w:t>
      </w:r>
    </w:p>
    <w:p>
      <w:pPr>
        <w:spacing w:after="0" w:line="133"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“Class B Paired Interest” means a Class B Unit together with a share of Class B Common Stock.</w:t>
      </w:r>
    </w:p>
    <w:p>
      <w:pPr>
        <w:spacing w:after="0" w:line="133" w:lineRule="exact"/>
        <w:rPr>
          <w:rFonts w:ascii="Arial" w:cs="Arial" w:eastAsia="Arial" w:hAnsi="Arial"/>
          <w:sz w:val="17"/>
          <w:szCs w:val="17"/>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means the limited liability company interests in Umbrella designated as Class B Common Units in the Umbrella LLC Agreement.</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means the closing of the Business Combination.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 means January 3, 2023, the date on which the Closing occurred.</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refers to shares of the Class A Common Stock and the Class B Common Stock, collectively.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“our,” “we” or “us” means, prior to the Business Combination, Cartesian, as the context suggests, and, following the Business Combination, AlTi.</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 of Financial Position” refers to the consolidated balance sheet of AlTi Global, Inc.</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 of Operations” refers to the consolidated income statement of AlTi Global, Inc.</w:t>
      </w:r>
    </w:p>
    <w:p>
      <w:pPr>
        <w:spacing w:after="0" w:line="18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“Constellation” means Constellation Wealth Capital, LLC.</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“DGCL” refers to the Delaware General Corporation Law, as amended.</w:t>
      </w:r>
    </w:p>
    <w:p>
      <w:pPr>
        <w:spacing w:after="0" w:line="19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“Dodd-Frank Act” means the Dodd-Frank Wall Street Reform and Consumer Protection Act.</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“dollars” or “$” refers to U.S. dollars.</w:t>
      </w:r>
    </w:p>
    <w:p>
      <w:pPr>
        <w:spacing w:after="0" w:line="144" w:lineRule="exact"/>
        <w:rPr>
          <w:rFonts w:ascii="Times New Roman" w:cs="Times New Roman" w:eastAsia="Times New Roman" w:hAnsi="Times New Roman"/>
          <w:sz w:val="16"/>
          <w:szCs w:val="16"/>
          <w:color w:val="auto"/>
        </w:rPr>
      </w:pPr>
    </w:p>
    <w:p>
      <w:pPr>
        <w:jc w:val="both"/>
        <w:ind w:left="260" w:hanging="260"/>
        <w:spacing w:after="0" w:line="252"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spacing w:after="0" w:line="160"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“Envoi” means Envoi, LLC.</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“ESG” means environmental, social and governance.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 means European Union.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Act” means the U.S. Securities Exchange Act of 1934, as amended.</w:t>
      </w:r>
    </w:p>
    <w:p>
      <w:pPr>
        <w:spacing w:after="0" w:line="144"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spacing w:after="0" w:line="59"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“FCPA” means the Foreign Corrupt Practices Act.</w:t>
      </w: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95" w:right="319" w:bottom="1440" w:gutter="0" w:footer="0" w:header="0"/>
        </w:sectPr>
      </w:pPr>
    </w:p>
    <w:bookmarkStart w:id="5" w:name="page6"/>
    <w:bookmarkEnd w:id="5"/>
    <w:p>
      <w:pPr>
        <w:ind w:left="100" w:hanging="100"/>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“FDIC” means the Federal Deposit Insurance Corporation.</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Reserve” means the Board of Governors of the Federal Reserve System.</w:t>
      </w:r>
    </w:p>
    <w:p>
      <w:pPr>
        <w:spacing w:after="0" w:line="219"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“FOS” means the European-based trust and private office service businesses, or European Family Office Services business.</w:t>
      </w:r>
    </w:p>
    <w:p>
      <w:pPr>
        <w:spacing w:after="0" w:line="197" w:lineRule="exact"/>
        <w:rPr>
          <w:rFonts w:ascii="Arial" w:cs="Arial" w:eastAsia="Arial" w:hAnsi="Arial"/>
          <w:sz w:val="17"/>
          <w:szCs w:val="17"/>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“HLIF” means “Home Long Income Fund”, a private fund regulated by the UK FCA.</w:t>
      </w:r>
    </w:p>
    <w:p>
      <w:pPr>
        <w:spacing w:after="0" w:line="154" w:lineRule="exact"/>
        <w:rPr>
          <w:rFonts w:ascii="Arial" w:cs="Arial" w:eastAsia="Arial" w:hAnsi="Arial"/>
          <w:sz w:val="17"/>
          <w:szCs w:val="17"/>
          <w:color w:val="auto"/>
        </w:rPr>
      </w:pPr>
    </w:p>
    <w:p>
      <w:pPr>
        <w:ind w:left="260" w:hanging="260"/>
        <w:spacing w:after="0" w:line="258" w:lineRule="auto"/>
        <w:tabs>
          <w:tab w:leader="none" w:pos="2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“HNWI” means high net worth individual, being an individual having investable assets of $1 million or more, excluding primary residence, collectibles, consumables, and consumer durables.</w:t>
      </w:r>
    </w:p>
    <w:p>
      <w:pPr>
        <w:spacing w:after="0" w:line="111" w:lineRule="exact"/>
        <w:rPr>
          <w:rFonts w:ascii="Times New Roman" w:cs="Times New Roman" w:eastAsia="Times New Roman" w:hAnsi="Times New Roman"/>
          <w:sz w:val="17"/>
          <w:szCs w:val="17"/>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“Holbein” means Holbein Partners, LLP.</w:t>
      </w:r>
    </w:p>
    <w:p>
      <w:pPr>
        <w:spacing w:after="0" w:line="20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“Home REIT” means “Home REIT plc”, a real estate investment trust listed on the London Stock Exchange.</w:t>
      </w:r>
    </w:p>
    <w:p>
      <w:pPr>
        <w:spacing w:after="0" w:line="133" w:lineRule="exact"/>
        <w:rPr>
          <w:rFonts w:ascii="Arial" w:cs="Arial" w:eastAsia="Arial" w:hAnsi="Arial"/>
          <w:sz w:val="17"/>
          <w:szCs w:val="17"/>
          <w:color w:val="auto"/>
        </w:rPr>
      </w:pPr>
    </w:p>
    <w:p>
      <w:pPr>
        <w:ind w:left="260" w:hanging="260"/>
        <w:spacing w:after="0" w:line="273"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Investing” means investment practices seeking to generate various levels of financial performance together with the generation of positive measurable environmental and social impacts.</w:t>
      </w:r>
    </w:p>
    <w:p>
      <w:pPr>
        <w:spacing w:after="0" w:line="101"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Reduction Act” means the Inflation Reduction Act of 2022.</w:t>
      </w:r>
    </w:p>
    <w:p>
      <w:pPr>
        <w:spacing w:after="0" w:line="19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“International Real Estate” means the segment that includes the Company’s public and private real estate, and co-investment business.</w:t>
      </w:r>
    </w:p>
    <w:p>
      <w:pPr>
        <w:spacing w:after="0" w:line="122" w:lineRule="exact"/>
        <w:rPr>
          <w:rFonts w:ascii="Times New Roman" w:cs="Times New Roman" w:eastAsia="Times New Roman" w:hAnsi="Times New Roman"/>
          <w:sz w:val="17"/>
          <w:szCs w:val="17"/>
          <w:color w:val="auto"/>
        </w:rPr>
      </w:pPr>
    </w:p>
    <w:p>
      <w:pPr>
        <w:ind w:left="100" w:hanging="100"/>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Company Act” means the Investment Company Act of 1940, as amended.</w:t>
      </w:r>
    </w:p>
    <w:p>
      <w:pPr>
        <w:spacing w:after="0" w:line="144" w:lineRule="exact"/>
        <w:rPr>
          <w:rFonts w:ascii="Times New Roman" w:cs="Times New Roman" w:eastAsia="Times New Roman" w:hAnsi="Times New Roman"/>
          <w:sz w:val="16"/>
          <w:szCs w:val="16"/>
          <w:color w:val="auto"/>
        </w:rPr>
      </w:pPr>
    </w:p>
    <w:p>
      <w:pPr>
        <w:ind w:left="100" w:hanging="100"/>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 means the London Interbank Offered Rate.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“Managed Funds” means mutual funds, exchange traded funds, hedge funds, private equity, real estate or other funds.</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means the Nasdaq Capital Market.</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means net asset value.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“OFAC” means the Office of Foreign Assets Control of the U.S. Department of the Treasury.</w:t>
      </w:r>
    </w:p>
    <w:p>
      <w:pPr>
        <w:spacing w:after="0" w:line="197" w:lineRule="exact"/>
        <w:rPr>
          <w:rFonts w:ascii="Times New Roman" w:cs="Times New Roman" w:eastAsia="Times New Roman" w:hAnsi="Times New Roman"/>
          <w:sz w:val="16"/>
          <w:szCs w:val="16"/>
          <w:color w:val="auto"/>
        </w:rPr>
      </w:pPr>
    </w:p>
    <w:p>
      <w:pPr>
        <w:ind w:left="260" w:right="440" w:hanging="260"/>
        <w:spacing w:after="0" w:line="259"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spacing w:after="0" w:line="112"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means the United States Securities and Exchange Commission.</w:t>
      </w:r>
    </w:p>
    <w:p>
      <w:pPr>
        <w:spacing w:after="0" w:line="20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“SHIA” means Social Housing Income Advisors Limited, an English private limited company.</w:t>
      </w:r>
    </w:p>
    <w:p>
      <w:pPr>
        <w:spacing w:after="0" w:line="122" w:lineRule="exact"/>
        <w:rPr>
          <w:rFonts w:ascii="Arial" w:cs="Arial" w:eastAsia="Arial" w:hAnsi="Arial"/>
          <w:sz w:val="17"/>
          <w:szCs w:val="17"/>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means CGC Sponsor LLC, a Cayman Islands limited liability company.</w:t>
      </w:r>
    </w:p>
    <w:p>
      <w:pPr>
        <w:spacing w:after="0" w:line="13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Companies” means, collectively, TWMH, TIG GP, TIG MGMT, and Alvarium.</w:t>
      </w:r>
    </w:p>
    <w:p>
      <w:pPr>
        <w:spacing w:after="0" w:line="144"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Receivable Agreement” or “TRA” means that certain Tax Receivable Agreement, dated as of January 3, 2023, by and among the Company and the TWMH Members, the TIG GP Members, and the TIG MGMT Members.</w:t>
      </w: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948" w:right="319" w:bottom="1440" w:gutter="0" w:footer="0" w:header="0"/>
        </w:sectPr>
      </w:pPr>
    </w:p>
    <w:bookmarkStart w:id="6" w:name="page7"/>
    <w:bookmarkEnd w:id="6"/>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means, collectively, the TIG Entities and their subsidiaries and their predecessor entities where applicable.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Entities” means, collectively, TIG GP and TIG MGMT and their predecessor entities where applicable.</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means TIG Trinity GP, LLC, a Delaware limited liability company.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Members” means the former members of TIG GP.</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means TIG Trinity Management, LLC, a Delaware limited liability company.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Members” means the former members of TIG MGMT.</w:t>
      </w:r>
    </w:p>
    <w:p>
      <w:pPr>
        <w:spacing w:after="0" w:line="197"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“TIH” means Tiedemann International Holdings, AG.</w:t>
      </w:r>
    </w:p>
    <w:p>
      <w:pPr>
        <w:spacing w:after="0" w:line="187" w:lineRule="exact"/>
        <w:rPr>
          <w:rFonts w:ascii="Times New Roman" w:cs="Times New Roman" w:eastAsia="Times New Roman" w:hAnsi="Times New Roman"/>
          <w:sz w:val="16"/>
          <w:szCs w:val="16"/>
          <w:color w:val="auto"/>
        </w:rPr>
      </w:pPr>
    </w:p>
    <w:p>
      <w:pPr>
        <w:ind w:left="260" w:right="160" w:hanging="260"/>
        <w:spacing w:after="0" w:line="273"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 Exchange” means the series of transactions in which certain holders of Class B Units and Class B Common Stock have exchanged, or may in the future exchange, a portion of such interests to the Company, in exchange for Class A Common Stock.</w:t>
      </w:r>
    </w:p>
    <w:p>
      <w:pPr>
        <w:spacing w:after="0" w:line="101" w:lineRule="exact"/>
        <w:rPr>
          <w:rFonts w:ascii="Times New Roman" w:cs="Times New Roman" w:eastAsia="Times New Roman" w:hAnsi="Times New Roman"/>
          <w:sz w:val="16"/>
          <w:szCs w:val="16"/>
          <w:color w:val="auto"/>
        </w:rPr>
      </w:pPr>
    </w:p>
    <w:p>
      <w:pPr>
        <w:ind w:left="260" w:hanging="260"/>
        <w:spacing w:after="0" w:line="259"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means, collectively, Tiedemann Wealth &amp; Capital Solutions Holdings, LLC, a Delaware limited liability company, and its subsidiaries, and their predecessor entities where applicable.</w:t>
      </w:r>
    </w:p>
    <w:p>
      <w:pPr>
        <w:spacing w:after="0" w:line="112"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Members” means the former members of TWMH.</w:t>
      </w:r>
    </w:p>
    <w:p>
      <w:pPr>
        <w:spacing w:after="0" w:line="144" w:lineRule="exact"/>
        <w:rPr>
          <w:rFonts w:ascii="Times New Roman" w:cs="Times New Roman" w:eastAsia="Times New Roman" w:hAnsi="Times New Roman"/>
          <w:sz w:val="16"/>
          <w:szCs w:val="16"/>
          <w:color w:val="auto"/>
        </w:rPr>
      </w:pPr>
    </w:p>
    <w:p>
      <w:pPr>
        <w:ind w:left="260" w:hanging="260"/>
        <w:spacing w:after="0" w:line="273"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“UHNW” means ultra high net worth individual, being an individual having investable assets of $30 million or more, excluding primary residence, collectibles, consumables, and consumer durables.</w:t>
      </w:r>
    </w:p>
    <w:p>
      <w:pPr>
        <w:spacing w:after="0" w:line="15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6"/>
          <w:szCs w:val="16"/>
          <w:color w:val="auto"/>
        </w:rPr>
        <w:t>“UK FCA” means the United Kingdom’s Financial Conduct Authority.</w:t>
      </w:r>
    </w:p>
    <w:p>
      <w:pPr>
        <w:spacing w:after="0" w:line="175" w:lineRule="exact"/>
        <w:rPr>
          <w:rFonts w:ascii="Arial" w:cs="Arial" w:eastAsia="Arial" w:hAnsi="Arial"/>
          <w:sz w:val="17"/>
          <w:szCs w:val="17"/>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means AlTi Global Capital, LLC (formerly known as Alvarium Tiedemann Capital, LLC), a Delaware limited liability company.</w:t>
      </w:r>
    </w:p>
    <w:p>
      <w:pPr>
        <w:spacing w:after="0" w:line="13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“Umbrella LLC Agreement” means the Fourth Amended and Restated Limited Liability Company Agreement of AlTi Global Capital, LLC, effective as of July 31, 2024.</w:t>
      </w:r>
    </w:p>
    <w:p>
      <w:pPr>
        <w:spacing w:after="0" w:line="167"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means Rook MS, LLC, a Delaware limited liability company.</w:t>
      </w:r>
    </w:p>
    <w:p>
      <w:pPr>
        <w:spacing w:after="0" w:line="14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means United States generally accepted accounting principles, consistently applied.</w:t>
      </w:r>
    </w:p>
    <w:p>
      <w:pPr>
        <w:spacing w:after="0" w:line="144" w:lineRule="exact"/>
        <w:rPr>
          <w:rFonts w:ascii="Times New Roman" w:cs="Times New Roman" w:eastAsia="Times New Roman" w:hAnsi="Times New Roman"/>
          <w:sz w:val="16"/>
          <w:szCs w:val="16"/>
          <w:color w:val="auto"/>
        </w:rPr>
      </w:pPr>
    </w:p>
    <w:p>
      <w:pPr>
        <w:jc w:val="both"/>
        <w:ind w:left="260" w:hanging="260"/>
        <w:spacing w:after="0" w:line="254" w:lineRule="auto"/>
        <w:tabs>
          <w:tab w:leader="none" w:pos="2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spacing w:after="0" w:line="179" w:lineRule="exact"/>
        <w:rPr>
          <w:rFonts w:ascii="Times New Roman" w:cs="Times New Roman" w:eastAsia="Times New Roman" w:hAnsi="Times New Roman"/>
          <w:sz w:val="16"/>
          <w:szCs w:val="16"/>
          <w:color w:val="auto"/>
        </w:rPr>
      </w:pPr>
    </w:p>
    <w:p>
      <w:pPr>
        <w:ind w:left="260" w:right="180" w:hanging="260"/>
        <w:spacing w:after="0" w:line="258" w:lineRule="auto"/>
        <w:tabs>
          <w:tab w:leader="none" w:pos="256" w:val="left"/>
        </w:tabs>
        <w:numPr>
          <w:ilvl w:val="0"/>
          <w:numId w:val="6"/>
        </w:numPr>
        <w:rPr>
          <w:rFonts w:ascii="Arial" w:cs="Arial" w:eastAsia="Arial" w:hAnsi="Arial"/>
          <w:sz w:val="17"/>
          <w:szCs w:val="17"/>
          <w:color w:val="auto"/>
        </w:rPr>
      </w:pPr>
      <w:r>
        <w:rPr>
          <w:rFonts w:ascii="Times New Roman" w:cs="Times New Roman" w:eastAsia="Times New Roman" w:hAnsi="Times New Roman"/>
          <w:sz w:val="16"/>
          <w:szCs w:val="16"/>
          <w:color w:val="auto"/>
        </w:rPr>
        <w:t>“Wealth &amp; Capital Solutions” means the segment that consists of the Company’s investment management and advisory services, trusts and administrative services, family office services, and the Company’s alternatives platform.</w:t>
      </w: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Annual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No statements herein, available on our website, or in any of the materials we file with the SEC constitute or should be viewed as constituting an offer to sell, or a solicitation of an offer to buy, securities in any jurisdiction.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This Annual Report and some of the information incorporated herein by reference includes forward-looking statements regarding, among other things, our plans, strategies and prospects, both business and financial. These statements are based on the beliefs and assumptions of our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“continues,” “estimates,” “expects,” “projects,” “forecasts,” “may,” “might,” “will,” “should,” “could,” “seeks,” “plans,” “scheduled,” “possible,” “potential,” “predict,” “project,” “anticipates,” “intends,” “aims,” “works,” “focuses,” “aspires,” “strives” or “sets out” or similar expressions.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Forward-looking statements are not guarantees of performance, and the absence of these words does not mean that a statement is not forward-looking. You should understand that the following important factors could affect our future results and could cause those results or other outcomes to differ materially from those expressed or implied in the forward-looking statements herein:</w:t>
      </w:r>
    </w:p>
    <w:p>
      <w:pPr>
        <w:spacing w:after="0" w:line="47" w:lineRule="exact"/>
        <w:rPr>
          <w:sz w:val="20"/>
          <w:szCs w:val="20"/>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projected financial information, growth rate, and market opportunity;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grow and manage growth profitably;</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financings and consummate investments in the future, if and when needed;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retaining or recruiting, or adapting to changes in, our officers, key employees, or directors;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our senior management and other highly qualified personnel;</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maintain profitability;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period over which we anticipate our existing cash and cash equivalents will be sufficient to fund our operating expenses and capital expenditure requirements;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protect against security breaches, ransomware attacks, and other disruptions to our information technology structure;</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increased scrutiny from our clients with respect to the societal and environmental impact of investments we make;</w:t>
      </w:r>
    </w:p>
    <w:p>
      <w:pPr>
        <w:spacing w:after="0" w:line="8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international trade law or policy, including tariffs and restrictions on foreign investment in the United States or U.S.-based businesses and financial institutions in other countries;</w:t>
      </w:r>
    </w:p>
    <w:p>
      <w:pPr>
        <w:spacing w:after="0" w:line="48"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other applicable laws and regulations, whether in the United States, United Kingdom or other foreign countries, and any anticipated or actual changes thereof, on us;</w:t>
      </w:r>
    </w:p>
    <w:p>
      <w:pPr>
        <w:spacing w:after="0" w:line="5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compete against other companies;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expenses, future revenue, capital requirements, and needs for additional financing;</w:t>
      </w:r>
    </w:p>
    <w:p>
      <w:pPr>
        <w:spacing w:after="0" w:line="9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changes or volatility, as well as the effect of economic downturns and political and market conditions beyond our control, including a reduction in consumer discretionary spending that could adversely affect our business, financial condition, results of operations and prospects;</w:t>
      </w:r>
    </w:p>
    <w:p>
      <w:pPr>
        <w:spacing w:after="0" w:line="3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our dependence on leverage by certain funds, underlying investment funds and portfolio companies and related volatility;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defaults by third-party investors;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9" w:name="page10"/>
    <w:bookmarkEnd w:id="9"/>
    <w:p>
      <w:pPr>
        <w:ind w:left="520" w:hanging="260"/>
        <w:spacing w:after="0" w:line="273" w:lineRule="auto"/>
        <w:tabs>
          <w:tab w:leader="none" w:pos="51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any failure to comply with investment guidelines of our clients, failure or circumvention of our controls and procedures, or any insufficiencies in the due diligence process that we undertake in connection with investments;</w:t>
      </w:r>
    </w:p>
    <w:p>
      <w:pPr>
        <w:spacing w:after="0" w:line="3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termination or non-renewal of our investment advisory contracts;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future pandemics on the foregoing;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entitled “Risk Factors.”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foregoing list of factors is not exhaustive. You should carefully consider the foregoing factors and the other risks and uncertainties described in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of the other documents we file from time to time with the SEC. There can be no assurance that future developments affecting us will be those that we have anticipated.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 INTRODUCTION TO ALTI</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AlTi is a leading independent global wealth manager providing entrepreneurs, multi-generational families, institutions, and emerging next-generation leaders with fiduciary capabilities as well as alternative investment strategies and advisory services. AlTi’s comprehensive offering is underscored by a commitment to impact or values-aligned investing. We manage or advise approximately $75.7 billion in combined assets as of December 31, 2024. Our business is organized into two operating segments - Wealth &amp; Capital Solutions and International Real Estate:</w:t>
      </w:r>
    </w:p>
    <w:p>
      <w:pPr>
        <w:spacing w:after="0" w:line="176" w:lineRule="exact"/>
        <w:rPr>
          <w:sz w:val="20"/>
          <w:szCs w:val="20"/>
          <w:color w:val="auto"/>
        </w:rPr>
      </w:pPr>
    </w:p>
    <w:p>
      <w:pPr>
        <w:jc w:val="both"/>
        <w:ind w:left="520" w:hanging="260"/>
        <w:spacing w:after="0" w:line="235" w:lineRule="auto"/>
        <w:tabs>
          <w:tab w:leader="none" w:pos="5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Wealth &amp; Capital Solutions segment, we provide holistic solutions for our wealth management and Outsourced Chief Investment Officer (“OCIO”) clients through a comprehensive array of wealth management services, including discretionary investment management services, non-discretionary investment advisory services, trust services, administration services, and family office services. The segment also reflects the results of our internally managed event-driven strategy and our stakes in three externally managed alternative investment strategies;</w:t>
      </w:r>
    </w:p>
    <w:p>
      <w:pPr>
        <w:spacing w:after="0" w:line="6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International Real Estate segment, we assist our investors with real estate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current segment composition was introduced as of the third quarter ended September 30, 2024, following the completion of a strategic review of certain businesses within the historically defined Strategic Alternatives segment. Following this strategic review, and consistent with management’s overall view of the core business, it was determined that the businesses reflected in the International Real Estate segment are not additive to our long-term strategy. Several strategic options are currently under consideration, and our objective is to finalize a course of action in the near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a global business, with approximately 430 professionals operating in 19 cities in 8 countries across three continents as of December 31, 2024.</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strategy seeks to enhance our organic growth through acquisitions and integrations of other wealth and investment management businesses in both our existing and new markets. We believe that we are well positioned to capitalize on global market trends and dynamics that we see facing our world as well as the industry, clients, investors, and businesses we serve.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&amp; Capital Solutions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4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Results generated by our Wealth &amp; Capital Solutions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ultra high-net-worth individuals, families, single-family offices, foundations, and endowments globally, while Alternatives Platform clients are typically institutional. Investment management or advisory fees, incentive fees, and distributions from investments are the primary sources of revenue in our Wealth &amp; Capital Solutions segment. Management fees are generally calculated based on a percentage of the value of billable AUM or AUA (as applicable), while incentive fees are driven by the underlying performance of managed portfolios. As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of December 31, 2024 and December 31, 2023, this segment had $67.3 billion and $58.7 billion, respectively, in AUA.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Management and Advisory Services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As of December 31, 2024, the average allocation of client portfolios to alternatives was approximately 27%. In building portfolios, we also consider the need to access funds for unexpected expenses, thereby seeking to avoid forced selling of assets at inopportune times, and for clients in certain jurisdictions, such as the U.S., we are focused on understanding tax considerations and optimizing for after tax returns. In addition, we offer robust impact investing services that can be delivered across a broad range of asset classes and with investors from all asset levels.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With regard to the unique opportunities that we offer access to, we have established a platform through which we are able to provide clients of our wealth management services access to investments in strategies and asset classes to which they would otherwise likely not be able to gain exposure (for example, because of very high minimum investment thresholds in the underlying funds). We operate a number of such vehicles focused on vintage private equity, credit, real estate, active global managers and hedge fund strategies. The vehicles, by way of example, invest in either a single underlying private equity fund or a portfolio of private equity or other alternative assets funds, in each case, which are managed by access constrained managers we believe, based upon our thorough manager selection processes, will deliver strong risk adjusted performance, in line with their strategy, for our clients. We intend to launch further vintages of such private market vehicles over time to enable our investment management and advisory clients to include an allocation to these alternative funds in their portfolios on a running basis. These private strategies are expected to include traditional as well as innovative and impact investing offerings. In 2024, we welcomed Allianz and Constellation as strategic partners. See further discussion below under “Our History and Presence to Date” regarding these partnerships.</w:t>
      </w:r>
    </w:p>
    <w:p>
      <w:pPr>
        <w:spacing w:after="0" w:line="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independence of our investment management and advisory services is important to us and our wealth management clients. By independent, we mean that our investment management and advisory services operate independently of any managers or investment product manufacturers (including our own) to which we may allocate or recommend allocating capital. Our clients may opt in to be informed of investment opportunities we are working on in our other business lines, (and some choose to do so). In all cases, each client’s individual objectives and expectations are our primary concern, and we employ an open architecture approach, whereby we seek to find the best investment solutions for our clients in the marketplace. More specifically,</w:t>
      </w:r>
    </w:p>
    <w:p>
      <w:pPr>
        <w:spacing w:after="0" w:line="68"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receive undisclosed forms of compensation;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our investment decisions and recommendations are made with each client’s individual best interests in mind.</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provide clients with performance reports, detailing the clients’ portfolio performance and comparing such performance to relevant benchmarks or indices. If requested by a client, the reporting can include information encompassing assets that are not in the portfolio managed by AlTi to give a total consolidated view. In addition to financial performance, we are also able to discuss a client’s impact performance for those interested in tracking impact specific metrics, in addition to their financial goals. We choose to use third-party software for record-keeping, performance calculation, and reporting, using Addepar’s SaaS platform, and we prepare performance reports by using data provided by custodians, investment managers, and independent pricing services. We then interpret and analyze how portfolio performance aligns with clients’ financial, non-financial and, where relevant, impact goals and values.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color w:val="auto"/>
        </w:rPr>
        <w:t>Trust Services</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trust services that we provide within our U.S. wealth service offering aim to ensure our clients’ wealth is preserved, protected, and distributed as intended. As of December 31, 2024,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family office services are tailored outsourced family office solutions and administrative services which we provide primarily to our larger clients. Our family office services cover:</w:t>
      </w:r>
    </w:p>
    <w:p>
      <w:pPr>
        <w:spacing w:after="0" w:line="17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bookkeeping and back office services;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private foundation management and grant making;</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oversight of trust administration;</w:t>
      </w:r>
    </w:p>
    <w:p>
      <w:pPr>
        <w:spacing w:after="0" w:line="15"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financial tracking and reporting;</w:t>
      </w:r>
    </w:p>
    <w:p>
      <w:pPr>
        <w:spacing w:after="0" w:line="10"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cash flow management &amp; bill pay; and</w:t>
      </w:r>
    </w:p>
    <w:p>
      <w:pPr>
        <w:spacing w:after="0" w:line="15"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6"/>
          <w:szCs w:val="16"/>
          <w:color w:val="auto"/>
        </w:rPr>
        <w:t>other financial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offer clients estate and wealth planning, family governance and education, and philanthropic and strategic services.</w:t>
      </w:r>
    </w:p>
    <w:p>
      <w:pPr>
        <w:spacing w:after="0" w:line="1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For part of 2024, the Company also had a European trust and private office services business which was deemed non-strategic to our business and was sold on May 8, 2024. See Note 3 (Business Combinations and Divestitures) to our consolidated financial statements included in this Annual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alternatives platform assists money managers in building their fund management businesses. We have one internally managed fund and stakes in three externally-managed funds. Our internally managed fund, TIG Arbitrage strategy, is an event-driven fund which has $1.7 billion of AUM as of December 31, 2024. It is managed by our subsidiary TIG Advisors, LLC, an SEC-registered investment advisor. In addition, we have made strategic investments with External Strategic Managers, who manage approximately $5.1 billion of AUM in the aggregate as of December 31, 2024.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Internally Managed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Event-Driven Global Merger Arbitrage</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TIG Arbitrage strategy is our event-driven strategy based in New York. This strategy, which has approximately $1.7 billion of AUM as of December 31, 2024, focuses on 0-to-30-day events within the merger process. The investment team employs deep research on each situation in the portfolio with a focus on complex, hostile, up-for-sale situations where our primary research work can drive uncorrelated alpha. Our research and investment process is focused on hard catalyst events and is not dependent on deal flow.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Externally Managed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Romspen—Real Estate Bridge Lending Strategy</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manager is based in Toronto and focuses on complex construction, term, and pre-development bridge loans throughout North America. The strategy has approximately $2.0 billion of AUA as of December 31, 2024. Their experience with mortgages dates back to the 1950s when the firm operated as a real estate law firm and entered the mortgage lending business in the 1960s. The manager converted its individual mortgage syndication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13" w:name="page14"/>
    <w:bookmarkEnd w:id="13"/>
    <w:p>
      <w:pPr>
        <w:ind w:right="1460"/>
        <w:spacing w:after="0" w:line="394" w:lineRule="auto"/>
        <w:rPr>
          <w:sz w:val="20"/>
          <w:szCs w:val="20"/>
          <w:color w:val="auto"/>
        </w:rPr>
      </w:pPr>
      <w:r>
        <w:rPr>
          <w:rFonts w:ascii="Times New Roman" w:cs="Times New Roman" w:eastAsia="Times New Roman" w:hAnsi="Times New Roman"/>
          <w:sz w:val="16"/>
          <w:szCs w:val="16"/>
          <w:color w:val="auto"/>
        </w:rPr>
        <w:t xml:space="preserve">business to a commingled fund in early 2006. The strategy’s diversified portfolio primarily consists of first lien mortgages with little to no structural leverage. </w:t>
      </w:r>
      <w:r>
        <w:rPr>
          <w:rFonts w:ascii="Times New Roman" w:cs="Times New Roman" w:eastAsia="Times New Roman" w:hAnsi="Times New Roman"/>
          <w:sz w:val="16"/>
          <w:szCs w:val="16"/>
          <w:u w:val="single" w:color="auto"/>
          <w:color w:val="auto"/>
        </w:rPr>
        <w:t>Zebedee—European Equities (External Strategic Manager)</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manager focused on European equities is based in London. The strategy has approximately $1.8 billion of AUA as of December 31, 2024. Founded in 2001, the manager trades the portfolio actively with absolute return-oriented focus on financials, cyclicals, and mining and minerals. The strategy is market agnostic and runs with a variable net exposure, equally comfortable net long or net short.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Arkkan—Asian Credit and Special Situations (External Strategic Manager)</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This manager has operated an Asia credit and special situations strategy based in Hong Kong since 2013. The strategy has approximately $1.3 billion of AUA as of December 31, 2024. They have more than 25 years of experience investing in performing, stressed, and distressed bonds and loans throughout the Asia Pacific region. We believe its on-the-ground expertise and deep local network makes them well-positioned to capitalize on an under-researched and inefficient market with limited competition and attractive levels of stressed and distressed activity.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Ancillary Fund Management Services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offer both our manager and the External Strategic Managers in which we have made strategic investments solutions to enhance their growth. This includes the sales and marketing services set out below.</w:t>
      </w:r>
    </w:p>
    <w:p>
      <w:pPr>
        <w:spacing w:after="0" w:line="165"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Sales and Marketing:</w:t>
      </w:r>
    </w:p>
    <w:p>
      <w:pPr>
        <w:spacing w:after="0" w:line="13"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centralized marketing;</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strategic positioning;</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product development;</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sales planning and execution;</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investor relations;</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materials oversight;</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branding; and</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6"/>
          <w:szCs w:val="16"/>
          <w:color w:val="auto"/>
        </w:rPr>
        <w:t>sales channel expertise covering North America, Europe, Middle East, Asia Pacific and Latin America.</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2024, our services also included back and middle office solutions for the funds. These services were spun out on November 15, 2024 under the name Altaira Strategic Partners, which continues to provide services to the TIG Arbitrage strategy, in addition to other funds.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Real Estate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International Real Estate segment includes our Real Estate Co-Investment and Real Estate Fund Management businesses. As of December 31, 2024, our AUM/AUA in this segment was $8.4 billion.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Consistent with management’s overall view of the core business, and following a strategic review conducted in the third quarter of 2024, it was determined that the businesses</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reflected in the International Real Estate segment are not additive to our long-term strategy. Several strategic options are currently under consideration, and our objective is to finalize a course of action in the near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color w:val="auto"/>
        </w:rPr>
        <w:t>Real Estate Fund Management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Prior to the first quarter of 2024, our real estate fund management business managed two funds based in the United Kingdom, LXi and HLIF, a private fund. As described further below, during 2024 we exited the management of LXi.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Home Long Income Fund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Home Long Income Fund is an English open-ended investment company launched in October 2018. Its investment objective is to deliver secure inflation-protected income and capital growth by investing in a portfolio of UK homeless shelters. HLIF is advised by SHIA and AFM UK acts as its alternative investment fund manager. Both SHIA and AFM UK are wholly owned subsidiaries of the Company. As of December 31, 2024, HLIF had assets under management of approximately $0.3 billion. We are in discussions with a third-party manager to take over the management of HLIF and AFM UK’s and SHIA’s services to HLIF will terminate if the transition completes.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LXi REIT plc</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LXi is an English real estate investment trust company, launched in February 2017, whose shares are traded on the premium segment of the London Stock Exchange’s Main Market. LXi was advised by LRA, and its investment objective is to deliver inflation-protected income and capital growth over the medium-term for its shareholders through investing in a diversified portfolio of UK property that benefits from long-term index-linked leases with institutional-grade tenants.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January 9, 2024, AlTi RE Public Markets Limited entered into heads of terms to sell 100% of the equity of LXi REIT Advisors Limited (“LRA”), the advisor to the publicly-traded fund LXi, to LondonMetric Property Plc (“LondonMetric”). This disposal was completed on March 6, 2024. See Note 3 (Business Combinations and Divestitures) to our consolidated financial statements included in this Annual Report for further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STREAMS</w:t>
      </w:r>
    </w:p>
    <w:p>
      <w:pPr>
        <w:spacing w:after="0" w:line="1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comprehensive range of services generates a diverse array of revenue streams. These revenue streams fall broadly into four categories: (i) recurring management, advisory, trustee, or administration fees; (ii) performance or incentive fees; (iii) distributions from investments and (iv) other income or fees:</w:t>
      </w:r>
    </w:p>
    <w:p>
      <w:pPr>
        <w:spacing w:after="0" w:line="80" w:lineRule="exact"/>
        <w:rPr>
          <w:sz w:val="20"/>
          <w:szCs w:val="20"/>
          <w:color w:val="auto"/>
        </w:rPr>
      </w:pPr>
    </w:p>
    <w:p>
      <w:pPr>
        <w:jc w:val="both"/>
        <w:ind w:left="520" w:hanging="260"/>
        <w:spacing w:after="0" w:line="261" w:lineRule="auto"/>
        <w:tabs>
          <w:tab w:leader="none" w:pos="51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advisory, trustee, and administration fees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w:t>
      </w:r>
    </w:p>
    <w:p>
      <w:pPr>
        <w:spacing w:after="0" w:line="89" w:lineRule="exact"/>
        <w:rPr>
          <w:rFonts w:ascii="Times New Roman" w:cs="Times New Roman" w:eastAsia="Times New Roman" w:hAnsi="Times New Roman"/>
          <w:sz w:val="16"/>
          <w:szCs w:val="16"/>
          <w:color w:val="auto"/>
        </w:rPr>
      </w:pPr>
    </w:p>
    <w:p>
      <w:pPr>
        <w:jc w:val="both"/>
        <w:ind w:left="520" w:hanging="260"/>
        <w:spacing w:after="0" w:line="252" w:lineRule="auto"/>
        <w:tabs>
          <w:tab w:leader="none" w:pos="51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or performance fees are comprised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129" w:lineRule="exact"/>
        <w:rPr>
          <w:rFonts w:ascii="Times New Roman" w:cs="Times New Roman" w:eastAsia="Times New Roman" w:hAnsi="Times New Roman"/>
          <w:sz w:val="16"/>
          <w:szCs w:val="16"/>
          <w:color w:val="auto"/>
        </w:rPr>
      </w:pPr>
    </w:p>
    <w:p>
      <w:pPr>
        <w:jc w:val="both"/>
        <w:ind w:left="520" w:hanging="260"/>
        <w:spacing w:after="0" w:line="284" w:lineRule="auto"/>
        <w:tabs>
          <w:tab w:leader="none" w:pos="51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Distributions from investments are generated from the equity interests we have in three external managers. Distributions from each external manager are recorded upon receipt of the distribution. These distributions are generated through our equity interest in the external manager’s management fees and incentive fees. The management fee component of the distributions is recurring in nature, while the incentive portion, which is performance based, is more susceptible to impact from exogenous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15" w:name="page16"/>
    <w:bookmarkEnd w:id="15"/>
    <w:p>
      <w:pPr>
        <w:ind w:left="520" w:hanging="260"/>
        <w:spacing w:after="0" w:line="273" w:lineRule="auto"/>
        <w:tabs>
          <w:tab w:leader="none" w:pos="51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or fees included transaction fees from businesses we have exited such as strategic advisory, corporate advisory, brokerage, and placement agency services. Transaction fees are generally non-recurring in nature, are typically commission based, and are payable on the successful completion of a transaction.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&amp; Capital Solutions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Investment management or advisory fees are the primary source of revenue in our Wealth &amp; Capital Solutions segment. 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spacing w:after="0" w:line="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w:t>
      </w:r>
    </w:p>
    <w:p>
      <w:pPr>
        <w:jc w:val="both"/>
        <w:spacing w:after="0" w:line="224" w:lineRule="auto"/>
        <w:rPr>
          <w:sz w:val="20"/>
          <w:szCs w:val="20"/>
          <w:color w:val="auto"/>
        </w:rPr>
      </w:pPr>
      <w:r>
        <w:rPr>
          <w:rFonts w:ascii="Times New Roman" w:cs="Times New Roman" w:eastAsia="Times New Roman" w:hAnsi="Times New Roman"/>
          <w:sz w:val="16"/>
          <w:szCs w:val="16"/>
          <w:color w:val="auto"/>
        </w:rPr>
        <w:t>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AUA consists of all assets we are responsible for overseeing and reporting on, but we do not necessarily charge fees on all such assets. Billable assets represent the portion of our</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assets on which we charge fees. Non-billable 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w:t>
      </w:r>
    </w:p>
    <w:p>
      <w:pPr>
        <w:spacing w:after="0"/>
        <w:rPr>
          <w:sz w:val="20"/>
          <w:szCs w:val="20"/>
          <w:color w:val="auto"/>
        </w:rPr>
      </w:pPr>
      <w:r>
        <w:rPr>
          <w:rFonts w:ascii="Times New Roman" w:cs="Times New Roman" w:eastAsia="Times New Roman" w:hAnsi="Times New Roman"/>
          <w:sz w:val="16"/>
          <w:szCs w:val="16"/>
          <w:color w:val="auto"/>
        </w:rPr>
        <w:t>may not be comparable to similar measures presented by other wealth managers.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TIG Arbitrage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Wealth management clients in certain jurisdictions may also pay performance or incentive fees if their portfolio achieves returns in excess of an agreed benchmark or hurdle rate.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Typically, such fees are paid annually upon crystallization and are not accrued prior to being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Distributions from investments are earned through our profit or revenue sharing arrangements with the External Strategic Managers. Our economic interests in the External Strategic Managers are as follows:</w:t>
      </w:r>
    </w:p>
    <w:p>
      <w:pPr>
        <w:spacing w:after="0" w:line="49"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Bridge Lending Strategy—21% profit share;</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European Equities—25% revenue share; and</w:t>
      </w:r>
    </w:p>
    <w:p>
      <w:pPr>
        <w:spacing w:after="0" w:line="7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Asian Credit and Special Situations—12% revenue share</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External Strategic Managers distributions from investments are all driven by a management fee component while the distributions from European equities and Asian credit and special situations also have an incentive fee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component depending on performance. Depending on the fund, the incentive fee component can range from 15% to 35% of the net profit/income, in excess of a 10% return hurdle.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Real Estate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 Advisory Fees</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earn management fees in our International Real Estate segment through private real estate fund advisory and recurring fees. These fees, governed by an investment advisory agreement, are calculated on a sliding scale based on the fund’s net asset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 Fees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sponsors of private market transactions, we generate income from debt and equity structures, including arrangement, management, advisory, performance, and transaction fees. Arrangement fees range from 50 to 100 basis points of contributed equity. Equity structures typically last three to ten years, with fees between 50 and 175 basis points of committed or drawn equity. Debt structures range from 12 to 36 months. Fees are received monthly, quarterly, or annually.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may earn a share of performance-related entitlements, such as carried interest, if investor return hurdles (8%-15%) are met. Carried interest typically accounts for 10%-20% of returns exceeding these hurdles. We also receive a share of base management fees from co-investments through advisory or management agreements, extending from investment inception to exit.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LEADERSHIP, CULTURE, AND VALUES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Experienced Management Team with Proven Track Record</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led by a team of seasoned executives with diverse experience. Our management team has expertise across investment management, alternative asset management, real estate, financial planning, and trusts and estates as well as impact investing. Members of our senior management team have an average of over 20 years of experience and a strong track record in building successful businesses from the ground up and generating superior returns across market cycles.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Focus on Sustainable Finance and Impact Investing</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use the term “impact investing” to describe investment practices seeking to generate environmental and social impacts at a portfolio level. The use and our definition of this banner term acknowledges the different interpretations and uses, globally, but particularly between the United States and Europe, of the terms “impact investing” and “sustainable finance.”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banner of impact investing, we offer four distinct approaches to investment of client capital:</w:t>
      </w:r>
    </w:p>
    <w:p>
      <w:pPr>
        <w:spacing w:after="0" w:line="134" w:lineRule="exact"/>
        <w:rPr>
          <w:sz w:val="20"/>
          <w:szCs w:val="20"/>
          <w:color w:val="auto"/>
        </w:rPr>
      </w:pPr>
    </w:p>
    <w:p>
      <w:pPr>
        <w:ind w:left="520" w:hanging="260"/>
        <w:spacing w:after="0" w:line="245"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Values Alignment: Offering public equity investments which may have either a positive or negative “tilt” based upon client-specific values and interests as reflected in their investment policy statement;</w:t>
      </w:r>
    </w:p>
    <w:p>
      <w:pPr>
        <w:spacing w:after="0" w:line="112"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6"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6"/>
          <w:szCs w:val="16"/>
          <w:color w:val="auto"/>
        </w:rPr>
        <w:t>Positive Engagement: Offering public equity investments with active managers who seek to engage in a positive manner with corporate leadership to integrate greater consideration of off-balance sheet factors (corporate governance, various social and/or environmental practices) which are material to long-term corporate financial performance and positive citizenship;</w:t>
      </w:r>
    </w:p>
    <w:p>
      <w:pPr>
        <w:spacing w:after="0" w:line="95"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Thematic investing: Private market fund investments within the areas of environmental sustainability and socio-economic development; and</w:t>
      </w:r>
    </w:p>
    <w:p>
      <w:pPr>
        <w:spacing w:after="0" w:line="123"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Catalytic: Private market investments in strategies that are non-conforming with our traditional investment approach and may include managers/teams building new track records, implementing innovative investment strategies, operating with evergreen or non-traditional fund structures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6"/>
          <w:szCs w:val="16"/>
          <w:color w:val="auto"/>
        </w:rPr>
        <w:t>offering market rate, near or below market financial returns while seeking to leverage private capital for greater public good.</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Accordingly, we believe that it is our responsibility to leverage our global network of offices and partnerships, the skills of our employees and the influence and resources of our clients, so that we can collectively have a lasting and positive impact on our communities and the environment, and we believe that our aims are aligned with those of the family offices and institutions we serve, for whom wealth is not measured purely in terms of financial returns but in the long-term, intergenerational preservation of quality of life and the generation of multiple, extra-financial returns, including improvements to environmental and social conditions for all, shareholders and stakeholders alike.</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also offer values aligned investing so that all of our client segments can access managers and or investment strategies aligned with how they want their wealth reflected from a purpose and values perspective. As of December 31, 2024, we have approximately $4.9 billion of our AUM/AUA in dedicated impact investing in our wealth management business; values aligned investing runs right across our AUM/AUA.</w:t>
      </w:r>
    </w:p>
    <w:p>
      <w:pPr>
        <w:spacing w:after="0" w:line="16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Through both impact and values aligned investing, we seek to play our part in directing capital to sustainable investments that will aid in the transition to a low carbon economy, as well as investments that are well managed and socially beneficial. Like us, our clients and investors are increasingly focused on risk-adjusted returns associated with socially and environmentally responsible investment opportunities and we consider it a fundamental part of our mission, as long-term stewards of client capital, to ensure that these non-financial investment goals are not only met, but advanced in new, innovative ways.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 AND PRESENCE TO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AlTi was formed as a combination of TWMH, the TIG Entities</w:t>
      </w:r>
      <w:r>
        <w:rPr>
          <w:rFonts w:ascii="Times New Roman" w:cs="Times New Roman" w:eastAsia="Times New Roman" w:hAnsi="Times New Roman"/>
          <w:sz w:val="16"/>
          <w:szCs w:val="16"/>
          <w:color w:val="008080"/>
        </w:rPr>
        <w:t>,</w:t>
      </w:r>
      <w:r>
        <w:rPr>
          <w:rFonts w:ascii="Times New Roman" w:cs="Times New Roman" w:eastAsia="Times New Roman" w:hAnsi="Times New Roman"/>
          <w:sz w:val="16"/>
          <w:szCs w:val="16"/>
          <w:color w:val="auto"/>
        </w:rPr>
        <w:t xml:space="preserve"> and Alvarium. TIG was founded in 1980 by Carl Tiedemann to enable talented money managers to build their fund businesses, using a centralized platform of proven services that enable portfolio managers to focus exclusively on their clients and realize their investment objectives. Carl Tiedemann, Craig Smith, and Michael Tiedemann established TWMH on the premise that a wealth management business organized on principles of delivering a combination of excellent investment performance and high-touch client service would quickly differentiate itself from its competitors. Alvarium was established by its founder partners as LJ Capital in 2009, initially with the aim of sourcing direct and co-investments in real estate in the UK and in Central Europe. The firm rebranded as LJ Partnership and underwent a series of acquisitions, before rebranding as Alvarium in 2019. In 2024, we welcomed Allianz and Constellation as strategic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Tiedemann Wealth Management (TWMH)</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TWMH was founded in 1999 on the premise that if the business was staffed and organized to deliver a combination of excellent investment performance and high-touch client service, it would quickly differentiate itself from a crowded field of firms nominally in the wealth management business. The firm sought to attract and serve a base of individuals and families with $25 million or more of investable assets, where it believed it was particularly well-positioned to offer comprehensive investment and family office service solutions. In 2016, TWMH acquired Presidio Capital Advisors, a wealth manager with approximately $4.1 billion of AUM. Then, in 2017 it acquired the Threshold Group, another independent wealth advisor and a leader in the rapidly growing impact investing market segment, with approximately $3.8 billion of total AUM (including both impact and non-impact client assets). This acquisition cemented its commitment to be a leader in impact investing for its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TIG Entities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8" w:name="page19"/>
    <w:bookmarkEnd w:id="18"/>
    <w:p>
      <w:pPr>
        <w:jc w:val="both"/>
        <w:spacing w:after="0" w:line="248" w:lineRule="auto"/>
        <w:rPr>
          <w:sz w:val="20"/>
          <w:szCs w:val="20"/>
          <w:color w:val="auto"/>
        </w:rPr>
      </w:pPr>
      <w:r>
        <w:rPr>
          <w:rFonts w:ascii="Times New Roman" w:cs="Times New Roman" w:eastAsia="Times New Roman" w:hAnsi="Times New Roman"/>
          <w:sz w:val="16"/>
          <w:szCs w:val="16"/>
          <w:color w:val="auto"/>
        </w:rPr>
        <w:t>The TIG Entities were founded by seasoned entrepreneurs and over their history they have advised more than 30 financial businesses on their growth strategy. Since inception in 1980, they have supported and helped money managers build their fund businesses, using a centralized platform of services proven to allow portfolio managers to focus exclusively on portfolio management. In total, TIG launched 24 separate fund strategies. In 1993, TIG launched the current version of the TIG Arbitrage strategy, which has grown from $6 million of AUM in 1993 to $1.7 billion of AUM as of December 31, 2024. In 2018, TIG launched a new business initiative focused on making growth equity investments in alternative managers. The first investment was in Romspen, the real estate bridge lending External Strategic Manager in 2018, followed by an investment in Zebedee, the European equities External Strategic Manager in 2020, and Arkkan, the Asian credit and special situations External Strategic Manager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210185</wp:posOffset>
            </wp:positionV>
            <wp:extent cx="4083050" cy="1468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305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Alvarium</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firm was established as LJ Capital in 2009 to source direct and co-investments in real estate in the UK and in Central Europe. The firm, rebranded as LJ Partnership (“LJ”), continued to grow, and acquire global clients through acquisitions, including wealth management businesses in the United States, Europe, and Hong Kong. The first acquisition was Deloitte’s UK Investment Advisory business in 2011. Over the course of 2014 to 2017, LJ merged with or acquired the former Guggenheim wealth management businesses in Miami, Geneva, Lisbon and Hong Kong, and brought on board a team that originated from their business in New York. Then in 2015, LJ acquired Salisbury Partners LLP, a UK discretionary investment manager. Over the course of 2018 to 2020, it acquired Iskander in Paris, established a joint venture with Albacore in Lugano, and expanded into Milan. Also in 2019, it merged with London based media, consumer, and technology firm Lepe Partners. Finally, in 2019, LJ rebranded as Alvarium to reflect its global footprint, partners, and clients.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Partners - Allianz and Constellation</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February 2024, we announced our strategic relationship with Allianz and Constellation, for a combined investment of up to $450 million into AlTi. Constellation’s investment, $150 million in convertible preferred stock, closed in the first half of 2024, and Allianz’s investment of $250 million through a combination of Class A Common Stock and convertible preferred stock, closed in July 2024. Allianz Group is a leading global insurer and asset manager. With an operating history of over 130 years and more than 160,000 employees in 70 countries, Allianz Group serves more than 120,000 clients. Through PIMCO and AGI, Allianz Group has nearly 1.7 trillion euros in third-party AUM. Constellation is an investment advisory firm that specializes in making investments in industry-leading wealth managers. Constellation has an experienced team with deep sector expertise and relationships, particularly in the U.S.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believe that these investments will enable AlTi to establish long-term partnerships with experienced and well-respected players in the global financial services sector, accelerating our strategy to become the leading,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6"/>
          <w:szCs w:val="16"/>
          <w:color w:val="auto"/>
        </w:rPr>
        <w:t>global, independent multi-family office platform for the UHNW segment, with an intentional and targeted expertise in alternatives, and will advance the scale and reach of AlTi’s expansion strategy, accelerating top-line growth in existing and new markets across the U.S., Europe, and Asia. As part of the investment, two Allianz representatives joined AlTi’s board as independent directors, and one representative of Constellation is an AlTi board observer.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Presence to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business is global, with approximately 430 professionals operating in 19 cities in 8 countries across three continents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4446270" cy="2290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46270"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Large and growing addressable market. </w:t>
      </w:r>
      <w:r>
        <w:rPr>
          <w:rFonts w:ascii="Times New Roman" w:cs="Times New Roman" w:eastAsia="Times New Roman" w:hAnsi="Times New Roman"/>
          <w:sz w:val="14"/>
          <w:szCs w:val="14"/>
          <w:color w:val="auto"/>
        </w:rPr>
        <w:t>AlTi is an institution that is curated to serve the evolving UHNW demographic and meet the growing demand globally for independent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advice and access to investment strategies in alternatives. Our target market, the upper end of the global wealth band, represents a $102 trillion addressable market and is expected to grow by 7% CAGR by 2028 (Morgan Stanley and Oliver Wyman). We believe there is a clear generational wealth transfer taking place as baby boomers transfer significant wealth to their heirs, foundations, charities, and endowments, and AlTi’s holistic service offering positions us to participate in this opportunity, which is estimated to be more than $80 trillion by 2045 (Cerulli Associates). UHNW clients are increasingly focused on transparency and alignment and demand direct investments and impact investing. We believe that clients are attracted to an independent advisory firm that holds similar values and has a curated set of solutions that address their holistic wealth management needs. In addition, the global demand for alternatives has been growing strongly in recent years and is expected to reach $30 trillion in 2030, a CAGR of 10% since 2017 (Preqin).</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Recurring and diversified revenues. </w:t>
      </w:r>
      <w:r>
        <w:rPr>
          <w:rFonts w:ascii="Times New Roman" w:cs="Times New Roman" w:eastAsia="Times New Roman" w:hAnsi="Times New Roman"/>
          <w:sz w:val="16"/>
          <w:szCs w:val="16"/>
          <w:color w:val="auto"/>
        </w:rPr>
        <w:t>For the year ended December 31, 2024, 96% of our revenue is generated from stable management or advisory fees. In the wealth management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we have a long-tenured, multi-generational client base with a retention rate of 96% since 2020. Our predictable revenue base results in a stable earnings model with attractive growth vectors.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Global footprint. </w:t>
      </w:r>
      <w:r>
        <w:rPr>
          <w:rFonts w:ascii="Times New Roman" w:cs="Times New Roman" w:eastAsia="Times New Roman" w:hAnsi="Times New Roman"/>
          <w:sz w:val="16"/>
          <w:szCs w:val="16"/>
          <w:color w:val="auto"/>
        </w:rPr>
        <w:t>We have offices located in 19 leading financial centers, in 8 countries across the U.S., Europe and Asia, which enables us to service our clients across multiple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jurisdictions. This is an important differentiator as we are well-positioned as a global and independent advisor given most multi-family offices have a regional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0" w:name="page21"/>
    <w:bookmarkEnd w:id="20"/>
    <w:p>
      <w:pPr>
        <w:jc w:val="both"/>
        <w:spacing w:after="0" w:line="245" w:lineRule="auto"/>
        <w:rPr>
          <w:sz w:val="20"/>
          <w:szCs w:val="20"/>
          <w:color w:val="auto"/>
        </w:rPr>
      </w:pPr>
      <w:r>
        <w:rPr>
          <w:rFonts w:ascii="Times New Roman" w:cs="Times New Roman" w:eastAsia="Times New Roman" w:hAnsi="Times New Roman"/>
          <w:sz w:val="16"/>
          <w:szCs w:val="16"/>
          <w:color w:val="auto"/>
        </w:rPr>
        <w:t>focus, and the private banks who have a global presence are not able to offer independent advice. Our global distribution platform in our alternatives business also enables us to reach clients across three continents.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Comprehensive platform for UHNW families and wealth managers. </w:t>
      </w:r>
      <w:r>
        <w:rPr>
          <w:rFonts w:ascii="Times New Roman" w:cs="Times New Roman" w:eastAsia="Times New Roman" w:hAnsi="Times New Roman"/>
          <w:sz w:val="16"/>
          <w:szCs w:val="16"/>
          <w:color w:val="auto"/>
        </w:rPr>
        <w:t>Through our global platform we provide a holistic solution for our wealth management and OCIO clients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through our full spectrum of wealth management services, including discretionary investment management services, non-discretionary investment advisory services, trust services, family office services, cross-border wealth advice, unique access to impact and values-based investment opportunities, as well as targeted expertise in alternatives.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Identified pipeline of inorganic growth opportunities</w:t>
      </w:r>
      <w:r>
        <w:rPr>
          <w:rFonts w:ascii="Times New Roman" w:cs="Times New Roman" w:eastAsia="Times New Roman" w:hAnsi="Times New Roman"/>
          <w:sz w:val="16"/>
          <w:szCs w:val="16"/>
          <w:color w:val="auto"/>
        </w:rPr>
        <w:t>. Given our track record of executing attractive and strategic transactions in the U.S. and internationally, we are a desirable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partner and have identified a pipeline of potential acquisitions across our wealth management business.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Transformative strategic partners. </w:t>
      </w:r>
      <w:r>
        <w:rPr>
          <w:rFonts w:ascii="Times New Roman" w:cs="Times New Roman" w:eastAsia="Times New Roman" w:hAnsi="Times New Roman"/>
          <w:sz w:val="16"/>
          <w:szCs w:val="16"/>
          <w:color w:val="auto"/>
        </w:rPr>
        <w:t>Our strategic partners, Allianz and Constellation, two experienced and well-respected players in the global financial services sector, provide us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the capital, experience, networks, and global operating expertise to accelerate our growth strategy and deepen our offerings and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aim to continue to grow our business through the following initiatives:</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b w:val="1"/>
          <w:bCs w:val="1"/>
          <w:i w:val="1"/>
          <w:iCs w:val="1"/>
          <w:color w:val="auto"/>
        </w:rPr>
        <w:t>New investment strategies and global presence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expect to continue to deepen our reach and expansion in current markets, and position ourselves for expansion into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complementary new markets in the U.S., Europe, and Asia, where we can bolster our client base, as well as enhance our service offering to existing clients across multiple jurisdictions. Our focus will be on markets with attractive characteristics including significant market size, low regulatory barriers, and limited competition, where we can leverage our existing footprint. We plan to offer private markets and impact investing solutions, which also have significant appeal to UHNW clients, foundations, and institutional investors, and where we are able to leverage our global distribution platform and our strategic partners’ expertise and networks.</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Select acquisitions. </w:t>
      </w:r>
      <w:r>
        <w:rPr>
          <w:rFonts w:ascii="Times New Roman" w:cs="Times New Roman" w:eastAsia="Times New Roman" w:hAnsi="Times New Roman"/>
          <w:sz w:val="16"/>
          <w:szCs w:val="16"/>
          <w:color w:val="auto"/>
        </w:rPr>
        <w:t>We expect to continue to diligently evaluate and execute inorganic opportunities which will enhance our platform by broadening our global footprint or enabling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to expand our product offerings. We have a proven track record in the wealth management, taking a disciplined approach to our pipeline and acquisition criteria. We focus on the target firm’s profile, footprint, and fit. As an independent platform with long-tenured clients and an extensive suite of services, we are a desirable partner for firms seeking consolidation and growth.</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Expanded client base and deepened existing relationships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will continue to fortify our client base through exceptional service and innovative solutions. We plan to expand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client base by leveraging our enhanced scale, skills, and the experience gained over our 20+ year history, operating globally across various market cycles. We expect to expand existing relationships through new investment solutions and complementary services.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Growth through impact offering. </w:t>
      </w:r>
      <w:r>
        <w:rPr>
          <w:rFonts w:ascii="Times New Roman" w:cs="Times New Roman" w:eastAsia="Times New Roman" w:hAnsi="Times New Roman"/>
          <w:sz w:val="16"/>
          <w:szCs w:val="16"/>
          <w:color w:val="auto"/>
        </w:rPr>
        <w:t>As of December 31, 2024, assets invested in impact strategies accounted for $4.9 billion of our AUM, and are a key area of growth within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wealth management platform. We are also planning to offer impact strategies in our alternatives business as they have significant appeal to UHNW clients, foundations, and institutional investors.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Strong M&amp;A track record</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have the mergers and acquisition experience to complement our established track record of organic growth, having made a number of acquisitions or joint venture investments to date. Below are three examples of such accretive transactions.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United States</w:t>
            </w: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70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East End Advisors</w:t>
            </w:r>
          </w:p>
        </w:tc>
        <w:tc>
          <w:tcPr>
            <w:tcW w:w="380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Envoi</w:t>
            </w:r>
          </w:p>
        </w:tc>
        <w:tc>
          <w:tcPr>
            <w:tcW w:w="200" w:type="dxa"/>
            <w:vAlign w:val="bottom"/>
          </w:tcPr>
          <w:p>
            <w:pPr>
              <w:spacing w:after="0"/>
              <w:rPr>
                <w:sz w:val="24"/>
                <w:szCs w:val="24"/>
                <w:color w:val="auto"/>
              </w:rPr>
            </w:pPr>
          </w:p>
        </w:tc>
        <w:tc>
          <w:tcPr>
            <w:tcW w:w="350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Threshold Group</w:t>
            </w:r>
          </w:p>
        </w:tc>
        <w:tc>
          <w:tcPr>
            <w:tcW w:w="0" w:type="dxa"/>
            <w:vAlign w:val="bottom"/>
          </w:tcPr>
          <w:p>
            <w:pPr>
              <w:spacing w:after="0"/>
              <w:rPr>
                <w:sz w:val="1"/>
                <w:szCs w:val="1"/>
                <w:color w:val="auto"/>
              </w:rPr>
            </w:pPr>
          </w:p>
        </w:tc>
      </w:tr>
      <w:tr>
        <w:trPr>
          <w:trHeight w:val="389"/>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Acquired New York based independent advisory firm with ~$6</w:t>
            </w:r>
          </w:p>
        </w:tc>
        <w:tc>
          <w:tcPr>
            <w:tcW w:w="3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 Acquired Minneapolis -based UHNW wealth manager with ~$3</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Acquired Seattle-based ~$3.4 billion AUM wealth manager in</w:t>
            </w:r>
          </w:p>
        </w:tc>
        <w:tc>
          <w:tcPr>
            <w:tcW w:w="0" w:type="dxa"/>
            <w:vAlign w:val="bottom"/>
          </w:tcPr>
          <w:p>
            <w:pPr>
              <w:spacing w:after="0"/>
              <w:rPr>
                <w:sz w:val="1"/>
                <w:szCs w:val="1"/>
                <w:color w:val="auto"/>
              </w:rPr>
            </w:pPr>
          </w:p>
        </w:tc>
      </w:tr>
      <w:tr>
        <w:trPr>
          <w:trHeight w:val="165"/>
        </w:trPr>
        <w:tc>
          <w:tcPr>
            <w:tcW w:w="3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billion AUM in 2024</w:t>
            </w:r>
          </w:p>
        </w:tc>
        <w:tc>
          <w:tcPr>
            <w:tcW w:w="3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billion AUM in 2024</w:t>
            </w:r>
          </w:p>
        </w:tc>
        <w:tc>
          <w:tcPr>
            <w:tcW w:w="200" w:type="dxa"/>
            <w:vAlign w:val="bottom"/>
          </w:tcPr>
          <w:p>
            <w:pPr>
              <w:spacing w:after="0"/>
              <w:rPr>
                <w:sz w:val="14"/>
                <w:szCs w:val="14"/>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2017</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Enhanced outsourced OCIO capabilities</w:t>
            </w:r>
          </w:p>
        </w:tc>
        <w:tc>
          <w:tcPr>
            <w:tcW w:w="38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   Expands operations to the Midwest region, fortifying AlTi’s domestic</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Grew scale and West Coast presence in wealth management</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footprint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Expanded impact investing</w:t>
            </w:r>
          </w:p>
        </w:tc>
        <w:tc>
          <w:tcPr>
            <w:tcW w:w="0" w:type="dxa"/>
            <w:vAlign w:val="bottom"/>
          </w:tcPr>
          <w:p>
            <w:pPr>
              <w:spacing w:after="0"/>
              <w:rPr>
                <w:sz w:val="1"/>
                <w:szCs w:val="1"/>
                <w:color w:val="auto"/>
              </w:rPr>
            </w:pPr>
          </w:p>
        </w:tc>
      </w:tr>
      <w:tr>
        <w:trPr>
          <w:trHeight w:val="85"/>
        </w:trPr>
        <w:tc>
          <w:tcPr>
            <w:tcW w:w="37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3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International</w:t>
            </w: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Albacore Wealth Management</w:t>
            </w:r>
          </w:p>
        </w:tc>
        <w:tc>
          <w:tcPr>
            <w:tcW w:w="3800" w:type="dxa"/>
            <w:vAlign w:val="bottom"/>
          </w:tcPr>
          <w:p>
            <w:pPr>
              <w:ind w:left="1540"/>
              <w:spacing w:after="0"/>
              <w:rPr>
                <w:sz w:val="20"/>
                <w:szCs w:val="20"/>
                <w:color w:val="auto"/>
              </w:rPr>
            </w:pPr>
            <w:r>
              <w:rPr>
                <w:rFonts w:ascii="Times New Roman" w:cs="Times New Roman" w:eastAsia="Times New Roman" w:hAnsi="Times New Roman"/>
                <w:sz w:val="16"/>
                <w:szCs w:val="16"/>
                <w:b w:val="1"/>
                <w:bCs w:val="1"/>
                <w:color w:val="auto"/>
              </w:rPr>
              <w:t>AL Wealth</w:t>
            </w:r>
          </w:p>
        </w:tc>
        <w:tc>
          <w:tcPr>
            <w:tcW w:w="200" w:type="dxa"/>
            <w:vAlign w:val="bottom"/>
          </w:tcPr>
          <w:p>
            <w:pPr>
              <w:spacing w:after="0"/>
              <w:rPr>
                <w:sz w:val="24"/>
                <w:szCs w:val="24"/>
                <w:color w:val="auto"/>
              </w:rPr>
            </w:pPr>
          </w:p>
        </w:tc>
        <w:tc>
          <w:tcPr>
            <w:tcW w:w="35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Pointwise</w:t>
            </w:r>
          </w:p>
        </w:tc>
        <w:tc>
          <w:tcPr>
            <w:tcW w:w="0" w:type="dxa"/>
            <w:vAlign w:val="bottom"/>
          </w:tcPr>
          <w:p>
            <w:pPr>
              <w:spacing w:after="0"/>
              <w:rPr>
                <w:sz w:val="1"/>
                <w:szCs w:val="1"/>
                <w:color w:val="auto"/>
              </w:rPr>
            </w:pPr>
          </w:p>
        </w:tc>
      </w:tr>
      <w:tr>
        <w:trPr>
          <w:trHeight w:val="399"/>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Acquired 30% stake in Lugano-based ~$943 million AUM wealth</w:t>
            </w:r>
          </w:p>
        </w:tc>
        <w:tc>
          <w:tcPr>
            <w:tcW w:w="3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 Acquired Singapore -based ~$1 billion AUM wealth manager in</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Acquired 50% stake in London-based wealth manager in 2020 and</w:t>
            </w:r>
          </w:p>
        </w:tc>
        <w:tc>
          <w:tcPr>
            <w:tcW w:w="0" w:type="dxa"/>
            <w:vAlign w:val="bottom"/>
          </w:tcPr>
          <w:p>
            <w:pPr>
              <w:spacing w:after="0"/>
              <w:rPr>
                <w:sz w:val="1"/>
                <w:szCs w:val="1"/>
                <w:color w:val="auto"/>
              </w:rPr>
            </w:pPr>
          </w:p>
        </w:tc>
      </w:tr>
      <w:tr>
        <w:trPr>
          <w:trHeight w:val="165"/>
        </w:trPr>
        <w:tc>
          <w:tcPr>
            <w:tcW w:w="3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manager in 2019 and remaining stake in 2023</w:t>
            </w:r>
          </w:p>
        </w:tc>
        <w:tc>
          <w:tcPr>
            <w:tcW w:w="3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Pr>
          <w:p>
            <w:pPr>
              <w:spacing w:after="0"/>
              <w:rPr>
                <w:sz w:val="14"/>
                <w:szCs w:val="14"/>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remaining stake in 2024 when AUM was ~$670 million</w:t>
            </w: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Expanded Swiss and Italian presence and client-base</w:t>
            </w:r>
          </w:p>
        </w:tc>
        <w:tc>
          <w:tcPr>
            <w:tcW w:w="380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Deepened operations in the United Kingdom</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Expanded Asian presence and entered a key investment &amp;</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philanthropic hub for global and regional families</w:t>
            </w:r>
          </w:p>
        </w:tc>
        <w:tc>
          <w:tcPr>
            <w:tcW w:w="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Applying our core principles globally, we aim to build on the success of our business, through:</w:t>
      </w:r>
    </w:p>
    <w:p>
      <w:pPr>
        <w:spacing w:after="0" w:line="134" w:lineRule="exact"/>
        <w:rPr>
          <w:sz w:val="20"/>
          <w:szCs w:val="20"/>
          <w:color w:val="auto"/>
        </w:rPr>
      </w:pPr>
    </w:p>
    <w:p>
      <w:pPr>
        <w:ind w:left="520" w:hanging="260"/>
        <w:spacing w:after="0" w:line="259"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Growth: We attract clients and grow our AUM by providing exceptional client service and executing our clients’ investment objectives, partnering with our clients to deliver solutions, and accessing impact investing and other innovative investment opportunities on our clients’ behalf.</w:t>
      </w:r>
    </w:p>
    <w:p>
      <w:pPr>
        <w:spacing w:after="0" w:line="10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Selective Accretive Acquisitions: We thoughtfully evaluate global acquisition opportunities that enhance and deepen the services that we can offer our clients and investors. As the global markets continue to evolve, we see manifold possibilities for accretive expansion.</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Through our business lines, we intend to: (1) provide our clients and investors access to unique investment and co-investment opportunities; (2) provide customized service to meet the needs of our clients and their families; (3) invest with intention—taking seriously the modern responsibilities of wealth; (4) innovate continuously to meet the needs and aspirations of our clients and investors; and (5) grow rapidly—both organically and by acquisitions—to build a premier global wealth management firm.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Wealth &amp; Capital Solutions</w:t>
      </w:r>
    </w:p>
    <w:p>
      <w:pPr>
        <w:spacing w:after="0" w:line="189"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The wealth management industry is highly fragmented (according to the Investment Advisor Association, in 2022 there were 15,114 registered investment advisors in the United States alone), leading to intense competition on both the regional and local levels. According to Piper Sandler, the industry’s fragmentation is driven by a few key factors, including:</w:t>
      </w:r>
    </w:p>
    <w:p>
      <w:pPr>
        <w:spacing w:after="0" w:line="35" w:lineRule="exact"/>
        <w:rPr>
          <w:sz w:val="20"/>
          <w:szCs w:val="20"/>
          <w:color w:val="auto"/>
        </w:rPr>
      </w:pPr>
    </w:p>
    <w:p>
      <w:pPr>
        <w:ind w:left="5560" w:right="2960" w:hanging="5300"/>
        <w:spacing w:after="0" w:line="854" w:lineRule="auto"/>
        <w:tabs>
          <w:tab w:leader="none" w:pos="49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 barriers to entry: launching a wealth management firm entails relatively low start-up costs with little upfront capital; and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-252095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22" w:name="page23"/>
    <w:bookmarkEnd w:id="22"/>
    <w:p>
      <w:pPr>
        <w:ind w:left="520" w:hanging="260"/>
        <w:spacing w:after="0" w:line="273" w:lineRule="auto"/>
        <w:tabs>
          <w:tab w:leader="none" w:pos="5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focus: wealth management firms are typically locally focused, and expansion beyond a registered investment advisor’s local market can require significant costs and senior management resources.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addition to competition on the local level, we face intense competition in the markets in which we operate from national and international wealth managers, ranging from large independent wealth managers, wealth managers that sit within larger financial institutions, to private equity-backed wealth management platforms, which have been relatively recently built through serial acquisitions, driving near-term scale, enhanced scope of investment capabilities, and exposure to new markets.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Key competitors in the United States are regional or national independent multi-family offices, or consultants, including BBR, Brown Advisors, SCS, Jordan Park, Cresset, and Mercer Advisors, or banks or trust companies such as: Bessemer Trust, UBS, Northern Trust, JP Morgan and Goldman Sachs. Internationally we compete with certain local multi-family offices focused on specific regions or countries, as well as with consultants, such as: We Family Offices, Cambridge Associates and ARC. However, internationally our primary competitors currently are the banks such as UBS, Goldman Sachs, Pictet, and JPMorgan</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Real Estate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real estate investment management industry is highly competitive, and we expect it to remain so. We compete globally and regionally for both fund investors and investment opportunities, with competition varying across business lines, geographies, and financial markets.</w:t>
      </w:r>
    </w:p>
    <w:p>
      <w:pPr>
        <w:spacing w:after="0" w:line="1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We compete for investors based on factors such as investment performance, reputation, service quality, product breadth, and fee structures. For investment opportunities, key competitive factors include market relationships, access to capital, execution capabilities, and pricing. Our competitors include public and private funds, banks, finance companies, private equity, and hedge funds—many of which are larger and have greater resources or lower costs of capital.</w:t>
      </w:r>
    </w:p>
    <w:p>
      <w:pPr>
        <w:spacing w:after="0" w:line="16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Additionally, as institutional investors consolidate their investments among fewer managers, competition is expected to intensify, potentially reducing market inefficiencies our funds seek to exploit. We also face strong competition in attracting and retaining qualified employees, which is critical to our continued success.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concerning the competitive risks that we face, see “Risk Factors” in Item 1A.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of December 31, 2024, we employed approximately 430 professionals. We recognize the important link between corporate values, employee engagement, and corporate performance. We also strive to foster a supportive environment that cultivates professional growth and development and encourages team members to continuously develop their skills. We consider our relationship with employees to be vital and are focused on effective attraction, development, retention, compensation and benefits for all employees. This includes workforce and management development, corporate culture and leadership quality, and morale and development, which are vital to the success of our innovation-driven growth strategy. Our values are built on mutual respect, constructive dissent, operating at the highest standard, and acting in the best interest of our stakeholders.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and Compliance Matters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businesses, as well as the financial services industry, generally are subject to extensive regulation, including periodic examinations, by governmental agencies and self-regulatory organizations or exchanges in the United States and foreign jurisdictions in which we operate. Such regulation relates to, among other things, antitrust laws, anti-money laundering laws, anti-bribery laws relating to foreign officials, tax laws, and privacy laws with respect to client and other information, and some of our funds invest in businesses that operate in highly regulated industries.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16"/>
          <w:szCs w:val="16"/>
          <w:color w:val="auto"/>
        </w:rPr>
        <w:t>Each of the regulatory bodies with jurisdiction over us has regulatory powers dealing with many aspects of financial services, including the authority to grant, and in specific circumstances to cancel, permissions to carry on particular activities. Any failure to comply with these rules and regulations could limit our ability to carry on particular activities or expose us to liability and/or reputational damage. Additional legislation, increasing global regulatory oversight of fundraising activities, changes in rules promulgated by self-regulatory organizations or exchanges, or changes in the interpretation or enforcement of existing laws and rules, either in the United States or elsewhere, may directly affect our mode of operation and profitability. See “Risk Factors” in Item 1A.</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Rigorous legal and compliance analysis of our businesses and our funds’ investments is important to our culture. We strive to maintain a culture of compliance using policies and procedures such as compliance oversight, codes of ethics, compliance systems, communication of compliance guidance, and employee education and training. All employees must annually certify their understanding of and compliance with key global firm policies, procedures, and code of ethics. We have compliance groups that monitor our compliance with the regulatory requirements to which we are subject and manage our compliance policies and procedures. Our compliance groups are supervised by our Chief Compliance Officer and divisional compliance officers, which are responsible for monitoring all regulatory and compliance matters that affect our activities. Our compliance policies and procedures address a variety of regulatory and compliance risks such as the handling of material non-public information, personal securities trading, document retention, potential conflicts of interest, and the allocation of investment opportunities. We also engage with outside counsel as needed to ensure compliance with applicable laws and regulations.</w:t>
      </w:r>
    </w:p>
    <w:p>
      <w:pPr>
        <w:spacing w:after="0" w:line="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Many jurisdictions in which we operate also have laws and regulations relating to data privacy, cybersecurity, and protection of personal information, including the EU General Data Protection Regulation, which sets forth rules for the protection of personal data of individuals within the EEA and for the export of such individuals’ personal data outside the EEA, the UK General Data Protection Regulation, which replaced the EU GDPR in the UK on January 1, 2021 but which applies the same rules for the protection of personal data of individuals in the UK and for the export of such individuals’ personal data outside the UK, and the California Consumer Privacy Act, which creates new rights and obligations related to personal data of residents (and households) in California. Any determination of a failure to comply with any such laws or regulations could result in fines and/or sanctions, as well as reputational harm.</w:t>
      </w:r>
    </w:p>
    <w:p>
      <w:pPr>
        <w:spacing w:after="0" w:line="1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To the extent that any of these laws and regulations to which we are subject in the operation of our business or the enforcement of the same become more stringent, or if new laws or regulations are enacted, our financial performance or plans for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 Regulations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provide investment advisory services through certain entities within our structure that are registered as investment advisers with the SEC pursuant to the Advisers Act. As compared to other, more disclosure-oriented U.S. federal securities laws, the Advisers Act, and the Investment Company Act of 1940, as amended (the “Investment Company Act”), together with the SEC’s regulations and interpretations thereunder, are highly restrictive regulatory statutes. The SEC is authorized to institute proceedings and impose sanctions for violations of the Advisers Act and the Investment Company Act, ranging from fines and censures to termination of an adviser’s registration.</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Under the Advisers Act, an investment adviser (whether registered or not under the Advisers Act) has fiduciary duties to its clients. The SEC has interpreted these duties to impose standards, requirements, and limitations on, among other things, trading for proprietary, personal, and client accounts; allocations of investment opportunities among clients; and conflicts of interest. The Advisers Act also imposes specific restrictions on an investment adviser’s ability to engage in principal and agency cross transactions. Our firm is subject to many additional requirements that cover, among other things, disclosure of information about our business to clients; maintenance of written policies and procedures; maintenance of extensive books and records; restrictions on the types of fees we may charge, including incentive fees or carried interest; solicitation arrangements; maintenance of an effective compliance program; custody of client assets; client privacy; advertising; and proxy voting. The SEC has authority to inspect any registered investment adviser and typically inspects a registered investment adviser periodically to determine whether the adviser is conducting its activities in compliance with (i) applicable laws, (ii) disclosures made to clients, and (iii) adequate systems, policies, and procedures to ensure compliance.</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recent years, the SEC and its staff have focused on issues relevant to global investment firms and have formed specialized units devoted to examining such firms and, in certain cases, brought enforcement actions against the firms, their principals and their employees. It is generally expected that the SEC’s oversight of global investment firms will continue to focus on concerns related to, among other things, transparency, investor disclosure practices, investment risks and conflicts of interest, fees and expenses, liquidity, valuation of assets, and controls around material non-public information, which could impact the Company’s investment adviser entities in various ways. 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Under the Advisers Act, our investment advisory agreements may not be assigned without the client’s consent. “Assignment” is broadly defined and includes direct assignments as well as assignments that may be deemed to occur upon the transfer, directly or indirectly, of a controlling interest in 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Federal and State Regulators; Self-Regulatory Organizations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addition to SEC regulatory oversight, we are subject to compliance under the Advisers Act, and there are several other regulatory bodies that have or could potentially have jurisdiction to regulate our business activities.</w:t>
      </w:r>
    </w:p>
    <w:p>
      <w:pPr>
        <w:spacing w:after="0" w:line="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Besides the United States, we currently have operations in France, Hong Kong, Italy, Portugal, Singapore, Switzerland and United Kingdom. As we expand our operations in the United States, Europe, Asia and other jurisdictions, we will become subject to various legislative frameworks in those jurisdictions.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Annual Report. These risks include, but are not limited to,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Macroeconomic Conditions</w:t>
      </w:r>
    </w:p>
    <w:p>
      <w:pPr>
        <w:spacing w:after="0" w:line="189" w:lineRule="exact"/>
        <w:rPr>
          <w:sz w:val="20"/>
          <w:szCs w:val="20"/>
          <w:color w:val="auto"/>
        </w:rPr>
      </w:pPr>
    </w:p>
    <w:p>
      <w:pPr>
        <w:ind w:left="520" w:hanging="260"/>
        <w:spacing w:after="0" w:line="259" w:lineRule="auto"/>
        <w:tabs>
          <w:tab w:leader="none" w:pos="511"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Difficult market and political conditions may reduce the value or hamper the performance of the investments made by our investment products and services or impair the ability of our investment products and services to raise or deploy capital.</w:t>
      </w:r>
    </w:p>
    <w:p>
      <w:pPr>
        <w:spacing w:after="0" w:line="80" w:lineRule="exact"/>
        <w:rPr>
          <w:rFonts w:ascii="Times New Roman" w:cs="Times New Roman" w:eastAsia="Times New Roman" w:hAnsi="Times New Roman"/>
          <w:sz w:val="16"/>
          <w:szCs w:val="16"/>
          <w:i w:val="1"/>
          <w:iCs w:val="1"/>
          <w:color w:val="auto"/>
        </w:rPr>
      </w:pPr>
    </w:p>
    <w:p>
      <w:pPr>
        <w:ind w:left="500" w:hanging="24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may adversely affect the business, results of operations and financial condition of our investment products and services.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interest rates could have a material adverse effect on our business and that of our investment products and services’ portfolio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15" w:lineRule="exact"/>
        <w:rPr>
          <w:sz w:val="20"/>
          <w:szCs w:val="20"/>
          <w:color w:val="auto"/>
        </w:rPr>
      </w:pPr>
    </w:p>
    <w:p>
      <w:pPr>
        <w:jc w:val="both"/>
        <w:ind w:left="520" w:hanging="260"/>
        <w:spacing w:after="0"/>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holding company and our only material asset is our interest in our subsidiaries, and we are accordingly dependent upon distributions made by our subsidiaries to pay taxes, make payments under the Tax Receivable Agreement (see Note 20 (Commitments and Contingencies) to our consolidated financial statements included in this Annual Report) and pay dividends.</w:t>
      </w:r>
    </w:p>
    <w:p>
      <w:pPr>
        <w:spacing w:after="0" w:line="105"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is derived from fees correlated to the amount of assets under management and assets under advisement that we have and the performance of our investment strategies and/or products. Poor performance of our investments in the future or terminations of significant client relationships, in each case, resulting in a reduction in assets under management or advisement, could have a materially adverse impact on our results, financial condition or business.</w:t>
      </w:r>
    </w:p>
    <w:p>
      <w:pPr>
        <w:spacing w:after="0" w:line="106"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methodologies for certain assets of our investment products and services can be open to subjectivity.</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due diligence process that we undertake in connection with investments and M&amp;A may not reveal all facts that may be relevant in connection with an investment or acquisition.</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properly disclose conflicts of interest could harm our reputation, results of operations, financial condition or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Geographical Environmen</w:t>
      </w:r>
      <w:r>
        <w:rPr>
          <w:rFonts w:ascii="Times New Roman" w:cs="Times New Roman" w:eastAsia="Times New Roman" w:hAnsi="Times New Roman"/>
          <w:sz w:val="16"/>
          <w:szCs w:val="16"/>
          <w:u w:val="single" w:color="auto"/>
          <w:color w:val="auto"/>
        </w:rPr>
        <w:t>t</w:t>
      </w:r>
    </w:p>
    <w:p>
      <w:pPr>
        <w:spacing w:after="0" w:line="126"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Our international operations subject us to numerous risks.</w:t>
      </w:r>
    </w:p>
    <w:p>
      <w:pPr>
        <w:spacing w:after="0" w:line="113" w:lineRule="exact"/>
        <w:rPr>
          <w:rFonts w:ascii="Times New Roman" w:cs="Times New Roman" w:eastAsia="Times New Roman" w:hAnsi="Times New Roman"/>
          <w:sz w:val="16"/>
          <w:szCs w:val="16"/>
          <w:u w:val="single" w:color="auto"/>
          <w:color w:val="auto"/>
        </w:rPr>
      </w:pPr>
    </w:p>
    <w:p>
      <w:pPr>
        <w:ind w:left="520" w:hanging="260"/>
        <w:spacing w:after="0" w:line="259" w:lineRule="auto"/>
        <w:tabs>
          <w:tab w:leader="none" w:pos="5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expanding our business and may enter into new lines of business or geographic markets, which may result in additional risks and uncertainties and place significant demands on our administrative, operational and financial resources.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Regulatory Environmen</w:t>
      </w:r>
      <w:r>
        <w:rPr>
          <w:rFonts w:ascii="Times New Roman" w:cs="Times New Roman" w:eastAsia="Times New Roman" w:hAnsi="Times New Roman"/>
          <w:sz w:val="16"/>
          <w:szCs w:val="16"/>
          <w:u w:val="single" w:color="auto"/>
          <w:color w:val="auto"/>
        </w:rPr>
        <w:t>t</w:t>
      </w:r>
    </w:p>
    <w:p>
      <w:pPr>
        <w:spacing w:after="0" w:line="126" w:lineRule="exact"/>
        <w:rPr>
          <w:sz w:val="20"/>
          <w:szCs w:val="20"/>
          <w:color w:val="auto"/>
        </w:rPr>
      </w:pPr>
    </w:p>
    <w:p>
      <w:pPr>
        <w:ind w:left="5560" w:right="5100" w:hanging="5300"/>
        <w:spacing w:after="0" w:line="609" w:lineRule="auto"/>
        <w:tabs>
          <w:tab w:leader="none" w:pos="49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litigation risk and subject to regulatory examinations and investigations.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305435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26" w:name="page27"/>
    <w:bookmarkEnd w:id="26"/>
    <w:p>
      <w:pPr>
        <w:ind w:left="520" w:hanging="260"/>
        <w:spacing w:after="0" w:line="244"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6"/>
          <w:szCs w:val="16"/>
          <w:color w:val="auto"/>
        </w:rPr>
        <w:t>We are subject to extensive government regulation, and our failure or inability to comply with these regulations or regulatory action against us could adversely affect our results of operations, financial condition or business.</w:t>
      </w:r>
    </w:p>
    <w:p>
      <w:pPr>
        <w:spacing w:after="0" w:line="102" w:lineRule="exact"/>
        <w:rPr>
          <w:rFonts w:ascii="Arial" w:cs="Arial" w:eastAsia="Arial" w:hAnsi="Arial"/>
          <w:sz w:val="17"/>
          <w:szCs w:val="17"/>
          <w:color w:val="auto"/>
        </w:rPr>
      </w:pPr>
    </w:p>
    <w:p>
      <w:pPr>
        <w:ind w:left="520" w:hanging="260"/>
        <w:spacing w:after="0" w:line="244"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6"/>
          <w:szCs w:val="16"/>
          <w:color w:val="auto"/>
        </w:rPr>
        <w:t>Financial regulations and changes thereto in the United States could adversely affect our business and the possibility of increased regulatory focus could result in additional burdens and expenses on our business.</w:t>
      </w:r>
    </w:p>
    <w:p>
      <w:pPr>
        <w:spacing w:after="0" w:line="112"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6"/>
          <w:szCs w:val="16"/>
          <w:color w:val="auto"/>
        </w:rPr>
        <w:t>We may face damage to our professional reputation and legal liability if our services are not regarded as satisfactory or for other reasons.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Personnel</w:t>
      </w:r>
    </w:p>
    <w:p>
      <w:pPr>
        <w:spacing w:after="0" w:line="115"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our management team to grow our business, and the loss of key management members, or an inability to hire key personnel, could harm our business.</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depends on our ability to attract, retain and develop human capital in a highly competitive talent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15"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team has limited experience managing a public company.</w:t>
      </w:r>
    </w:p>
    <w:p>
      <w:pPr>
        <w:spacing w:after="0" w:line="123"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previously disclosed, we have identified material weaknesses in our internal control over financial reporting and may find additional weaknesses in the future or fail to maintain an effective system of internal control over financial reporting. If we fail to establish and maintain proper and effective internal control over financial reporting, our operating results and our ability to operate our business could be harmed.</w:t>
      </w:r>
    </w:p>
    <w:p>
      <w:pPr>
        <w:spacing w:after="0" w:line="95"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deemed an “investment company” subject to regulation under the Investment Company Act, applicable restrictions could make it impractical for us to continue our business as contemplated and could have a material adverse effect on our business.</w:t>
      </w:r>
    </w:p>
    <w:p>
      <w:pPr>
        <w:spacing w:after="0" w:line="101"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15" w:lineRule="exact"/>
        <w:rPr>
          <w:sz w:val="20"/>
          <w:szCs w:val="20"/>
          <w:color w:val="auto"/>
        </w:rPr>
      </w:pPr>
    </w:p>
    <w:p>
      <w:pPr>
        <w:ind w:left="520" w:hanging="260"/>
        <w:spacing w:after="0" w:line="259" w:lineRule="auto"/>
        <w:tabs>
          <w:tab w:leader="none" w:pos="5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take write-downs or write-offs, restructuring and impairment or other charges that could have a significant negative effect on our financial condition and our share price, which could cause you to lose some or all of your investment.</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resales of shares may cause the market price of our securities to drop significantly, even if our business is doing well.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i w:val="1"/>
          <w:iCs w:val="1"/>
          <w:color w:val="auto"/>
        </w:rPr>
        <w:t>You should carefully consider the risks and uncertainties described below and the other information in this Annual Report before making an investment in our Class A Common Stock. Our business, financial condition, results of operations, or prospects could be materially and adversely affected if any of these risks occurs, and as a result, the market price of our Class A Common Stock could decline and you could lose all or part of your investment. This Annual Report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Risks Related to Macroeconomic Conditions</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Difficult market and political conditions may reduce the value or hamper the performance of the investments made by our investment products and services or impair the ability of our investment products and services to raise or deploy capital.</w:t>
      </w:r>
    </w:p>
    <w:p>
      <w:pPr>
        <w:spacing w:after="0" w:line="14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Our business is affected by conditions and trends in the global financial markets and the global economic and political climate relating to, among other things, current high interest rates, the availability and cost of credit, economic uncertainty, changes in laws (including laws relating to our taxation, taxation of our clients and the possibility of changes to regulations applicable to alternative asset managers), trade policies by the U.S. or other countries (such as tariffs or retaliatory tariffs as those proposed or imposed by the new U.S. Administration), commodity prices, currency exchange rates and controls, supply chain disruptions, consumer spending, employment levels, labor shortages, challenging labor market conditions, wage stagnation, energy prices, home prices, commercial property values, federal government shutdowns, political elections and administration transitions, national and international political events (including conflicts, terrorist acts, and security operations) and catastrophic events such as fires, floods, earthquakes, tornadoes, hurricanes and global health pandemics. These factors are outside of our control and may affect the level and volatility of credit and securities prices and the liquidity and value of fund investments, and we and our investment products and services may not be able to or may choose not to manage our exposure to these conditions. Global financial markets have experienced heightened volatility in recent periods, including as a result of economic and political events in or affecting the world’s major economies. Concerns over increasing inflation, economic recession, as well as interest rate volatility and fluctuations in oil and gas prices resulting from global production and demand levels, as well as geopolitical tension, have exacerbated market volatility.</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During periods of difficult market conditions or slowdowns, which may be across one or more industries, sectors or geographies, our investment products and services’ portfolio companies may experience decreased revenues, financial losses, credit rating downgrades, difficulty in obtaining access to financing and increased funding costs. During such periods, those companies may also have difficulty in pursuing growth strategies, expanding their businesses and operations and be unable to meet their debt service obligations or other expenses as they become due, including obligations and expenses payable to our funds. Negative financial results in our investment products and services’ portfolio companies may reduce the net asset value of our investment products and services, result in the impairment of assets and reduce the investment returns for our investment products and services, which could have a material adverse effect on our operating results and cash flow or ability to raise additional capital through new or successor investment products and services. In addition, such conditions would increase the risk of default with respect to credit-oriented or debt investments by our investment products and services. Our investment products and services may be adversely affected by reduced opportunities to exit and realize value from their investments, by lower than expected returns on investments made prior to the deterioration of the credit markets and by our inability to find suitable investments for our investment products and services to effectively deploy capital, which could adversely affect our ability to raise new funds and thus adversely impact our prospects for future growth.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the business, results of operations and financial condition of our investment products and services.</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Inflation continued at elevated levels in 2024 and may remain elevated in 2025. Inflation could have an adverse impact on any variable rate debt and general and administrative expenses, as these costs could increase at a rate higher than our revenue. While the inflation rate has decreased, prices remain high. Certain of our investment products and services and their portfolio companies operate in industries that have been impacted by inflation. Inflationary pressures have continually increased the costs of labor, energy and raw materials and have adversely affected consumer spending, economic growth and our investment products and services’ portfolio companies’ operations. If such portfolio companies are unable to pass any increases in the costs of their operations along to their customers, it could adversely affect their operating results. Such conditions would increase the risk of default on their obligations as a borrower. In addition, any projected future decreases in the operating results of our investment products and services’ portfolio companies due to inflation could adversely impact the fair value of those investments. Any decreases in the fair value of our investment products and services’ investments could result in future realized or unrealized losses.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Higher interest rates could have a material adverse effect on our business and that of our investment products and services’ portfolio companies.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Higher interest rates could have a dampening effect on overall economic activity, the financial condition of our customers and the financial condition of the end customers who ultimately create demand for the capital we supply, all of which could negatively affect demand for our investment products and services’ capital.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High interest rates may have a material effect on our business making it particularly difficult for us to obtain financing at attractive rates, impacting our ability to execute on our growth strategies or future acquisitions.</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Changes in market and economic conditions could lower the value of assets on which we earn revenue and could decrease the demand for our investment solutions and services.</w:t>
      </w:r>
    </w:p>
    <w:p>
      <w:pPr>
        <w:spacing w:after="0" w:line="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operate in the financial services industry. The financial markets, and in turn the financial services industry, are affected by many factors, such as U.S. and foreign economic and geopolitical conditions and general trends in business and finance that are beyond our control, and could be adversely affected by changes in the equity or debt marketplaces, unanticipated changes in currency exchange rates, interest rates, inflation rates, the yield curve, financial crises, war, terrorism, natural disasters, pandemics and outbreaks of disease or similar public health concerns, and other factors that are difficult to predict. In the event that the U.S. or international financial markets suffer a severe or prolonged economic downturn, investments may lose value and investors may choose to withdraw assets from financial advisers and use the assets to pay expenses or transfer them to investments that they perceive to be more secure, such as bank deposits and Treasury securities. Any prolonged downturn in financial markets, or increased levels of asset withdrawals could have a material adverse effect on our results of operations, financial condition or business.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Significant fluctuations in securities prices have and will continue to materially affect the value of the assets we manage and may also influence financial adviser and investor decisions regarding whether to invest in, or maintain an investment in, one or more of our investment solutions. If such fluctuations in securities prices were to lead to decreased investment in the securities markets, our revenue and earnings derived from asset-based revenue could be materially and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Furthermore, the COVID-19 pandemic has had a potentially long-term negative impact on certain commercial real estate assets due to the risk that tenants may reduce the office space they lease as some portion of the workforce continues to work remotely on a hybrid or full time basis. Lower occupancy, rental rates and declining values in our real estate portfolio could have the following negative effects on us:</w:t>
      </w:r>
    </w:p>
    <w:p>
      <w:pPr>
        <w:spacing w:after="0" w:line="105" w:lineRule="exact"/>
        <w:rPr>
          <w:sz w:val="20"/>
          <w:szCs w:val="20"/>
          <w:color w:val="auto"/>
        </w:rPr>
      </w:pPr>
    </w:p>
    <w:p>
      <w:pPr>
        <w:ind w:left="500" w:hanging="240"/>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of our investments in commercial properties could decrease below the amounts paid for such investments; and</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the properties underlying our real estate investments could decrease due to fewer tenants and/or lower rental rates.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Inflation and rapid increases in interest rates have led to a decline in the trading value of previously issued government securities with interest rates below current market interest rates. If such events were to occur again in the future and result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29" w:name="page30"/>
    <w:bookmarkEnd w:id="29"/>
    <w:p>
      <w:pPr>
        <w:jc w:val="both"/>
        <w:spacing w:after="0" w:line="273" w:lineRule="auto"/>
        <w:rPr>
          <w:sz w:val="20"/>
          <w:szCs w:val="20"/>
          <w:color w:val="auto"/>
        </w:rPr>
      </w:pPr>
      <w:r>
        <w:rPr>
          <w:rFonts w:ascii="Times New Roman" w:cs="Times New Roman" w:eastAsia="Times New Roman" w:hAnsi="Times New Roman"/>
          <w:sz w:val="16"/>
          <w:szCs w:val="16"/>
          <w:color w:val="auto"/>
        </w:rPr>
        <w:t>in the receivership of financial institutions, there is no guarantee that the U.S. Department of the Treasury, FDIC and/or Federal Reserve, as applicable, take such actions in the future that they would do so in a timely fashion or that such actions, if taken, would have their intended effect or would fully protect depositors or counterparties.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results of events or concerns that involve one or more of these factors could include a variety of material and adverse impacts on our current and projected business operations, our financial condition, and results of operations.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a holding company and our only material asset is our interest in our subsidiaries, and we are accordingly dependent upon distributions made by our subsidiaries to pay taxes, make payments under the Tax Receivable Agreement and pay dividends.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Since the completion of the Business Combination, we are a holding company with no material assets other than the equity interests in our direct and indirect subsidiaries, including Umbrella. As a result, we have no independent means of generating revenue or cash flow. Our ability to pay taxes, make payments under the Tax Receivable Agreement and pay dividends or make other distributions depends on the financial results and cash flows of our subsidiaries and the distributions we receive from our subsidiaries. Deterioration in the financial condition, earnings or cash flow of such subsidiaries for any reason could limit or impair such subsidiaries’ ability to pay such distributions. Additionally, to the extent that we need funds and our subsidiaries are restricted from making such distributions under applicable law or regulation or under the terms of any financing arrangements, or our subsidiaries are otherwise unable to provide such funds, it could materially adversely affect our liquidity and financial condition.</w:t>
      </w:r>
    </w:p>
    <w:p>
      <w:pPr>
        <w:spacing w:after="0" w:line="1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Subject to the discussion herein, Umbrella will continue to be treated as a partnership for U.S. federal income tax purposes and, as such, generally will not be subject to any entity-level U.S. federal income tax. Instead, taxable income will be allocated to holders of Umbrella common units. Accordingly, we will be required to pay income taxes on our allocable share of any net taxable income of Umbrella. Under the terms of the Umbrella LLC Agreement, Umbrella is obligated to make tax distributions to holders of Umbrella common units (including the Company) calculated at certain assumed tax rates. In addition to tax expenses, we will also incur expenses related to our operations, including our payment obligations under the Tax Receivable Agreement, which could be significant, and some of which will be reimbursed by Umbrella (excluding payment obligations under the Tax Receivable Agreement). We intend to cause Umbrella to make ordinary distributions and tax distributions to holders of Umbrella common units on a pro rata basis in amounts sufficient to cover 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0" w:name="page31"/>
    <w:bookmarkEnd w:id="30"/>
    <w:p>
      <w:pPr>
        <w:jc w:val="both"/>
        <w:spacing w:after="0" w:line="248" w:lineRule="auto"/>
        <w:rPr>
          <w:sz w:val="20"/>
          <w:szCs w:val="20"/>
          <w:color w:val="auto"/>
        </w:rPr>
      </w:pPr>
      <w:r>
        <w:rPr>
          <w:rFonts w:ascii="Times New Roman" w:cs="Times New Roman" w:eastAsia="Times New Roman" w:hAnsi="Times New Roman"/>
          <w:sz w:val="16"/>
          <w:szCs w:val="16"/>
          <w:color w:val="auto"/>
        </w:rPr>
        <w:t>applicable taxes, relevant operating expenses, payments we make under the Tax Receivable Agreement and dividends, if any, we declare. However, Umbrella’s ability to make such distributions may be subject to various limitations and restrictions including, but not limited to, retention of amounts necessary to satisfy the obligations of Umbrella and restrictions on distributions that would violate any applicable restrictions contained in Umbrella’s debt agreements, or any applicable law, or that would have the effect of rendering Umbrella insolvent. Any restrictions on the ability of Umbrella’s subsidiaries to make dividends or other distributions to Umbrella would also reduce the cash available to Umbrella to make distributions. To the extent that we are unable to make payments under the Tax Receivable Agreement for any reason, such payments will be deferred and will accrue interest until paid.</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Dividends on our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stockholders. In addition, entities are generally prohibited under relevant law from making a distribution to a stockholder to the extent that, at the time of the distribution, after giving effect to the distribution, the liabilities of such entity (subject to certain exceptions) exceed the fair value of its assets. If our subsidiaries do not have sufficient funds to make distributions, our ability to declare and pay cash dividends may also be restricted or impaired.</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revenue is derived from fees correlated to the amount of AUM and AUA that we have and the performance of our investment strategies and/or products. Poor performance of our investments in the future or terminations of significant client relationships, in each case, resulting in a reduction in AUM or advisement, could have a materially adverse impact on our results, financial condition or business.</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success and growth of our business is dependent upon the performance of our investments. Poor performance of our investments could cause a decline in our revenues as a result of reduced management fees and incentive fees from our clients, as applicable, and may therefore have a materially adverse impact on our results. If we fail to meet the expectations of our clients or our investments otherwise experience poor investment performance, whether due to general economic and financial conditions, our investment acumen or otherwise, our ability to retain existing AUM or advisement and attract new clients could be materially adversely affected and our management fees and/or incentive fees would be reduced. Furthermore, even if the investment performance of our investments is positive, our business or financial condition could be materially adversely affected if we are unable to attract and retain additional AUM and AUA consistent with our past experience, industry trends or investor and market expectations.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the identification and availability of suitable investment opportunities for our clients</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success largely depends on the identification and availability of suitable investment opportunities for our clients, including the success of underlying funds and products in which our clients invest. The availability of investment opportunities will be subject to market conditions and other factors outside of our control and the control of the investment managers with which we invest for our clients. Past returns of our clients have benefited from investment opportunities and general market conditions that may not continue or reoccur, including favorable borrowing conditions in the debt markets, and there can be no assurance that our clients or the underlying funds and other products in which we invest for our clients will be able to avail themselves of comparable opportunities and conditions. There can also be no assurance that the underlying funds and other products we select will be able to identify sufficient attractive investment opportunities to meet their investment objectives.</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16"/>
          <w:szCs w:val="16"/>
          <w:color w:val="auto"/>
        </w:rPr>
        <w:t>The historical performance of our investment products and services is relevant to us primarily insofar as it is indicative of our reputation and ability to raise new funds. The historical and potential returns of the funds we advise are not, however, directly linked to returns on shares of our Class A Common Stock. Therefore, holders of our Class A Common Stock should not conclude that positive performance of the funds we advise will necessarily result in positive returns on a return on investment in our Class A Common Stock. However, poor performance of our investment products and services we advise would likely cause a decline in our revenues and would therefore likely have a negative effect on our operating results, returns on our Class A Common Stock and a negative impact on our ability to raise new funds. Also, there is no assurance that projections in respect of our investment products and services or unrealized valuations will be realized.</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Moreover, the historical returns of our investment products and services should not be considered indicative of the future returns of these or from any future funds we may raise, in part because:</w:t>
      </w:r>
    </w:p>
    <w:p>
      <w:pPr>
        <w:spacing w:after="0" w:line="102" w:lineRule="exact"/>
        <w:rPr>
          <w:sz w:val="20"/>
          <w:szCs w:val="20"/>
          <w:color w:val="auto"/>
        </w:rPr>
      </w:pPr>
    </w:p>
    <w:p>
      <w:pPr>
        <w:ind w:left="520" w:hanging="260"/>
        <w:spacing w:after="0" w:line="259" w:lineRule="auto"/>
        <w:tabs>
          <w:tab w:leader="none" w:pos="51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during previous periods may have been significantly more favorable for generating positive performance than the market conditions we may experience in the future;</w:t>
      </w:r>
    </w:p>
    <w:p>
      <w:pPr>
        <w:spacing w:after="0" w:line="10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products and services’ rates of returns, which are calculated on the basis of net asset value of the funds’ investments, reflect unrealized gains, which may never be realized;</w:t>
      </w:r>
    </w:p>
    <w:p>
      <w:pPr>
        <w:spacing w:after="0" w:line="80" w:lineRule="exact"/>
        <w:rPr>
          <w:rFonts w:ascii="Times New Roman" w:cs="Times New Roman" w:eastAsia="Times New Roman" w:hAnsi="Times New Roman"/>
          <w:sz w:val="16"/>
          <w:szCs w:val="16"/>
          <w:color w:val="auto"/>
        </w:rPr>
      </w:pPr>
    </w:p>
    <w:p>
      <w:pPr>
        <w:jc w:val="both"/>
        <w:ind w:left="520" w:hanging="260"/>
        <w:spacing w:after="0" w:line="254" w:lineRule="auto"/>
        <w:tabs>
          <w:tab w:leader="none" w:pos="51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products and services’ returns have previously benefited from investment opportunities and general market conditions that may not recur, including the availability of debt capital on attractive terms and the availability of distressed debt opportunities, and we may not be able to achieve the same returns or profitable investment opportunities or deploy capital as quickly;</w:t>
      </w:r>
    </w:p>
    <w:p>
      <w:pPr>
        <w:spacing w:after="0" w:line="10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fund returns will depend increasingly on the performance of our newer funds or funds not yet formed, which may have little or no realized investment track record;</w:t>
      </w:r>
    </w:p>
    <w:p>
      <w:pPr>
        <w:spacing w:after="0" w:line="15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circumstances under which our current or future funds may make future investments may differ significantly from those conditions prevailing in the past;</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increased competition for investments may reduce our returns in the future; and</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newly established funds may generate lower returns during the period that they take to deploy their capital.</w:t>
      </w:r>
    </w:p>
    <w:p>
      <w:pPr>
        <w:spacing w:after="0" w:line="1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future return for any current or future fund may vary considerably from the historical return generated by any particular fund, or for our investment products and services as a whole. Future returns will also be affected by the risks described elsewhere in this report, including risks of the industries and businesses in which a particular fund invests.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certain assets of our investment products and services can be open to subjectivity.</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Many of the investments in our investment products and services are illiquid and thus have no readily ascertainable market prices. We value these investments based on our estimate, or an independent third party’s estimate, of their value as of the date of determination. The determination of fair value, and thus the amount of unrealized appreciation or depreciation our investment products and services may recognize in any reporting period, is to a degree subjective. Our investment products and services generally value their investments quarterly at fair value, based on, among other things, the input of third party valuation firms and taking into account the nature and realizable value of any collateral, the portfolio company’s ability to make payments and its earnings, the markets in which the portfolio company operates, comparison to publicly traded companies, discounted cash flow, current market interest rates and other relevant factors. Because such valuations, and particularly valuations of private securities, private companies and privately owned real estate, are inherently uncertain, the valuations may fluctuate significantly over short periods of time due to changes in current market conditions. A fund’s net asset value could be adversely affected if the determinations regarding the fair value of the investments were materially higher than the values that are ultimately realized upon the disposal of such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investments. These valuations could, in turn, affect the management fees or performance income that our business receives.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The due diligence process that we undertake in connection with investments and M&amp;A may not reveal all facts that may be relevant in connection with an investment or acquisition.</w:t>
      </w:r>
    </w:p>
    <w:p>
      <w:pPr>
        <w:spacing w:after="0" w:line="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Before investing the assets of our clients, we conduct due diligence that we deem reasonable and appropriate based on the facts and circumstances applicable to each investment. When conducting due diligence, we may be required to evaluate important and complex business, financial, tax, accounting, technological, environmental, social, governance and legal and regulatory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and such an investigation will not necessarily result in the investment ultimately being successful. Moreover, the due diligence investigation that we will carry out with respect to any investment opportunity may not reveal or highlight all relevant facts or risks that are necessary or helpful in evaluating such investment opportunity. For example, instances of bribery, fraud, accounting irregularities and other improper, illegal or corrupt practices can be difficult to detect and may be more widespread in certain jurisdictions.</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addition, a substantial portion of our clients invest in underlying funds, and therefore we are dependent on the due diligence investigation of the underlying investment manager of such funds. We have little or no control over their due diligence process, and any shortcomings in their due diligence could be reflected in the performance of the investment we make with them on behalf of our funds. Poor investment performance could lead investors to terminate their agreements with us and/or result in negative reputational effects, either of which could have a material adverse effect on our business, financial condition and results of operations.</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Dependence on leverage by certain funds, underlying investment funds and portfolio companies subjects us to volatility and contractions in the debt financing markets and could adversely affect the ability of our funds to achieve attractive rates of return on their investments.</w:t>
      </w:r>
    </w:p>
    <w:p>
      <w:pPr>
        <w:spacing w:after="0" w:line="7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Many of the funds we manage, the funds in which we invest and portfolio companies within our funds and customized separate accounts currently rely on credit facilities either to facilitate efficient investing or for speculative purposes. If our funds are unable to obtain financing, or the underlying funds or the companies in which our funds invest are unable to access the structured credit, leveraged loan and high yield bond markets (or do so only at increased cost), the results of their operations may suffer if such markets experience dislocations, contractions or volatility. Any such events could adversely impact our funds’ ability to invest efficiently, and may impact the returns of our funds’ investments.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The absence of available sources of sufficient debt financing for extended periods of time or an increase in either the general levels of interest rates or in the risk spread demanded by sources of indebtedness would make it more expensive to finance those investments, and, in the case of rising interest rates, decrease the value of fixed-rate debt investments made by our funds. Certain investments may also be financed through fund-level debt facilities, which may or may not be available for refinancing at the end of their respective terms. Finally, limitations on the deductibility of interest expense on indebtedness used to finance our funds’ investments reduce the after-tax rates of return on the affected investments and make it more costly to use debt financing. Any of these factors may have an adverse impact on our business, results of operations and financial condition.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Similarly, private markets fund portfolio companies regularly utilize the corporate debt markets to obtain additional financing for their operations. The leveraged capital structure of such businesses increases the exposure of the funds’ portfolio companies to adverse economic factors such as rising interest rates, downturns in the economy or deterioration in the condition of such business or its industry. Any adverse impact caused by the use of leverage by portfolio companies in which we directly or indirectly invest could in turn adversely affect the returns of our funds.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color w:val="auto"/>
        </w:rPr>
        <w:t>Defaults by third-party investors could adversely affect that fund’s operations and performance.</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business is exposed to the risk that investors that owe us money for our services may not pay us. If investors default on their obligations to fund or similar commitments, there may be adverse consequences on the investment process, and we could incur losses and be unable to meet underlying capital calls. For example, certain of our funds may utilize lines of credit to fund investments. Because interest expense and other costs of borrowings under lines of credit are an expense of the fund, the fund’s net multiple of invested capital may be reduced, as well as the amount of carried interest generated by the fund. Any material reduction in the amount of carried interest generated by a fund may adversely affect our revenues.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investment guidelines of our clients could result in damage awards against us or a reduction in AUM, either of which would cause our earnings to decline and adversely affect our business.</w:t>
      </w:r>
    </w:p>
    <w:p>
      <w:pPr>
        <w:spacing w:after="0" w:line="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our clients is serviced pursuant to specific investment guidelines, which, with respect to our customized separate accounts, are often established collaboratively between us and the investor. Our failure to comply with these guidelines and other limitations could result in investors terminating their relationships with us or deciding not to commit further capital to us in respect of new or different funds. In some cases, these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 client or termination of the client relationship and a corresponding reduction in AUM. Even if we comply with all applicable investment guidelines, our investors may nonetheless be dissatisfied with our investment performance or our services or fees and may terminate their investment with us or be unwilling to commit new capital to our funds. Any of these events could cause our earnings to decline and have a material adverse effect on our business, financial condition and results of operations.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not have control over the day-to-day operations of many of the funds included in our investments and we do not control the business of the External Strategic Managers in which we have made strategic investments.</w:t>
      </w:r>
    </w:p>
    <w:p>
      <w:pPr>
        <w:spacing w:after="0" w:line="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Investments by most of our funds, as well as by the External Strategic Managers in which we have made strategic investments, will include debt instruments and equity securities of companies that we do not control.</w:t>
      </w:r>
    </w:p>
    <w:p>
      <w:pPr>
        <w:spacing w:after="0" w:line="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funds, as well as the External Strategic Managers, may invest through co-investment arrangements or acquire minority equity interests and may also dispose of a portion of the equity investments in portfolio companies over time in a manner that results in their retaining a minority investment. Consequently, the performance of our funds, as well as the External Strategic Managers, will depend significantly on the investment and other decisions made by third parties, which could have a material adverse effect on the returns achieved by our funds, as well as our External Strategic Managers.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our clients could decrease and our financial condition, results of operations and cash flow could suffer as a result. The operations of the External Strategic Managers are not subject to our control.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investment products, services, and investment strategies we currently pursue may expose us to specific market, tax, regulatory and other risks.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currently pursue, through our investment products and services, multiple investment strategies. While we believe that there may be certain synergies amongst the various strategies, there can be no assurance that the benefits will manifest or that there will not be unanticipated consequences resulting therefrom. Although we are seeking additional investment strategies, relative to more diversified asset managers, our investment products and services’ limited and specialized focus also leaves us more exposed to risks affecting the sectors in which our investment products and services invest. As our investment management program is not broadly diversified, we may be uniquely exposed to market, tax, regulatory and other risks affecting the sectors in which we invest.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34" w:name="page35"/>
    <w:bookmarkEnd w:id="34"/>
    <w:p>
      <w:pPr>
        <w:jc w:val="both"/>
        <w:spacing w:after="0" w:line="273" w:lineRule="auto"/>
        <w:rPr>
          <w:sz w:val="20"/>
          <w:szCs w:val="20"/>
          <w:color w:val="auto"/>
        </w:rPr>
      </w:pPr>
      <w:r>
        <w:rPr>
          <w:rFonts w:ascii="Times New Roman" w:cs="Times New Roman" w:eastAsia="Times New Roman" w:hAnsi="Times New Roman"/>
          <w:sz w:val="16"/>
          <w:szCs w:val="16"/>
          <w:color w:val="auto"/>
        </w:rPr>
        <w:t>There can be no assurance that we will be able to take actions necessary to mitigate the effect of such risks or otherwise diversify our investment program to minimize such exposure.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made on behalf of our clients may in many cases rank junior to investments made by other investors.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many cases, the companies in which we invest on behalf of our clients have indebtedness or equity securities, or may be permitted to incur indebtedness or to issue equity securities, that rank senior to investments made on behalf of our clients. By their terms, these instruments may provide that their holders are entitled to receive payments of dividends, interest or principal on or before the dates on which payments are to be made in respect of our clients’ investments. Also, in the event of insolvency, liquidation, dissolution, reorganization or bankruptcy of a company in which one or more of our clients hold an investment, holders of securities ranking senior to our client investments would typically be entitled to receive payment in full before distributions could be made in respect of our client investments. After repaying senior security holders, the issuer may not have any remaining assets to use for repaying amounts owed in respect of our client investments. To the extent that any assets remain, holders of claims that rank equally with our client investments would be entitled to share on an equal and ratable basis in distributions that are made out of those assets. Also, during periods of financial distress or following an insolvency, our ability to influence a company’s affairs and to take actions to protect investments by our clients may be substantially less than that of those holding senior interests.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investments utilize special situation and distressed debt investment strategies that involve significant risks.</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clients sometimes invest in companies with weak financial conditions, poor operating results, substantial financial needs, negative net worth and/or special competitive or regulatory problems. These clients also invest in companies that are or are anticipated to be involved in bankruptcy or reorganization proceedings. In such situations, it may be difficult to obtain full information as to the exact financial and operating conditions of these companies. Additionally, the fair values of such investments are subject to abrupt and erratic market movements and significant price volatility if they are publicly traded securities, and are subject to significant uncertainty in general if they are not publicly traded securities. Furthermore, some of our clients’ distressed investments may not be widely traded or may have no recognized market. A client’s exposure to such investments may be substantial in relation to the market for those investments, and the assets are likely to be illiquid and difficult to sell or transfer. As a result, it may take a number of years for the market value of such investments to ultimately reflect their intrinsic value as perceived by us, if at all.</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distressed investment strategies depend in part on our ability to successfully predict the occurrence of certain corporate events, such as debt and/or equity offerings, restructurings, reorganizations, mergers, takeover offers and other transactions, that we believe will improve the condition of the business. If the corporate event we predict is delayed, changed or never completed, the market price and value of the applicable fund’s investment could decline sharply.</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addition, these investments could subject us to certain potential additional liabilities that may exceed the value of our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our clients and/or we may become involved in substantial litigation.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5" w:name="page36"/>
    <w:bookmarkEnd w:id="35"/>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investment advisory contracts may be terminated or may not be renewed by investors or fund boards on favorable terms and the liquidation of certain funds may be accelerated at the option of investors.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derive a substantial portion of our revenue from providing investment advisory services. The advisory or management contracts we have entered into with our clients, including the agreements that govern many of our investment funds, provide investors or, in some cases, the independent directors of applicable investment funds, with significant latitude to terminate such contracts, withdraw funds or liquidate funds by simple majority vote with limited notice or penalty, or to remove or terminate us as investment advisor (or equivalent). Our fee arrangements under any of our advisory or management contracts may be reduced (including at the behest of a fund’s board of directors). In addition, if a number of our investors terminate their contracts, or otherwise remove us from our advisory roles, liquidate funds or fail to renew management contracts on favorable terms, the fees or carried interest we earn could be reduced, which may cause our AUM, revenue and earnings to decline. The occurrence of any of these events could lead to a reduction in our revenues and profitability.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sell our strategic investments in the External Strategic Managers or they may sell their businesses or exercise their rights to purchase our interests.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made, and may make in the future strategic investments with certain External Strategic Managers that contribute to our revenues. Depending on the circumstances, in the future we may sell our strategic investments in one or more of the External Strategic Managers. We also do not have control over these External Strategic Managers, who may sell their business (including our interests) without our consent, or they may have a contractual right to purchase our interest from us without our consent. The occurrence of any of these events could lead to a reduction in our revenues and profitability.</w:t>
      </w:r>
    </w:p>
    <w:p>
      <w:pPr>
        <w:spacing w:after="0" w:line="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establish fund vehicles in the future to own the existing strategic investments in our External Strategic Managers or to make strategic investments in new External Strategic Managers.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Although we currently own our strategic investments in the External Strategic Managers, in the future we may establish fund vehicles that we manage to own these investments and any strategic investments we may make in new External Strategic Managers. The benefit of setting up these fund vehicles is that we would not have to use our own capital to fund these investments since they would be funded by third party investors in our fund vehicles. However, if we establish such fund vehicles, we will only be entitled to a management fee for managing the vehicles and a carried interest based on the performance of the investments made in these External Strategic Managers, rather than all of the economics associated with owning the investments in these External Strategic Managers. Setting up these fund vehicles to own the investments in External Strategic Managers could lead to a reduction in the revenues and profitability we would have otherwise realized had we owned those interests directly.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compete effectively, our business and financial condition could be adversely affected.</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industry in which we operate is intensely competitive, with competition based on a variety of factors, including investment performance, the scope and the quality of service provided to clients, brand recognition, business reputation and price. Our business competes with a number of private equity funds, hedge funds, wealth managers, specialized investment funds, solutions providers and other sponsors managing pools of capital,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private equity platforms and are marketing other asset allocation strategies as alternatives to hedge fund investments. Additionally, developments in financial technology, such as distributed ledger technology, commonly referred to as blockchain, have the potential to disrupt the financial industry and change the way financial institutions, as well as asset managers, do business. A number of factors serve to increase our competitive risks:</w:t>
      </w:r>
    </w:p>
    <w:p>
      <w:pPr>
        <w:spacing w:after="0" w:line="112" w:lineRule="exact"/>
        <w:rPr>
          <w:sz w:val="20"/>
          <w:szCs w:val="20"/>
          <w:color w:val="auto"/>
        </w:rPr>
      </w:pPr>
    </w:p>
    <w:p>
      <w:pPr>
        <w:ind w:left="5560" w:right="3000" w:hanging="5300"/>
        <w:spacing w:after="0" w:line="854" w:lineRule="auto"/>
        <w:tabs>
          <w:tab w:leader="none" w:pos="49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number of our competitors have greater financial, technical, marketing and other resources and more personnel than we do;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-259080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36" w:name="page37"/>
    <w:bookmarkEnd w:id="36"/>
    <w:p>
      <w:pPr>
        <w:jc w:val="both"/>
        <w:ind w:left="520" w:hanging="260"/>
        <w:spacing w:after="0" w:line="254"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have significant amounts of capital or are expected to raise significant amounts of capital, and many of them have investment objectives similar to ours, which may create additional competition for investment opportunities and may reduce the size and duration of pricing inefficiencies that our investments seek to exploit;</w:t>
      </w:r>
    </w:p>
    <w:p>
      <w:pPr>
        <w:spacing w:after="0" w:line="10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investments may not perform as well as competitors’ funds or other available investment products;</w:t>
      </w:r>
    </w:p>
    <w:p>
      <w:pPr>
        <w:spacing w:after="0" w:line="123"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a lower cost of capital, which may be exacerbated to the extent potential changes to the Internal Revenue Code of 1986, as amended (the “Code”) limit the deductibility of interest expense;</w:t>
      </w:r>
    </w:p>
    <w:p>
      <w:pPr>
        <w:spacing w:after="0" w:line="90"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access to funding sources that are not available to us, which may create competitive disadvantages for us with respect to investment opportunities;</w:t>
      </w:r>
    </w:p>
    <w:p>
      <w:pPr>
        <w:spacing w:after="0" w:line="10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be subject to less regulation and accordingly may have more flexibility to undertake and execute certain businesses or investments than we can and/or bear less compliance expense than we do;</w:t>
      </w:r>
    </w:p>
    <w:p>
      <w:pPr>
        <w:spacing w:after="0" w:line="10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more flexibility than us in raising certain types of investment funds under the investment management contracts they have negotiated with their investors;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better expertise or be regarded by investors as having better expertise in a specific asset class or geographic region than we do; and</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industry participants may, from time to time, seek to recruit our investment professionals and other employees away from us.</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may find it harder to attract and retain wealth management clients and raise new funds, and we may lose investment opportunities in the future, if we do not match the prices, structures and terms offered by our competitors. We may not be able to maintain our current fee structures as a result of industry pressure from investors to reduce fees. In order to maintain our desired fee structures in a competitive environment, we must be able to continue to provide clients with investment returns and service that incentivize them to pay our desired fee rates. We cannot assure you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anticipated benefits of future acquisitions that we may pursue may not be realized or may take longer than expected to realize.</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may pursue acquisitions of assets or businesses that are complementary to our business. For any such acquisitions, the optimization of our combined operations may be a complex, costly and time-consuming process and if we experience difficulties in this process, the anticipated benefits may not be realized fully or at all, or may take longer to realize than expected, which could have an adverse effect on us for an undetermined period after any such future acquisition. There can be no assurances that we will realize any potential operating efficiencies, synergies and other benefits anticipated in connection with such acquisitions.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integration of our acquisitions may present material challenges, including, without limitation:</w:t>
      </w:r>
    </w:p>
    <w:p>
      <w:pPr>
        <w:spacing w:after="0" w:line="134" w:lineRule="exact"/>
        <w:rPr>
          <w:sz w:val="20"/>
          <w:szCs w:val="20"/>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combining leadership teams and corporate cultures;</w:t>
      </w:r>
    </w:p>
    <w:p>
      <w:pPr>
        <w:spacing w:after="0" w:line="123"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management’s attention from ongoing business concerns and performance shortfalls as a result of the devotion of management’s attention to the integration of a new asset or business;</w:t>
      </w:r>
    </w:p>
    <w:p>
      <w:pPr>
        <w:spacing w:after="0" w:line="9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 larger combined business;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employee morale and retaining key management and other employees, including by offering sufficiently attractive terms of employment;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7" w:name="page38"/>
    <w:bookmarkEnd w:id="37"/>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existing business and operational relationships, and attracting new business and operational relationships;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faulty assumptions underlying expectations regarding the integration process;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consolidating corporate and administrative infrastructures and eliminating duplicative operations;</w:t>
      </w:r>
    </w:p>
    <w:p>
      <w:pPr>
        <w:spacing w:after="0" w:line="13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expense loads and maintaining currently anticipated operating margins given that investment products and services may be different in nature and therefore may require additional personnel and compensation expenses, which expenses may be borne by us, rather than our investment products and services; and</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issues in integrating information technology, communications and other systems.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Some of those factors are outside of our control, and any one of them could result in delays, increased costs, decreases in the amount of potential revenues or synergies, potential cost savings, and diversion of management’s time and energy, which could materially affect our financial position, results of operations, and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conflicts of interest may arise in the allocation of investment opportunities among funds.</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Certain of our investment products and services may have overlapping investment objectives, including funds that have different fee structures, and potential conflicts may arise with respect to our decisions regarding how to allocate investment opportunities among those funds. We may allocate an investment opportunity that is appropriate for two or more investment funds in a manner that excludes one or more funds or results in a disproportionate allocation based on factors or criteria that we determine, including but not limited to differences with respect to available capital, the current or anticipated size of a fund, minimum investment amounts, the remaining life of a fund, differences in investment objectives, guidelines or strategies, diversification, portfolio construction considerations and other considerations deemed relevant to us and in accordance with our policy. Although we have adopted investment allocation policies and procedures that are designed to ensure fair and equitable treatment over time, and expect these policies and procedures to continue to evolve, those policies and procedures will not eliminate all potential conflicts. Certain investment opportunities may be allocated to certain funds that have lower fees or to our co-investment funds that pay no fees.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Conflicts of interest may arise in our allocation of costs and expenses, and we are subject to increased regulatory scrutiny and uncertainty with regard to those allocations.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As an asset manager with multiple funds, we regularly make determinations to allocate costs and expenses both among our funds and between our funds and us. Certain of those allocation determinations are inherently subjective and virtually all of them are subject to regulatory oversight. Any allocation or allegation of, or investigation into, a potential violation could cause reputational harm and a loss of investor confidence in our business. It could also result in regulatory lapses and any applicable penalties, as well as increased regulatory oversight of our business. In addition, any determination to allocate costs and expenses to us could negatively affect our net income, and ultimately decrease the value of our Class A Common Stock and our dividends to our stockholders. Similar considerations arise when allocating expenses to, or away from vehicles to which specified interests apply.</w:t>
      </w:r>
    </w:p>
    <w:p>
      <w:pPr>
        <w:spacing w:after="0" w:line="1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We have a conflict of interest in determining whether certain costs and expenses are incurred in the course of operating our funds, including the extent to which services provided by certain employees and associated costs, including compensation, are allocable to certain funds. Our funds generally pay or otherwise bear all legal, accounting, filing, and other expenses incurred in connection with organizing and establishing the funds and the offering of interests in the funds, including certain employee compensation. Such determinations often require subjective judgment and may result in us, rather than our funds, being allocated certain fees and expenses. In addition, our funds generally pay all expenses related to the operation of the funds and their investment activities, in certain cases subject to caps. We also determine, in our sole discretion, the appropriate allocation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8" w:name="page39"/>
    <w:bookmarkEnd w:id="38"/>
    <w:p>
      <w:pPr>
        <w:jc w:val="both"/>
        <w:spacing w:after="0" w:line="248" w:lineRule="auto"/>
        <w:rPr>
          <w:sz w:val="20"/>
          <w:szCs w:val="20"/>
          <w:color w:val="auto"/>
        </w:rPr>
      </w:pPr>
      <w:r>
        <w:rPr>
          <w:rFonts w:ascii="Times New Roman" w:cs="Times New Roman" w:eastAsia="Times New Roman" w:hAnsi="Times New Roman"/>
          <w:sz w:val="16"/>
          <w:szCs w:val="16"/>
          <w:color w:val="auto"/>
        </w:rPr>
        <w:t>of investment-related expenses, including broken deal expenses, incurred in respect of unconsummated investments and expenses more generally relating to a particular investment strategy, among our investment products and services, vehicles and accounts participating or that would have participated in such investments or that otherwise participate in the relevant investment strategy, as applicable. That often requires judgment and could result in one or more of our funds bearing more or less of these expenses than other investors or potential investors in the relevant investments or a fund paying a disproportionate share, including some or all, of the broken deal expenses or other expenses incurred by potential investors. Any dispute regarding such allocations could lead to our funds or us, as further described below, having to bear some portion of these costs as well as reputational risk. In addition, for funds that do not pay or otherwise bear the costs and expenses described above because of the application of caps or otherwise, such amounts may be borne by us, which will reduce the amount of net fee income we receive for providing advisory services to the funds.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and unpredictable conflicts of interests may rise in the future.</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addition to the conflicts outlined above, we may experience conflicts of interest in connection with the management of our business affairs relating to and arising from a number of matters, including the amounts paid to us by our investment funds; services that may be provided by us and our affiliates to investments in which our investment funds invest (including the determination of whether or not to charge fees to our investments for our provision of such services); investments by our investment funds and our other clients, subject to the limitations of the Investment Company Act; our formation of additional investment funds; differing recommendations given by us to different clients; and our use of information gained from an investment funds’ investments used to inform investments by other clients, subject to applicable law.</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entitlement and that of certain employees to receive performance income from certain of our investment products and services may create an incentive for us to make more speculative investments and determinations on behalf of our investment products and services than would be the case in the absence of such performance income.</w:t>
      </w:r>
    </w:p>
    <w:p>
      <w:pPr>
        <w:spacing w:after="0" w:line="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Some of our investment products and services generate performance-based fees, including carried interest. Carried interest and performance-based fees or allocations may create an incentive for us or our investment professionals to make more speculative or riskier investments and determinations, directly or indirectly on behalf of our investment products and services, or otherwise take or refrain from taking certain actions than it would otherwise make in the absence of such carried interest or performance-based fees or allocations. It may also create incentives to influence how we establish economic terms for future funds. In addition, we may have an incentive to make exit determinations based on factors that maximize economics in favor of the employees relative to us and our non-participating stockholders. Our failure to appropriately address any actual, potential or perceived conflicts of interest resulting from our entitlement to receive performance income from many of our investment products and services could have a material adverse effect on our reputation, which could materially and adversely affect our business in a number of ways, including limiting our ability to raise additional funds, attract new clients or retain existing clients.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implemented procedures to mitigate potential conflicts of interest and address certain regulatory requirements that prevent us from fully realizing potential synergies across our various businesses.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an effort to mitigate potential conflicts of interest and address regulatory, legal and contractual requirements and contractual restrictions, we have implemented certain procedures that may reduce the positive synergies that would otherwise exist across our various businesses. For example, in certain instances, our procedures prohibit reliance by one of our business lines on due diligence on investment opportunities performed by another business line. This prohibition may result in multiple business lines conducting duplicative and costly due diligence. Additionally, the terms of confidentiality or other agreements with or related to companies in which we have entered, either on our own behalf or on behalf of any of our clients, sometimes restrict or otherwise limit the ability of us or our clients to make investments or otherwise engage in businesses or activities competitive with such companies.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properly disclose conflicts of interest could harm our reputation, results of operations, financial condition or business.</w:t>
      </w:r>
    </w:p>
    <w:p>
      <w:pPr>
        <w:spacing w:after="0" w:line="1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We currently provide or may in the future provide a broad spectrum of financial services, including investment advisory, asset management, capital markets, and idea generation. Because of our size and the variety of investment strategies that we pursue, we may face a higher degree of scrutiny compared with investment managers that are smaller or focus on fewer asset classes. In the ordinary course of business, we engage in activities in which our interests or the interests of our clients may conflict with the interests of other clients, including the investors in our funds. Such conflicts of interest could adversely affect one or more of our clients and/or our performance or returns to our investors.</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Certain of our clients may have overlapping investment objectives, including clients that have different fee structures and/or investment strategies that are more narrowly focused, and potential conflicts may arise with respect to allocation of investment opportunities among those clients. We will, from time to time, be presented with investment opportunities that fall within the investment objectives of multiple clients. In such circumstances, we will seek to allocate such opportunities among our clients on a basis that we reasonably determine in good faith to be fair and equitable, and may take into account a variety of relevant factors in determining eligibility, including the investment team primarily responsible for sourcing or performing due diligence on the transaction, the nature of the investment focus of each client, the relative amounts of capital available for investment, anticipated expenses to the applicable client and/or to us with regard to investment by our various clients, the investment pacing and timing of our clients and other considerations deemed relevant by us. Allocating investment opportunities appropriately frequently involves significant and subjective judgments. The risk that investors could challenge allocation decisions as inconsistent with our obligations under applicable law, governing client agreements or our own policies cannot be eliminated. In addition, the perception of non-compliance with such requirements or policies could harm our reputation with investors.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clients may invest in companies in which we or one or more or our other clients also invest, either directly or indirectly. Investments in a company by certain of our clients may be made prior to the investment by other clients, concurrently, including as part of the same financing plan or subsequent to the investments by such other clients. Any such investment by a client may consist of securities or other instruments of a different class or type from those in which other of our clients are invested, and may entitle the holder of such securities and other instruments to greater control or to rights that otherwise differ from those to which such other clients are entitled. In connection with any such investments —including as they relate to acquisition, owning, and disposition of such investments—our clients may have conflicting interests and investment objectives, and any difference in the terms of the securities or other instruments held by such parties may raise additional conflicts of interest for our clients and us. Our failure to adequately mitigate these conflicts could give rise to regulatory and investor scrutiny.</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the ordinary course of our investment activities on behalf of our clients, we receive investment-related information. We do not generally establish information barriers between internal investment teams. To the extent permitted by law, investment professionals have access to and make use of such investment-related information in making investment decisions for our clients. Therefore, information related to investments made on behalf of a particular client may inform investment decisions made in respect of another of our clients or otherwise be used and monetized by us. The access and use of this information may create conflicts between our clients and between our clients and us, and no client, including any fund investor, is entitled to any compensation for any profits earned by another client or us based on our use of investment-related information received in connection with managing such clients.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Certain persons employed by or otherwise associated with us are related to, or otherwise have business, personal, political, financial, or other relationships with, persons employed by or otherwise associated with service providers engaged for our clients, and third-party investment managers with whom we invest on behalf of our clients. These types of relationships may also influence us in deciding whether to select or recommend such a service provider to perform services for a particular client or to make or redeem an investment on behalf of a client.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0" w:name="page41"/>
    <w:bookmarkEnd w:id="40"/>
    <w:p>
      <w:pPr>
        <w:jc w:val="both"/>
        <w:spacing w:after="0" w:line="273" w:lineRule="auto"/>
        <w:rPr>
          <w:sz w:val="20"/>
          <w:szCs w:val="20"/>
          <w:color w:val="auto"/>
        </w:rPr>
      </w:pPr>
      <w:r>
        <w:rPr>
          <w:rFonts w:ascii="Times New Roman" w:cs="Times New Roman" w:eastAsia="Times New Roman" w:hAnsi="Times New Roman"/>
          <w:sz w:val="16"/>
          <w:szCs w:val="16"/>
          <w:color w:val="auto"/>
        </w:rPr>
        <w:t>Additionally, we permit employees, former employees and other parties associated with the firm to invest in or alongside our funds on a no-fee, no-carry basis. These arrangements may create a conflict in connection with investments we make on behalf of our clients.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It is possible that actual, potential or perceived conflicts could give rise to investor dissatisfaction or litigation or regulatory enforcement actions.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attract new investors or retain existing clients.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We pay carried interest and performance-based fees to our investment professionals and other personnel in order to attract and retain them, which may result in a reduction of our revenues and a decrease in our profit margins.</w:t>
      </w:r>
    </w:p>
    <w:p>
      <w:pPr>
        <w:spacing w:after="0" w:line="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order to recruit and retain existing and future investment professionals and other key personnel, and to further align the interests of our investment professionals and other personnel with the investment performance of our funds and other products, we expect to increase the level, or change the form or composition, of the amounts we pay to them, including providing them with a greater share of carried interest or performance-based fees. If we increase these amounts, it will likely reduce our revenues, or cause a higher percentage of our revenue to be paid out in the form of compensation, adversely impacting our profit margins. To the extent an increased share of carried interest and performance-based fees are insufficient to ensure an adequate amount of cash is received by our investment professionals and other key personnel, we may not be able to adequately attract or retain them.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Geographical Environment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international operations subject us to numerous risks.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or the External Strategic Managers in which we have made strategic investments maintain operations in the United Kingdom and Hong Kong, among other places, and may grow our business into new regions with which we have less familiarity and experience, and this growth is important to our overall success. In addition, many of our investors are non-U.S. entities where we are expected to have a familiarity with the specific legal and regulatory requirements applicable to such investors. We rely upon stable and free international markets, not only in connection with seeking investors outside the U.S. but also in investing fund capital in these markets.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international operations carry special financial and business risks, which could include the following:</w:t>
      </w:r>
    </w:p>
    <w:p>
      <w:pPr>
        <w:spacing w:after="0" w:line="124"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difficulties in managing and staffing foreign operations;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between the U.S. and foreign capital markets, such as for accounting, auditing, financial reporting and legal standards, practices and disclosure requirements;</w:t>
      </w:r>
    </w:p>
    <w:p>
      <w:pPr>
        <w:spacing w:after="0" w:line="15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 that could adversely affect our results;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costs of complying with, and exposure to liability under, foreign regulatory regimes;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policies;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trading policies, regulatory requirements, tariffs and other barriers;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transaction cycles;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operating costs;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labor conditions and regulations;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consequences or restrictions on the repatriation of earnings;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1" w:name="page42"/>
    <w:bookmarkEnd w:id="41"/>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such as trapped foreign losses;</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stable political and economic environments;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terrorism, political hostilities, war, public health crises and other civil disturbances or other catastrophic or pandemic events that reduce business activity;</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and language barriers and the need to adopt different business practices in different geographic areas; and</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collecting fees and, if necessary, enforcing judgments.</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part of our day-to-day operations outside the United States, we are required to maintain compensation programs, employment policies, compliance policies and procedures and other administrative programs that comply with the laws of multiple countries. We also must communicate and monitor standards and directives across our global operations. Changes in governmental policy may adversely affect the profitability of our business. Our failure to successfully manage and grow our geographically diverse operations could impair our ability to react quickly to changing business and market conditions and to enforce compliance with non-U.S. standards and procedures.</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materially and adversely affected if we are unable to successfully manage these and other risks of international operations in a volatile environment. If our international business increases relative to our total business, these factors could have a more pronounced effect on our results of operations or growth prospects.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in Hong Kong may be adversely affected by political and trade tensions between the U.S. and China.</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our client portfolios, we maintain (depending upon client objective and mandate) allocations of investments in Asian equities and Emerging Market Funds. In both cases, we have direct exposure to Hong Kong equities, Chinese equities and equities of other Asian countries for which China is a significant export market. In the case of a significant change in how the Chinese government treats Hong Kong or regulation of its equity markets, or how China itself evolves from a sovereign risk perspective, there may be risk to the valuation of these shares. Our Hong Kong wealth management business represents $1.0 billion in AUM as of December 31, 2024, which represents approximately 1.3% of our AUM and less than 2.7% of revenue for the year ended December 31, 2024. Moreover, more than 99% of our Hong Kong client assets are custodied in locations other than China or Hong Kong.</w:t>
      </w:r>
    </w:p>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business operations and financial condition may be affected by political and legal developments in Hong Kong. Hong Kong is a special administrative region of the People’s Republic of China (the “PRC”) and the basic policies of the PRC regarding Hong Kong are reflected in the Basic Law, which provides Hong Kong with a high degree of autonomy and executive, legislative and independent judicial powers, including that of final adjudication under the principle of “one country, two systems.”</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However, there is no assurance that the PRC will not cause changes in the economic, political and legal environment in Hong Kong in the future. The U.S. State Department has indicated that the United States no longer considers Hong Kong to have significant autonomy from China. Any reduction in Hong Kong’s autonomy may have adverse global implications. Tensions between the United States and China with respect to international trade policy, human rights and relations with Taiwan and Russia may result in the imposition of more tariffs, export controls or economic sanctions, the application of which may be extended to Hong Kong. Legislative or administrative actions with respect to China-U.S. relations could cause investor uncertainty for affected issuers, including us, and the market price of our Common Stock could be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2" w:name="page43"/>
    <w:bookmarkEnd w:id="42"/>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are expanding our business and may enter into new lines of business or geographic markets, which may result in additional risks and uncertainties and place significant demands on our administrative, operational and financial resources. There can be no assurance that we will be able to successfully manage this growth.</w:t>
      </w:r>
    </w:p>
    <w:p>
      <w:pPr>
        <w:spacing w:after="0" w:line="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currently generate substantially all of our revenues from either management fees and/or incentive fees. However, we intend to grow our business by offering additional products and services, by entering into new lines of business and by entering into, or expanding our presence in, new geographic markets. Introducing new types of investment structures, products and services could increase our operational costs, and the complexities involved in managing such investments, including with respect to ensuring compliance with regulatory requirements and the terms of the investment. For example, we invest in funds that seek to capitalize on investment opportunities accessed by investing with women-owned and minority-owned investment firms and funds, which may be subject to greater levels of regulatory scrutiny.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 In addition, we have in the past and continue in the future to explore opportunities to grow our business via acquisitions, partnerships, investments or other strategic transactions, and to execute on those opportunities. There can be no assurance that we will successfully identify, negotiate or complete such transactions in the future, that any completed transactions will produce favorable financial results or that we will be able to successfully integrate an acquired business with ours.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Entry into certain lines of business or geographic markets or the introduction of new types of products or services may subject us to new laws and regulations with which we are not familiar, or from which we are currently exempt, and may lead to increased litigation and regulatory risk. If a new business generates insufficient revenues or if we are unable to efficiently manage our expanded operations, our business, financial condition and results of operations could be materially and adversely affected.</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future growth will depend in part on our ability to maintain an operating platform and management system sufficient to address our growth and may require us to incur significant additional expenses and to commit additional senior management and operational resources. As a result, we may face significant challenges in:</w:t>
      </w:r>
    </w:p>
    <w:p>
      <w:pPr>
        <w:spacing w:after="0" w:line="80"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adequate financial, regulatory (legal, tax and compliance) and business controls;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current and future investors and stockholders with accurate and consistent reporting;</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new or updated information and financial systems and procedures;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managing and appropriately sizing our work force and other components of our businesses on a timely and cost-effective basis.</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may not be able to manage our expanding operations effectively and may not be ready to continue to grow because of operational needs, and any failure to do so could adversely affect our ability to generate revenue and control our expenses. In addition, if we are unable to consummate or successfully integrate development opportunities, acquisitions or joint ventures, we may not be able to implement our growth strategy successfully.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Regulatory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litigation risk and subject to regulatory examinations and investigations.</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financial services industry faces substantial regulatory risks and litigation. Like many firms operating within the financial services industry, we are experiencing a difficult regulatory environment across our markets. Our current scale and reach as a provider to the financial services industry, the continued stringent regulatory oversight of the financial services industry generally, new laws and regulations affecting the financial services industry, ever-changing regulatory interpretations of existing laws and regulations and the retroactive imposition of new interpretations through enforcement actions have made this an increasingly challenging and costly regulatory environment in which to operate. These examinations or investigations, including any enforcement action brought by the SEC, UK FCA or other regulator against us, could result in the identification of matters that may require remediation activities or enforcement proceedings by the relevant regulator. The direct and indirect costs of responding to these examinations, or of defending us in any litigation could be significant. Additionally, actions brought against us may result in settlements, awards, injunctions, fines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penalties. The outcome of litigation or regulatory action is inherently difficult to predict and could have an adverse effect on our ability to offer some of our products and services.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government regulation, and our failure or inability to comply with these regulations or regulatory action against us could adversely affect our results of operations, financial condition or business.</w:t>
      </w:r>
    </w:p>
    <w:p>
      <w:pPr>
        <w:spacing w:after="0" w:line="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business activities are subject to extensive and evolving laws, rules and regulations. Any changes or potential changes in the regulatory framework applicable to our business may impose additional expenses or capital requirements on us, limit our fundraising activities, have an adverse effect on our business, financial condition, results of operations, reputation or prospects, impair employee retention or recruitment and require substantial attention by senior management. It is impossible to determine the extent of the impact of any new laws, regulations, initiatives or regulatory guidance that may be proposed or may become law on our business or the markets in which we operate.</w:t>
      </w:r>
    </w:p>
    <w:p>
      <w:pPr>
        <w:spacing w:after="0" w:line="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Governmental authorities around the world have implemented or are implementing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risk management and anti-money laundering procedures; restrictions on specific types of investments and the provision and use of leverage; implementation of capital requirements; limitations on compensation to managers; and books and records, reporting and disclosure requirements. We cannot predict with certainty the impact on us, our clients, or on alternative investment funds generally, of any such reforms. Any of these regulatory reform measures could have an adverse effect on our clients’ investment strategies or our business model. We may incur significant expense in order to comply with such reform measures and may incur significant liabilities if regulatory authorities determine that we are not in compliance.</w:t>
      </w:r>
    </w:p>
    <w:p>
      <w:pPr>
        <w:spacing w:after="0" w:line="10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Our business is subject to regulation in the United States, including by the SEC, the Commodity Futures Trading Commission, the IRS, and other regulatory agencies. Any change in such regulation or oversight could materially increase our financial burden in order to comply with such regulation or have a material adverse effect on our business, financial condition and results of operations. In addition, we regularly rely on exemptions from various requirements of these and other applicable laws. These exemptions are sometimes highly complex and may in certain circumstances depend on compliance by third parties whom we do not control. If, for any reason, these exemptions were to be revoked or challenged or otherwise become unavailable to us, we could be subject to regulatory action or third-party claims, and our business, financial condition and results of operations could be materially and adversely affected. Our failure to comply with applicable laws or regulations could result in fines, suspensions of personnel or other sanctions, including revocation of certain of our subsidiaries’ registrations as investment advisors, recession of contracts or products that we offer. Even if a sanction imposed against us or our personnel is small in monetary amount, the adverse publicity arising from the imposition of sanctions against us by regulators could harm our reputation and cause us to lose existing clients or fail to gain new clients.</w:t>
      </w:r>
    </w:p>
    <w:p>
      <w:pPr>
        <w:spacing w:after="0" w:line="1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SEC continues to increase its regulation of the asset management and private equity industries, focusing on the private equity industry’s fees, allocation of expenses to funds, including the allocation of broken-deal expenses, marketing practices, allocation of investment opportunities, disclosures to investors, and general conflicts of interest disclosures. The SEC has also heightened its focus on the valuation practices employed by investment advisers. The lack of readily ascertainable market prices for many of the investments made by our clients or the funds in which we invest could subject our valuation policies and processes to increased scrutiny by the SEC. We may be adversely affected as a result of new or revised legislation or regulations imposed by the SEC, other U.S. or foreign governmental regulatory authorities or self-regulatory organizations that supervise the financial markets. Brexit may result in our being subject to new and increased regulations if we can no longer rely on passporting privileges that allow U.K. financial institutions to access the EU single market without restrictions. We also may be adversely affected by changes in the interpretation or enforcement of existing laws and rules by these governmental authorities and self-regulatory organizations.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are subject to the fiduciary responsibility provisions of ERISA and the prohibited transaction provisions of ERISA and Section 4975 of the Code in connection with the management of certain of funds. With respect to these funds, this means that (1) the application of the fiduciary responsibility standards of ERISA to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4" w:name="page45"/>
    <w:bookmarkEnd w:id="44"/>
    <w:p>
      <w:pPr>
        <w:jc w:val="both"/>
        <w:spacing w:after="0" w:line="233" w:lineRule="auto"/>
        <w:rPr>
          <w:sz w:val="20"/>
          <w:szCs w:val="20"/>
          <w:color w:val="auto"/>
        </w:rPr>
      </w:pPr>
      <w:r>
        <w:rPr>
          <w:rFonts w:ascii="Times New Roman" w:cs="Times New Roman" w:eastAsia="Times New Roman" w:hAnsi="Times New Roman"/>
          <w:sz w:val="16"/>
          <w:szCs w:val="16"/>
          <w:color w:val="auto"/>
        </w:rPr>
        <w:t>made by such funds, including the requirement of investment prudence and diversification, and (2) certain transactions that we enter into, or may have entered into, on behalf of these funds, in the ordinary course of business, are subject to the prohibited transactions rules under Section 406 of ERISA and Section 4975 of the Code. A non-exempt prohibited transaction, in addition to imposing potential liability upon fiduciaries of an ERISA plan, may also result in the imposition of an excise tax under the Code upon a “party in interest” (as defined in ERISA), or “disqualified person” (as defined in the Code), with whom we engaged in the transaction. In addition, a court could find that our funds that invest directly in operating companies have formed a partnership-in-fact conducting a trade or business with such operating companies and would therefore be jointly and severally liable for these companies’ unfunded pension liabilities.</w:t>
      </w:r>
    </w:p>
    <w:p>
      <w:pPr>
        <w:spacing w:after="0" w:line="1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 addition, certain entities in our structure are registered as an investment adviser with the SEC and are subject to the requirements and regulations of the Advisers Act. Such requirements relate to, among other things, restrictions on entering into transactions with clients,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certain of our subsidiaries are registered investment advisors, they have fiduciary duties to our clients. A failure to comply with the obligations imposed by the Advisers Act,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the EU, MiFID II requires, among other things, all MiFID investment firms to comply with prescriptive disclosure, transparency, reporting and recordkeeping obligations and obligations in relation to the receipt of investment research, best execution, product governance and marketing communications. As we operate investment firms which are subject to MiFID II, we have implemented policies and procedures to comply with MiFID II where relevant, including where certain rules have an extraterritorial impact on us. Compliance with MiFID II has resulted in greater overall complexity, higher compliance, administration and operational costs, and less overall flexibility. The complexity, operational costs and reduction in flexibility may be further compounded as a result of Brexit. This is because the UK is both: (i) no longer generally required to transpose EU law into UK law; and (ii) electing to transpose certain EU legislation into UK law subject to various amendments and subject to the UK FCA’s oversight rather than that of EU regulators. Taken together, (i) and (ii) could result in divergence between the UK and EU regulatory frameworks.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addition, across the EU, we are subject to the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relate primarily to registration and reporting obligations. As described above, Brexit and the potential resulting divergence between the UK and EU regulatory frameworks may result in additional complexity and costs in complying with AIFMD across both the UK and EU.</w:t>
      </w:r>
    </w:p>
    <w:p>
      <w:pPr>
        <w:spacing w:after="0" w:line="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EU Securitization Regulation (the “Securitization Regulation”) imposes due diligence and risk retention requirements on “institutional investors,” which includes managers of alternative investment funds assets, and constrains the ability of alternative investment funds to invest in securitization positions that do not comply with the prescribed risk retention requirements. The Securitization Regulation may impact or limit our funds’ ability to make certain investments that constitute “securitizations” and may impose additional reporting obligations on securitizations, which may increase the costs of managing such vehicles.</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 new EU Regulation on the prudential requirements of investment firms (Regulation (EU) 2019/2033) and its accompanying Directive (Directive (EU) 2019/2034) (together, “IFR/IFD”) went into effect on June 26, 2021. IFR/IFD introduced a bespoke prudential regime for most MiFID investment firms to replace the one that previously applied under the fourth Capital Requirements Directive and the Capital Requirements Regulation. IFR/IFD represents a complete overhaul of “prudential” regulation in the EU. As the application dates for IFR/IFD fall outside the end of the Brexit transition period, the UK is not required to implement the legislation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5" w:name="page46"/>
    <w:bookmarkEnd w:id="45"/>
    <w:p>
      <w:pPr>
        <w:jc w:val="both"/>
        <w:spacing w:after="0" w:line="235" w:lineRule="auto"/>
        <w:rPr>
          <w:sz w:val="20"/>
          <w:szCs w:val="20"/>
          <w:color w:val="auto"/>
        </w:rPr>
      </w:pPr>
      <w:r>
        <w:rPr>
          <w:rFonts w:ascii="Times New Roman" w:cs="Times New Roman" w:eastAsia="Times New Roman" w:hAnsi="Times New Roman"/>
          <w:sz w:val="16"/>
          <w:szCs w:val="16"/>
          <w:color w:val="auto"/>
        </w:rPr>
        <w:t>will instead establish a new Investment Firms Prudential Regime which is intended to achieve similar outcomes to IFD/IFR. There is a risk that the new regime will result in higher regulatory capital requirements for affected firms and new, more onerous remuneration rules, as well as re-cut and extended internal governance, disclosure, reporting, liquidity, and group “prudential” consolidation requirements (among other things), each of which could have a material impact on our European operations, although there are transitional provisions allowing firms to increase their capital to the necessary level over three to five years.</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It is expected that additional laws and regulations will come into force in the EEA, the EU, the UK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U.S. foreign investment regulations, which may impose conditions on or limit certain investors’ ability to purchase or maintain our Class A Common Stock.</w:t>
      </w:r>
    </w:p>
    <w:p>
      <w:pPr>
        <w:spacing w:after="0" w:line="1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Investments that involve the acquisition of, or investment in, a U.S. business by a non-U.S. investor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802, as amended, administered by the Committee on Foreign Investment in the United States (“CFIUS”).</w:t>
      </w:r>
    </w:p>
    <w:p>
      <w:pPr>
        <w:spacing w:after="0" w:line="16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6"/>
          <w:szCs w:val="16"/>
          <w:color w:val="auto"/>
        </w:rPr>
        <w:t>Whether CFIUS has jurisdiction to review an acquisition or investment transaction depends on, among other factors, the nature and structure of the transaction, including the level of beneficial ownership interest and the nature of any information or governance rights involved. For example, investments that result in “control” of a “U.S. business” by a “foreign person” (in each case, as such terms are defined in 31 C.F.R. Part 800) are subject to CFIUS jurisdiction. Significant CFIUS reform legislation, which was fully implemented through regulations that became effective in 2020, expanded the scope of CFIUS’s jurisdiction to investments that do not result in control of a U.S. business by a foreign person, but where they afford certain foreign investors certain information or governance rights in a U.S. business that has a nexus to “critical technologies,” “covered investment critical infrastructure,” and/or “sensitive personal data” (in each case, as such terms are defined in 31 C.F.R. Part 800). The new U.S. Administration may also seek to expand the scope of regulation on foreign investment through executive orders.</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Business Combination resulted in investments in various U.S. entities by non-U.S. persons that could be considered by CFIUS to result in a covered control transaction that CFIUS would have authority to review. IlWaddi Cayman Holdings is organized in the Cayman Islands and has its principal place of business in Qatar, and its sole ultimate beneficial owner is a Qatar national, and holds approximately 15.0% of our issued and outstanding Common Stock. Global Goldfield Limited is organized in and has a principal place of business in Hong Kong, and its sole ultimate beneficial owner is a Hong Kong national, and holds approximately 8.7% of our issued and outstanding Common Stock. Several of our directors and executive officers, including each of such persons who is currently a partner and/or officer of AlTi, are also citizens and/or residents of countries other than the United States. While we do not believe that any of the foregoing foreign persons or entities, nor any other foreign person or entity, “controls” us or any of our subsidiaries, CFIUS or another U.S. governmental agency could choose to review any of our past or proposed transactions, including the Business Combination, involving new or existing foreign investors, even if a filing with CFIUS is or was not required at the time of such transaction.</w:t>
      </w:r>
    </w:p>
    <w:p>
      <w:pPr>
        <w:spacing w:after="0" w:line="1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There can be no assurances that CFIUS or another U.S. governmental agency will not choose to review the Business Combination or any of our past or proposed transactions. There are no time bars or statute of limitations for CFIUS to exert jurisdiction over a transaction. Any review and approval of an investment or transaction by CFIUS may have outsized impacts on transaction certainty, timing, feasibility, and cost, among other things. CFIUS policies and agency practices are rapidly evolving, and, in the event that CFIUS reviews the Business Combination or one or more proposed or existing investments by investors, there can be no assurances that such investors will be able to maintain, or proceed with, such investments on terms acceptable to the parties to the Business Combination or to such investors. Among other things, CFIUS could seek to impose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6" w:name="page47"/>
    <w:bookmarkEnd w:id="46"/>
    <w:p>
      <w:pPr>
        <w:jc w:val="both"/>
        <w:spacing w:after="0" w:line="315" w:lineRule="auto"/>
        <w:rPr>
          <w:sz w:val="20"/>
          <w:szCs w:val="20"/>
          <w:color w:val="auto"/>
        </w:rPr>
      </w:pPr>
      <w:r>
        <w:rPr>
          <w:rFonts w:ascii="Times New Roman" w:cs="Times New Roman" w:eastAsia="Times New Roman" w:hAnsi="Times New Roman"/>
          <w:sz w:val="14"/>
          <w:szCs w:val="14"/>
          <w:color w:val="auto"/>
        </w:rPr>
        <w:t>limitations or restrictions on, or prohibit, investments by such investors (including, but not limited to, limits on purchasing our Common Stock, limits on information sharing with such investors, requiring a voting trust, governance modifications, or forced divestiture, among other things), or CFIUS could require us to divest a portion of the Target Companies.</w:t>
      </w:r>
    </w:p>
    <w:p>
      <w:pPr>
        <w:spacing w:after="0" w:line="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Changes in tax law or policy could increase our effective tax rate and tax liability or the taxes payable by investors in our funds or holders of shares of our Common Stock, each of which could have a material adverse effect on our business, financial condition and results of operations.</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rules addressing U.S. federal, state and local and non-U.S. income taxation are constantly under review including by persons involved in the legislative process and by the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 addition, our effective tax rate and tax liability are based on the application of current income tax laws, regulations and treaties. These laws, regulations and treaties are complex, and the manner which they apply to us and our funds and diverse set of business arrangements is often open to interpretation. Significant management judgment is required in determining our provision for income taxes, our deferred tax assets and liabilities and any valuation allowance recorded against our net deferred tax assets. The tax authorities could challenge our interpretation of laws, regulations and treaties, resulting in additional tax liability or adjustment to our income tax provision that could increase our effective tax rate. Changes to tax laws may also adversely affect our ability to attract and retain key personnel.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the excise tax included in the Inflation Reduction Act of 2022 in connection with redemptions of our Class A Common Stock.</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August 16, 2022, President Biden signed into law the Inflation Reduction Act, which, among other things, imposes a 1% excise tax on any domestic corporation the stock of which is traded on an established securities market (a “covered corporation”) that repurchases its stock after December 31, 2022 (the “Excise Tax”). The Excise Tax is imposed on the fair market value of the repurchased stock, subject to certain exceptions and adjustments. Because we are a Delaware corporation and our securities trade on Nasdaq, we are a “covered corporation” within the meaning of the Inflation Reduction Act and the Excise Tax may apply to any future redemptions of our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state and foreign anti-corruption, export control and sanctions laws create the potential for significant liabilities and penalties and reputational harm.</w:t>
      </w:r>
    </w:p>
    <w:p>
      <w:pPr>
        <w:spacing w:after="0" w:line="6"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6"/>
          <w:szCs w:val="16"/>
          <w:color w:val="auto"/>
        </w:rPr>
        <w:t>We are also subject to a number of laws and regulations governing payments and contributions to political persons or other third parties, including restrictions imposed by the U.S. Foreign Corrupt Practices Act of 1977 (“FCPA”), as well as trade sanctions and export control laws administered by the Office of Foreign Assets Control of the U.S. Department of the Treasury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and economic and trade sanctions laws and regulations based on U.S. foreign policy and national security goals against targeted foreign states, regions, organizations, entities and individuals. These laws and regulations relate to a number of aspects of our business, including with respect to servicing existing investors, finding new investors, and sourcing new investments, as well as activities by the portfolio companies in our investment portfolio or other controlled investments.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7" w:name="page48"/>
    <w:bookmarkEnd w:id="47"/>
    <w:p>
      <w:pPr>
        <w:jc w:val="both"/>
        <w:spacing w:after="0" w:line="265" w:lineRule="auto"/>
        <w:rPr>
          <w:sz w:val="20"/>
          <w:szCs w:val="20"/>
          <w:color w:val="auto"/>
        </w:rPr>
      </w:pPr>
      <w:r>
        <w:rPr>
          <w:rFonts w:ascii="Times New Roman" w:cs="Times New Roman" w:eastAsia="Times New Roman" w:hAnsi="Times New Roman"/>
          <w:sz w:val="14"/>
          <w:szCs w:val="14"/>
          <w:color w:val="auto"/>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materially and adversely affect our business, results of operations and financial condition. In addition, we may be subject to successor liability for FCPA violations or other acts of bribery, or violations of applicable sanctions or other export control laws, committed by companies in which we or our clients invest or which we or our clients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financial condition and results of operations.</w:t>
      </w:r>
    </w:p>
    <w:p>
      <w:pPr>
        <w:spacing w:after="0" w:line="2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“pay to play” regulations implemented by the SEC and certain states, and changes to the “pay to play” regulatory regimes, could adversely affect our business.</w:t>
      </w:r>
    </w:p>
    <w:p>
      <w:pPr>
        <w:spacing w:after="0" w:line="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Certain states and other regulatory authorities require investment managers to register as lobbyists. We are registered as a lobbyist in California. These registration requirements impose significant compliance obligations on registered lobbyists and their employers, which may include annual registration fees, periodic disclosure reports and internal record keeping, and may also prohibit the payment of contingent fees.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Under applicable SEC rules, investment advisers are required to implement compliance policies designed, among other matters, to track contributions by certain of the adviser’s employees and engagements of third parties that solicit government entities and to keep certain records to enable the SEC to determine compliance with the rule. The SEC also has adopted rules that, among other things, prohibit an investment adviser from providing advisory services for compensation with respect to a government plan investor for two years after the adviser or certain of its executives or employees make a contribution to certain elected officials or candidates.</w:t>
      </w:r>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These rules could impose significant economic sanctions on our business if we or one of the other persons covered by the rules make any prohibited contribution or payment, whether or not material or with an intent to secure an investment from certain government entities, including a public pension plan. We may also acquire other investment managers or hire additional personnel who are not subject to the same restrictions as us, but whose activity, and the activity of their principals, prior to our ownership or employment of such person, could affect our product raising. Any failure on our part to comply with these rules could cause us to lose compensation for our advisory services or expose us to significant penalties and reputational damage.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regulations regarding the prevention of money laundering or terrorism or national security could adversely affect our business.</w:t>
      </w:r>
    </w:p>
    <w:p>
      <w:pPr>
        <w:spacing w:after="0" w:line="11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As part of our responsibility for the prevention of money laundering under applicable laws, we may require detailed verification of a prospective investor’s identity and the source of such prospective investor’s funds. In the event of delay or failure by a prospective investor to produce any such information required for verification purposes, we may refuse to admit the investor to our investment products and services. We may from time-to-time request (outside of the subscription process), and our investment products and services’ investors will be obligated to provide to us as appropriate upon such request, additional information as from time to time may be required for us to satisfy our obligations under these and other laws that may be adopted in the future. Additionally, we may from time to time be obligated to file reports with regulatory authorities in various jurisdictions with regard to, among other things, the identity of our investment products and services’ investors and suspicious activities involving the interests of our investment products and services. In the event it is determined that any investor, or any direct or indirect owner of any investor, is a person identified in any of these laws as a prohibited person, or is otherwise engaged in activities of the type prohibited under these laws, we may be obligated, among other actions to be taken, to withhold distributions of any funds otherwise owing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to such investor or to cause such investor’s interests to be cancelled or otherwise redeemed (without the payment of any consideration in respect of those interests).</w:t>
      </w:r>
    </w:p>
    <w:p>
      <w:pPr>
        <w:spacing w:after="0" w:line="1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Bank Secrecy Act of 1970 and the USA PATRIOT Act require that financial institutions (a term that includes banks, broker-dealers and investment companies) establish and maintain compliance programs to guard against money laundering activities. Laws or regulations may presently or in the future require us, our investment products and services or any of our affiliates or other service providers to establish additional anti-money laundering procedures, to collect information with respect to our investment products and services’ investors, to share information with governmental authorities with respect to our investment products and services’ investors or to implement additional restrictions on the transfer of the interests. These requirements can lead to increased expenses and exposure to enforcement actions.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Financial regulations and changes thereto in the United States could adversely affect our business and the possibility of increased regulatory focus could result in additional burdens and expenses on our business.</w:t>
      </w:r>
    </w:p>
    <w:p>
      <w:pPr>
        <w:spacing w:after="0" w:line="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Dodd-Frank Act has imposed significant changes on almost every aspect of the U.S. financial services industry, including aspects of our business. In June 2010, the SEC approved Rule 206(4)-5 under the Advisers Act regarding “pay to play” practices by investment advisers involving campaign contributions and other payments to government clients and elected officials able to exert influence on such clients. The rule prohibits investment advisers from providing advisory services for compensation to a government client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client. Any failure on our part to comply with the rule could expose us to significant penalties, loss of fees, and reputational damage. There have also been similar laws, rules and regulations and/or policies adopted by a number of states and municipal pension plans, which prohibit, restrict or require disclosure of payments to (and/or certain contracts with) state officials by individuals and entities seeking to do business with state entities, including investment by public retirement funds.</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On May 16, 2016, the SEC and other federal regulatory agencies proposed a rule that would apply requirements on incentive-based compensation arrangements of “covered financial institutions,” including certain registered investment advisers above a specific asset threshold. This rule, if adopted, could limit our ability to recruit and retain investment professionals and senior management executives. However, the proposed rule remains pending and may be subject to significant modifications. In addition, as directed under the Dodd-Frank Act, on October 26, 2022, the SEC adopted final rules under which companies listed on the NYSE and Nasdaq will be required to adopt “clawback” policies that mandate recovery by companies of certain incentive-based compensation awarded to current and former executives in the event of an accounting restatement. On June 9, 2023, the SEC approved, on an accelerated basis, the NYSE and Nasdaq proposed listing standards implementing the SEC’s Dodd-Frank rules covering the recovery of erroneously awarded compensation and the listing standards became effective on October 2, 2023.</w:t>
      </w:r>
    </w:p>
    <w:p>
      <w:pPr>
        <w:spacing w:after="0" w:line="1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SEC’s amended rule for investment adviser marketing became effective in November 2022. The rule increases regulatory obligations and potential scrutiny and imposes more prescriptive requirements on investment advisers’ marketing activities, including but not limited to prohibitions on advertisements that are misleading or contain material statements that an investment adviser cannot substantiate as well as requirements for performance advertising and the use of placement agent arrangements. The rule impacts the marketing of certain of our funds and other investment advisory functions. Compliance with the new rule entails compliance and operational costs. In September 2022, the SEC staff published a risk alert indicating that the staff will conduct a number of specific national initiatives, as well as a broad review through the examination process, for compliance with the new marketing rule.</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increased regulation, including resulting from changes in U.S. executive administration or Congressional leadership:</w:t>
      </w:r>
    </w:p>
    <w:p>
      <w:pPr>
        <w:spacing w:after="0" w:line="177" w:lineRule="exact"/>
        <w:rPr>
          <w:sz w:val="20"/>
          <w:szCs w:val="20"/>
          <w:color w:val="auto"/>
        </w:rPr>
      </w:pPr>
    </w:p>
    <w:p>
      <w:pPr>
        <w:jc w:val="both"/>
        <w:ind w:left="520" w:hanging="260"/>
        <w:spacing w:after="0" w:line="239" w:lineRule="auto"/>
        <w:tabs>
          <w:tab w:leader="none" w:pos="51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2023, the SEC adopted amendments to accelerate the filing deadlines for companies to make filings of beneficial ownership and to expand the scope of instances where such a filing is required, and rules to require certain asset managers to file with the SEC on a monthly basis certain data related to their short sales activity. The adopted rules require that we to devote additional resources to fulfilling our beneficial ownership and short-sale reporting obligations and there may be additional regulatory attention focused on such activities.</w:t>
      </w:r>
    </w:p>
    <w:p>
      <w:pPr>
        <w:spacing w:after="0" w:line="94" w:lineRule="exact"/>
        <w:rPr>
          <w:rFonts w:ascii="Times New Roman" w:cs="Times New Roman" w:eastAsia="Times New Roman" w:hAnsi="Times New Roman"/>
          <w:sz w:val="16"/>
          <w:szCs w:val="16"/>
          <w:color w:val="auto"/>
        </w:rPr>
      </w:pPr>
    </w:p>
    <w:p>
      <w:pPr>
        <w:jc w:val="both"/>
        <w:ind w:left="520" w:hanging="260"/>
        <w:spacing w:after="0" w:line="230" w:lineRule="auto"/>
        <w:tabs>
          <w:tab w:leader="none" w:pos="51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2023, the SEC adopted amendments to Form PF (the “Form PF Amendments”) that greatly expand the type, amount, and frequency of information the SEC collects from private fund advisers registered with the SEC. The Form PF Amendments require (i) new “quarterly event” reporting for all private equity fund advisers within 60 days of the end of the fiscal quarter regarding certain trigger events (including adviser-led secondary transactions), (ii) expanded reporting for “large private equity fund advisers,” including reporting on any general partner clawback reporting on any limited partner clawback that is more than 10% of the fund’s capital commitments and additional information on events of default, and (iii) new “current” reporting for “large hedge fund advisers” upon a “trigger event,” including certain extraordinary investments losses that are 20% or more of a fund’s reporting fund aggregate calculated value over a rolling 10 business day period, significant margin and default events, certain operations events with respect to the fund’s critical operations, and events associated with withdrawals and / or redemptions of 50% or more of the fund’s net asset value. The Form PF Amendments require the adviser to file additional Form PF reports requiring significant quantitative and qualitative analyses. Consequently, certain of our investment adviser entities will have to devote resources and attention to complying with this additional requirement. The Form PF Amendments will impose operational burdens on such subsidiaries as it will have to build or modify systems to gather the information required by the newly adopted reporting regime. This could result in increased compliance and monitoring costs and divert resources away from advancing a fund’s profitability.</w:t>
      </w:r>
    </w:p>
    <w:p>
      <w:pPr>
        <w:spacing w:after="0" w:line="108"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2023, the SEC proposed a significant transformation of the Custody Rule under the Advisers Act into a new Rule 223-1 (the “Safeguarding Rule”) applicable to SEC-registered investment advisers. The proposed Safeguarding Rule would, among other things:</w:t>
      </w:r>
    </w:p>
    <w:p>
      <w:pPr>
        <w:spacing w:after="0" w:line="101"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Broaden the rule to cover all client assets (and not just funds and securities), including, among other things, digital assets and real estate interests;</w:t>
      </w:r>
    </w:p>
    <w:p>
      <w:pPr>
        <w:spacing w:after="0" w:line="113" w:lineRule="exact"/>
        <w:rPr>
          <w:rFonts w:ascii="Times New Roman" w:cs="Times New Roman" w:eastAsia="Times New Roman" w:hAnsi="Times New Roman"/>
          <w:sz w:val="16"/>
          <w:szCs w:val="16"/>
          <w:color w:val="auto"/>
        </w:rPr>
      </w:pPr>
    </w:p>
    <w:p>
      <w:pPr>
        <w:jc w:val="both"/>
        <w:ind w:left="1020" w:hanging="251"/>
        <w:spacing w:after="0"/>
        <w:tabs>
          <w:tab w:leader="none" w:pos="101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the definition of “custody” to include discretionary investment authority for assets regardless of whether or not they are processed or settled on a delivery versus payment (“DVP”) basis (and will subject separately managed accounts with non-DVP assets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loans and privately offered securities) to surprise examinations);</w:t>
      </w:r>
    </w:p>
    <w:p>
      <w:pPr>
        <w:spacing w:after="0" w:line="95" w:lineRule="exact"/>
        <w:rPr>
          <w:rFonts w:ascii="Times New Roman" w:cs="Times New Roman" w:eastAsia="Times New Roman" w:hAnsi="Times New Roman"/>
          <w:sz w:val="16"/>
          <w:szCs w:val="16"/>
          <w:color w:val="auto"/>
        </w:rPr>
      </w:pPr>
    </w:p>
    <w:p>
      <w:pPr>
        <w:ind w:left="1020" w:hanging="251"/>
        <w:spacing w:after="0" w:line="259" w:lineRule="auto"/>
        <w:tabs>
          <w:tab w:leader="none" w:pos="1022"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Overhaul the requirements relating to qualified custodians, including that the adviser enter into a written agreement with the custodian with an extensive list of required provisions, particularly that the custodian has “possession or control” of client assets; and</w:t>
      </w:r>
    </w:p>
    <w:p>
      <w:pPr>
        <w:spacing w:after="0" w:line="80" w:lineRule="exact"/>
        <w:rPr>
          <w:rFonts w:ascii="Times New Roman" w:cs="Times New Roman" w:eastAsia="Times New Roman" w:hAnsi="Times New Roman"/>
          <w:sz w:val="16"/>
          <w:szCs w:val="16"/>
          <w:color w:val="auto"/>
        </w:rPr>
      </w:pPr>
    </w:p>
    <w:p>
      <w:pPr>
        <w:ind w:left="1020" w:hanging="251"/>
        <w:spacing w:after="0" w:line="259" w:lineRule="auto"/>
        <w:tabs>
          <w:tab w:leader="none" w:pos="101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Narrow the availability of the exception from the qualified custodian requirement for uncertificated privately-offered securities and physical assets and impose new restrictions where the exception still applies.</w:t>
      </w:r>
    </w:p>
    <w:p>
      <w:pPr>
        <w:spacing w:after="0" w:line="80" w:lineRule="exact"/>
        <w:rPr>
          <w:sz w:val="20"/>
          <w:szCs w:val="20"/>
          <w:color w:val="auto"/>
        </w:rPr>
      </w:pPr>
    </w:p>
    <w:p>
      <w:pPr>
        <w:ind w:left="520"/>
        <w:spacing w:after="0" w:line="245" w:lineRule="auto"/>
        <w:rPr>
          <w:sz w:val="20"/>
          <w:szCs w:val="20"/>
          <w:color w:val="auto"/>
        </w:rPr>
      </w:pPr>
      <w:r>
        <w:rPr>
          <w:rFonts w:ascii="Times New Roman" w:cs="Times New Roman" w:eastAsia="Times New Roman" w:hAnsi="Times New Roman"/>
          <w:sz w:val="16"/>
          <w:szCs w:val="16"/>
          <w:color w:val="auto"/>
        </w:rPr>
        <w:t>If adopted, the Safeguarding Rule would represent another radical change in the regulation of custodial practices under the Advisers Act and, like the existing Custody Rule, would likely present a number of significant and burdensome compliance challenges for investment advisers.</w:t>
      </w:r>
    </w:p>
    <w:p>
      <w:pPr>
        <w:spacing w:after="0" w:line="102"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color w:val="auto"/>
        </w:rPr>
        <w:t>In addition, an amended SEC rule and subsequent guidance would, beginning in January 2025, prohibit broker dealers from providing price quotations for certain private debt security offerings unless information about the issuer of these securities is current and publicly available. This rule could affect our ability to trade in certain private debt securities.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0" w:name="page51"/>
    <w:bookmarkEnd w:id="50"/>
    <w:p>
      <w:pPr>
        <w:jc w:val="both"/>
        <w:spacing w:after="0" w:line="235" w:lineRule="auto"/>
        <w:rPr>
          <w:sz w:val="20"/>
          <w:szCs w:val="20"/>
          <w:color w:val="auto"/>
        </w:rPr>
      </w:pPr>
      <w:r>
        <w:rPr>
          <w:rFonts w:ascii="Times New Roman" w:cs="Times New Roman" w:eastAsia="Times New Roman" w:hAnsi="Times New Roman"/>
          <w:sz w:val="16"/>
          <w:szCs w:val="16"/>
          <w:color w:val="auto"/>
        </w:rPr>
        <w:t>These proposed rules, if adopted, could significantly impact the regulatory landscape applicable to our operations, potentially resulting in increased compliance obligations and associated costs. Additionally, they could affect our business by making it more costly financially or burdensome for us to engage in certain business transactions. However, the outcome and timing of these proposed rules remain uncertain. The recent change in the U.S. Administration may influence the SEC’s regulatory priorities and the ultimate disposition of these proposals. At this time, it is unclear whether these proposed rules will be adopted in their current form, modified, or withdrawn altogether.</w:t>
      </w:r>
    </w:p>
    <w:p>
      <w:pPr>
        <w:spacing w:after="0" w:line="1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described above, may impose additional costs on us, impact our ability to generate revenue, require the attention of our senior management or result in limitations on the manner in which we conduct our business. Moreover, we anticipate there may be an increase in regulatory investigations of the trading and other investment activities of private funds, including our investment funds. Compliance with any new laws or regulations (including recent heightened SEC scrutiny regarding adviser compliance with advisers’ own internal policies) could make compliance more difficult and expensive, affect the manner in which we conduct our business and adversely affect our profitability.</w:t>
      </w:r>
    </w:p>
    <w:p>
      <w:pPr>
        <w:spacing w:after="0" w:line="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increasing scrutiny from our clients with respect to the societal and environmental impact of investments we make, which may adversely impact our ability to retain clients or to grow our client base and assets under management or AUA, and also may cause us to more likely invest client capital based on societal and environmental factors instead of investing client capital in the investment opportunities with the highest return potential for a particular level of risk.</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recent years, certain investors, including U.S. public pension funds and certain non-U.S. investors, have placed increasing importance on the impacts of investments to which they invest or commit capital, including with respect to ESG matters. Investors for whom ESG matters are a priority may decide to redeem or withdraw previously committed capital from our funds and accounts (where such withdrawal is permitted) or to not invest or commit capital to future funds or accounts as a result of their assessment of our approach to and consideration of the social cost of our investments or their assessment of the potential impact of investments made by our competitors’ funds and other products. To the extent our access to capital from investors, including public pension funds, is impaired, we may not be able to maintain or increase the size of our funds, investment vehicles or accounts or raise sufficient capital for new funds, investment vehicles or accounts, which may adversely impact our revenues.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transition to sustainable finance accelerates existing risks and raises new risks for our business that may impact our profitability and success.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failure to comply with applicable legal and regulatory changes in relation to ESG matters may attract increased regulatory scrutiny of our business and could result in fines and/or other sanctions being levied against us.</w:t>
      </w:r>
    </w:p>
    <w:p>
      <w:pPr>
        <w:spacing w:after="0" w:line="1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European Commission has implemented various legislative reforms, which include, without limitation: (a) Regulation 2019/2088 regarding the introduction of transparency and disclosure obligations for investors, funds and asset managers in relation to ESG factors, for which most rules took effect beginning on March 10, 2021; (b) a regulation regarding the introduction of an EU-wide taxonomy of environmentally sustainable activities, which takes effect in a staggered approach following the first phase which came into effect as of January 1, 2022; and (c) amendments to existing regulations including MiFID II and AIFMD to embed ESG requirements. As a result of these legislative initiatives, we may be required to provide additional disclosure to investors in our funds with respect to ESG matters. This exposes us to increased disclosure risks, for example due to a lack of available or credible data, and the potential for conflicting disclosures may also expose us to an increased risk of misstatement litigation or misselling allegations. Failure to manage these risks could result in a material adverse effect on our business in a number of ways.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1" w:name="page52"/>
    <w:bookmarkEnd w:id="51"/>
    <w:p>
      <w:pPr>
        <w:jc w:val="both"/>
        <w:spacing w:after="0" w:line="274" w:lineRule="auto"/>
        <w:rPr>
          <w:sz w:val="20"/>
          <w:szCs w:val="20"/>
          <w:color w:val="auto"/>
        </w:rPr>
      </w:pPr>
      <w:r>
        <w:rPr>
          <w:rFonts w:ascii="Times New Roman" w:cs="Times New Roman" w:eastAsia="Times New Roman" w:hAnsi="Times New Roman"/>
          <w:sz w:val="14"/>
          <w:szCs w:val="14"/>
          <w:color w:val="auto"/>
        </w:rPr>
        <w:t>ERISA regulations require that an ERISA plan fiduciary base its investment decisions on factors that the fiduciary reasonably determines are relevant to a “risk and return analysis, using appropriate investment horizons consistent with the plan’s investment objectives and taking into account the funding policy of the plan established pursuant to section 402(b)</w:t>
      </w:r>
    </w:p>
    <w:p>
      <w:pPr>
        <w:spacing w:after="0" w:line="1" w:lineRule="exact"/>
        <w:rPr>
          <w:sz w:val="20"/>
          <w:szCs w:val="20"/>
          <w:color w:val="auto"/>
        </w:rPr>
      </w:pPr>
    </w:p>
    <w:p>
      <w:pPr>
        <w:ind w:firstLine="5"/>
        <w:spacing w:after="0" w:line="231" w:lineRule="auto"/>
        <w:tabs>
          <w:tab w:leader="none" w:pos="24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ERISA.” The responsible fiduciary of each ERISA plan must determine whether to invest in our Class A Common Stock independently and without relying on any information provided by us as advice or a recommendation in connection with such determination.</w:t>
      </w:r>
    </w:p>
    <w:p>
      <w:pPr>
        <w:spacing w:after="0" w:line="1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are exposed to data and cybersecurity risks that could result in data breaches, service interruptions, harm to our reputation, protracted and costly litigation or significant liability</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In connection with the products and services that we provide, we collect, use, store, transmit and otherwise process certain confidential, proprietary and sensitive information, including the personal information of end-users, third-party service providers and employees. We rely on the efficient, uninterrupted and secure operation of complex information technology systems and networks to operate our business and securely store, transmit and otherwise process such information. In the normal course of business, we also share information with our service providers and other third parties. A failure to safeguard the integrity, confidentiality, availability and authenticity of personal information, client data and our proprietary data from cyber-attacks, unauthorized access, fraudulent activity (e.g., check “kiting” or fraud, wire fraud or other dishonest acts), data breaches and other security incidents that we, our third-party service providers or our clients may experience may lead to modification, destruction, loss of availability or theft of critical and sensitive data pertaining to us, our clients or other third parties. To date, we have not experienced any material security incidents, but as a financial services company we remain a significant target for malicious third party actions.</w:t>
      </w:r>
    </w:p>
    <w:p>
      <w:pPr>
        <w:spacing w:after="0" w:line="1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management and Board actively manage and oversee cybersecurity risks. Our cybersecurity program is designed to protect systems and data, containing preventive and detective controls, and our Board, audit committee and management team will be regularly briefed on our cybersecurity policies and practices and ongoing efforts to improve security, as well as periodic updates on cybersecurity events. All such protective measures, as well as additional measures that may be required to comply with rapidly evolving data privacy and security standards and protocols imposed by law, regulation, industry standards or contractual obligations, have and will continue to cause us to incur substantial expenses. Failure to timely upgrade or maintain computer systems, software and networks as necessary could also make us or our third-party service providers susceptible to breaches and unauthorized access and misuse. We may be required to expend significant additional resources to modify, investigate or remediate vulnerabilities or other exposures arising from data and cybersecurity risks.</w:t>
      </w:r>
    </w:p>
    <w:p>
      <w:pPr>
        <w:spacing w:after="0" w:line="1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Improper access to our or our third-party service providers’ systems or databases could result in the theft, publication, deletion or modification of confidential, proprietary or sensitive information, including personal information. An actual or perceived breach of our security systems or those of our third-party service providers may require notification under applicable data privacy regulations or contractual obligations. The accidental or unauthorized access to or disclosure, loss, destruction, disablement, corruption or encryption of, use or misuse of or modification of our, our clients’ or other third parties’ confidential, proprietary or sensitive information, including personal information, by us or our third-party service providers could result in significant fines, penalties, orders, sanctions and proceedings or actions against us by governmental bodies and other regulatory authorities, customers or third parties, which could materially and adversely affect our business, financial condition and results of operations. Any such proceeding or action, and any related indemnification obligations, could damage our reputation, force us to incur significant expenses in defense of such proceeding or action, distract our management, increase our costs of doing business or result in the imposition of financial liability.</w:t>
      </w:r>
    </w:p>
    <w:p>
      <w:pPr>
        <w:spacing w:after="0" w:line="1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Despite our efforts to ensure the integrity, confidentiality, availability, and authenticity of our proprietary systems and information, it is possible that we may not be able to anticipate or to implement effective preventive measures against all cyber threats. No security solution, strategy, or measures can address all possible security threats or block all methods of penetrating a network or otherwise perpetrating a security incident. The risk of unauthorized circumvention of our security measures or those of our third-party providers, clients and partners has been heightened by advances in computer and software capabilities and the increasing sophistication of hackers, including those operating on behalf of nation-state actors, who employ complex techniques involving the theft or misuse of personal and financial information, counterfeiting, “phishing” or social engineering incidents, account takeover attacks, denial or degradation of service attacks, malware, fraudulent payment and identity theft. Because the techniques used by hackers change frequently and are increasingly complex and sophisticated, and new technologies may not be identified until they are launched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2" w:name="page53"/>
    <w:bookmarkEnd w:id="52"/>
    <w:p>
      <w:pPr>
        <w:jc w:val="both"/>
        <w:spacing w:after="0" w:line="235" w:lineRule="auto"/>
        <w:rPr>
          <w:sz w:val="20"/>
          <w:szCs w:val="20"/>
          <w:color w:val="auto"/>
        </w:rPr>
      </w:pPr>
      <w:r>
        <w:rPr>
          <w:rFonts w:ascii="Times New Roman" w:cs="Times New Roman" w:eastAsia="Times New Roman" w:hAnsi="Times New Roman"/>
          <w:sz w:val="16"/>
          <w:szCs w:val="16"/>
          <w:color w:val="auto"/>
        </w:rPr>
        <w:t>against a target, we and our third-party service providers may be unable to anticipate these techniques or detect an incident, assess its severity or impact, react or appropriately respond in a timely manner or implement adequate preventative measures. Our systems are also subject to compromise from internal threats, such as theft, misuse, unauthorized access or other improper actions by employees, service providers and other third parties with otherwise legitimate access to our systems or databases. The latency of a compromise is often measured in months, but could be years, and we may not be able to detect a compromise in a timely manner.</w:t>
      </w:r>
    </w:p>
    <w:p>
      <w:pPr>
        <w:spacing w:after="0" w:line="1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Due to applicable laws and regulations or contractual obligations, we may also be held responsible for any failure or cybersecurity breaches attributed to our third-party service providers as they relate to the information that we share with them. Although we generally have agreements relating to data privacy and security in place with our third-party service providers, they are limited in nature and we cannot guarantee that such agreements will prevent the accidental or unauthorized access to or disclosure, loss, destruction, disablement, corruption or encryption of, use or misuse of or modification of confidential, proprietary or sensitive information, including personal information, or enable us to obtain reimbursement from third-party service providers in the event we should suffer incidents resulting in accidental or unauthorized access to or disclosure, loss, destruction, disablement or encryption of, use or misuse of or modification of confidential, proprietary or sensitive information, including personal information. In addition, because we do not control our third-party service providers and our ability to monitor their data security is limited, we cannot ensure the security measures they take will be sufficient to protect confidential, proprietary or sensitive information (including personal information).</w:t>
      </w:r>
    </w:p>
    <w:p>
      <w:pPr>
        <w:spacing w:after="0" w:line="10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Regardless of whether a security incident or act of fraud involving our services is attributable to us or our third-party service providers, such an incident could, among other things, result in improper disclosure of information, harm our reputation and brand, reduce the demand for our products and services, lead to loss of client business or confidence in the effectiveness of our security measures, disrupt normal business operations or result in our systems or products and services being unavailable. In addition, such incidents may require us to spend material resources to investigate or correct the incident and to prevent future security incidents, expose us to uninsured liability, increase our risk of regulatory scrutiny, expose us to protracted and costly litigation, trigger indemnity obligations, result in damages for contract breach, divert the attention of management from the operation of our business and otherwise cause us to incur significant costs or liabilities, any of which could affect our financial condition, results of operations and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Further, any adverse findings in security audits or examinations could result in reputational damage to us, which could reduce the use and acceptance of our services, cause our customers to cease doing business with us or have a significant adverse impact on our revenue and future growth prospects. Furthermore, even if not directed at us specifically, attacks on other financial institutions could disrupt the overall functioning of the financial system or lead to additional regulation and oversight by federal and state agencies, which could impose new and costly compliance obligations.</w:t>
      </w:r>
    </w:p>
    <w:p>
      <w:pPr>
        <w:spacing w:after="0" w:line="1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If we are not able to satisfy data protection, security, privacy and other government- and industry-specific requirements or regulations, our results of operations, financial condition or business could be harmed.</w:t>
      </w:r>
    </w:p>
    <w:p>
      <w:pPr>
        <w:spacing w:after="0" w:line="7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We are subject to various risks and costs associated with the collection, processing, storage and transmission of personal data and other sensitive and confidential information. Personal data is information that can be used to identify a natural person, including names, photos, email addresses, or computer IP addresses. This data is wide ranging and relates to our clients, employees, counterparties and other third parties. Our compliance obligations include those relating to state laws, such as the California Consumer Privacy Act (“CCPA”), which provides for enhanced privacy protections for California residents, a private right of action for data breaches and statutory fines and damages for data breaches or other CCPA violations, as well as a requirement of “reasonable” cybersecurity. We are also required to comply with foreign data collection and privacy laws in various non-U.S. jurisdictions in which we have offices or conduct business, including the General Data Protection Regulation (“GDPR”), which applies to all organizations processing or holding personal data of EU data subjects (regardless of the organization’s location) as well as to organizations outside the EU that offer goods or services in the EU, or that monitor the behavior of EU data subjects. Compliance with the GDPR requires us to analyze and evaluate how we handle data in the ordinary course of business, from processes to technology. EU data subjects need to be given full disclosure about how their personal data will be used and stored. In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3" w:name="page54"/>
    <w:bookmarkEnd w:id="53"/>
    <w:p>
      <w:pPr>
        <w:jc w:val="both"/>
        <w:spacing w:after="0" w:line="235" w:lineRule="auto"/>
        <w:rPr>
          <w:sz w:val="20"/>
          <w:szCs w:val="20"/>
          <w:color w:val="auto"/>
        </w:rPr>
      </w:pPr>
      <w:r>
        <w:rPr>
          <w:rFonts w:ascii="Times New Roman" w:cs="Times New Roman" w:eastAsia="Times New Roman" w:hAnsi="Times New Roman"/>
          <w:sz w:val="16"/>
          <w:szCs w:val="16"/>
          <w:color w:val="auto"/>
        </w:rPr>
        <w:t>connection, consent must be explicit, and companies must be in a position to delete information from their global systems permanently if consent were withdrawn. Financial regulators and data protection authorities throughout the EU have broad audit and investigatory powers under the GDPR to probe how personal data is being used and processed. In addition, some countries and states are considering or have passed legislation implementing data protection requirements or requiring local storage and processing of data or similar requirements that could increase the cost and complexity of delivering our services. There are currently a number of proposals pending before federal, state, and foreign legislative and regulatory bodies.</w:t>
      </w:r>
    </w:p>
    <w:p>
      <w:pPr>
        <w:spacing w:after="0" w:line="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Many statutory requirements include obligations for companies to notify individuals of security breaches involving certain personal information, which could result from breaches experienced by us or our third-party service providers. For example, laws in all 50 U.S.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In addition, we may be contractually required to notify clients, end-investors or other counterparties of a security breach. Although we may have contractual protections with our third-party service providers, any security breach, or actual or perceived non-compliance with privacy or security laws, regulations, standards, policies or contractual obligations, could harm our reputation and brand, expose us to potential liability and require us to expend significant resources on data security and in responding to any such incident or actual or perceived non-compliance. Any contractual protections we may have from our third-party service providers may not be sufficient to adequately protect us from any such liabilities and losses, and we may be unable to enforce any such contractual protections.</w:t>
      </w:r>
    </w:p>
    <w:p>
      <w:pPr>
        <w:spacing w:after="0" w:line="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make public statements about our use and disclosure of personal information through our privacy policy, information provided on our website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In addition, from time to time, concerns may be expressed about whether our products and services compromise the privacy of clients and others. Even the perception, whether or not valid, of privacy concerns or any failure by us to comply with our posted privacy policies or with any legal or regulatory requirements, standards, certifications or orders or other privacy or consumer protection-related laws and regulations applicable to us may harm our reputation, inhibit adoption of our products by current and future customers or adversely impact our ability to attract and retain workforce talent.</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Given the complexity of operationalizing data privacy and security laws and regulations to which we are subject, the maturity level of proposed compliance frameworks and the relative lack of guidance in the interpretation of the numerous requirements of the data privacy and security laws and regulations to which we are subject, we may not be able to respond quickly or effectively to regulatory, legislative and other developments, and these changes may in turn impair our ability to offer our existing or planned products and services or increase our cost of doing business. Although we work to comply with applicable laws and regulations, industry standards, contractual obligations and other legal obligations, such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features and services that our adviser clients and their investor clients expect from our products and services. As such, we cannot assure ongoing compliance with all such laws, regulations, standards and obligations. Any failure, or perceived failure, by us to adequately address privacy and security concerns, even if unfounded, or to comply with applicable laws, regulations and standards, or with employee, client and other data privacy and data security requirements pursuant to contract and our stated privacy notice(s), could result in investigations or proceedings against us by data protection authorities, governmental entities or others, including class action privacy litigation in certain jurisdictions, which could subject us to fines, civil or criminal liability, public censure, claims for damages by customers and other affected individuals, damage to our reputation and loss of goodwill (in relation to both existing and prospective clients), or we could be required to fundamentally change our business activities and practices, which may not be possible in a commercially reasonable manner, or at all. Any or all of these consequences could have a material adverse effect on our operations, financial performance and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consultants, and others may not adequately prevent disclosure of trade secrets and other proprietary information.</w:t>
      </w:r>
    </w:p>
    <w:p>
      <w:pPr>
        <w:spacing w:after="0" w:line="1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We have devoted substantial resources to the development of our proprietary technologies, investment solutions and services. To protect our proprietary rights, we enter into confidentiality, nondisclosure, non-interference and invention assignment agreements with our employees, consultants and independent contractors. However, we cannot guarantee that we have entered into such agreements with each party that has or may have had access to our trade secrets and proprietary know-how. Further, these agreements may not effectively prevent unauthorized disclosure of confidential information or unauthorized parties from copying aspects of our technologies, investment solutions or products or obtaining and using information that we regard as proprietary. Moreover, these agreements may not provide an adequate remedy in the event of such unauthorized disclosures of confidential information and we cannot assure you that our rights under such agreements will be enforceable.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reduce any competitive advantage we have developed and cause us to lose customers or otherwise harm our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damage to our professional reputation and legal liability if our services are not regarded as satisfactory or for other reasons.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companies is now the subject of investigations by the UK FCA and, in the case of Home REIT, potential claims are being asserted by its current and former shareholders and, separately, by Home REIT and its directors against certain group entities (AFM UK and ARE). We no longer provide services to Home REIT. Notwithstanding this, we or our subsidiaries may potentially suffer reputational damage from the allegations concerning the historic management of Home REIT or HLIF. Further, we may be subject to the risk of legal and regulatory liabilities or actions alleging breach of regulatory rules and/or principles, negligence, misconduct (including deceit), breach of fiduciary duty or breach of contract. In particular, although the UK FCA’s investigations concerning the historic management of Home REIT and HLIF only commenced in February 2024 and their outcomes cannot be known or anticipated as at the date of this Annual Report, any financial penalties or other adverse outcomes resulting from these investigations may adversely affect our business, financial condition or results of operations. Similarly, if any litigation or other action is commenced against AFM UK and/or ARE in connection with Home REIT, whilst it is not possible at this point in time for us to reliably assess the quantum of such claims, or AFM UK’s and ARE’s potential exposure, such claims may potentially be material to the Company and, although our intent is for any such claims to be defended, an adverse outcome could have an adverse affect on the business, financial condition or results of operations. These risks often may be difficult to assess or quantify and their existence and magnitude often remain unknown for substantial periods of time. Significant legal expenses may be incurred in defending litigation and responding to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color w:val="auto"/>
        </w:rPr>
        <w:t>Our inability to obtain adequate insurance could subject us to additional risk of loss or additional expenses.</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may not be able to obtain or maintain sufficient insurance on commercially reasonable terms or with adequate coverage levels against potential liabilities we may face, which could have a material adverse effect on our business. We may face a risk of loss from a variety of claims, including those related to contracts, fraud, compliance with laws and various other issues, whether or not such claims are valid. Insurance and other safeguards might only partially reimburse us for our losses, if at all, and if a claim is successful and exceeds or is not covered by our insurance policies, we may be required to pay a substantial amount in respect of such successful claim. Certain losses of a catastrophic nature, such as public health crises, wars, earthquakes, typhoons, terrorist attacks or other similar events, may be uninsurable or may only be insurable at rates that are so high that maintaining coverage would cause an adverse impact on our business, in which case we may choose not to maintain such coverage.</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controls and procedures may fail or be circumvented, our risk management policies and procedures may be inadequate and operational risks could adversely affect our reputation and financial condition.</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Some of our risk evaluation methods depend upon information provided by others and public information regarding markets, clients or other matters that are otherwise accessible by us. If our policies and procedures are not fully effective or we are not successful in capturing all risks to which we are or may be exposed, we may suffer harm to our reputation or be subject to litigation or regulatory actions that could have a material adverse effect on our business, results of operations or financial condition.</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If Umbrella were treated as a corporation for U.S. federal, state or local tax purposes, then the amount available for distribution by it could be substantially reduced and our financial condition and results of operations could be adversely affected.</w:t>
      </w:r>
    </w:p>
    <w:p>
      <w:pPr>
        <w:spacing w:after="0" w:line="7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An entity that would otherwise be classified as a partnership for U.S. federal income tax purposes (such as Umbrella) may nonetheless be treated as, and taxable as, a corporation if it is a “publicly traded partnership” unless an exception to such treatment applies. An entity that would otherwise be classified as a partnership for U.S. federal income tax purposes will be treated as a “publicly traded partnership” if interests in such entity are traded on an established securities market or interests in such entity are readily tradable on a secondary market or the substantial equivalent thereof. If Umbrella were determined to be treated as a “publicly traded partnership” that is taxable as a corporation for U.S. federal income tax purposes, it would be taxable on its income at the U.S. federal income tax rate applicable to corporations and distributions by it to its members (including the Company) could be taxable as dividends to such members to the extent of the earnings and profits of Umbrella. In addition, we would no longer have the benefit of increases in the tax basis of Umbrella’s assets as a result of exchanges of Umbrella common units. Pursuant to the Umbrella LLC Agreement, certain holders of Umbrella common units may, from time to time, subject to the terms of the Umbrella LLC Agreement, have their Umbrella common units redeemed by Umbrella for cash or Class A Common Stock. Such redemptions could be treated as trading in the interests of the Umbrella for purposes of testing “publicly traded partnership” status. While the Umbrella LLC Agreement contains restrictions on such redemptions that are intended to prevent Umbrella from being treated as a “publicly traded partnership” for U.S. federal income tax purposes by complying with certain safe harbors provided for under applicable U.S. federal income tax law, such position is not free from doubt and, if such provisions are not effective, Umbrella may be treated as a “publicly traded partnership” taxable as a corporation for U.S. federal income tax purposes.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be accelerated or exceed the actual tax benefits realized by the Company.</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taxing authority may challenge all or any part of the tax basis increases, as well as other tax positions that we take, and a court may sustain such a challenge. In the event that any tax benefits we initially claim are disallowed, the recipients of the payments under the Tax Receivable Agreement will not be required to reimburse us for any excess payments that may previously have been made under the Tax Receivable Agreement, for example, due to adjustments resulting from examinations by taxing authorities. As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16"/>
          <w:szCs w:val="16"/>
          <w:color w:val="auto"/>
        </w:rPr>
        <w:t>result, in certain circumstances we could make payments under the Tax Receivable Agreement in excess of our actual income or franchise tax savings, which could materially impair our financial condition.</w:t>
      </w:r>
    </w:p>
    <w:p>
      <w:pPr>
        <w:spacing w:after="0" w:line="1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Moreover, the Tax Receivable Agreement provides that, in certain events, including a change of control or our exercise of early termination rights, our obligations under the Tax Receivable Agreement will accelerate and we will be required to make a lump-sum cash payment to the parties to the Tax Receivable Agreement equal to the present value of all forecasted future payments that would have otherwise been made under the Tax Receivable Agreement, which lump-sum payment would be based on certain assumptions, including those relating to our future taxable income. The lump-sum payment could be substantial and could exceed the actual tax benefits that we realize subsequent to such payment because such payment would be calculated assuming, among other things, that we would have certain tax benefits available to it and that we would be able to use the potential tax benefits in future years.</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There may be a material negative effect on our liquidity if the payments we are required to make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Umbrella may directly or indirectly make distributions of cash to us substantially in excess of the amounts we use to make distributions to our stockholders and pay our expenses (including our taxes and payments under the Tax Receivable Agreement). To the extent we do not distribute such excess cash to our stockholders, the direct or indirect holders of Umbrella common units would benefit from any value attributable to such cash as a result of their ownership of our stock upon a Unit Exchange.</w:t>
      </w:r>
    </w:p>
    <w:p>
      <w:pPr>
        <w:spacing w:after="0" w:line="1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will directly or indirectly receive a pro rata portion of any distributions made by Umbrella. Any cash received from such distributions will first be used to satisfy any tax liability and then to make any payments required to be made under the Tax Receivable Agreement. Subject to having available cash and subject to limitations imposed by applicable law and contractual restrictions, the Umbrella LLC Agreement requires Umbrella to make certain distributions to holders of Umbrella common units (including the Company) pro rata to facilitate the payment of taxes with respect to the income of Umbrella that is allocated to them. To the extent that the tax distributions we directly or indirectly receive exceed the amounts we actually require to pay taxes, Tax Receivable Agreement payments and other expenses (which is likely to be the case given that the assumed tax rate for such distributions will generally exceed our effective tax rate), we will not be required to distribute such excess cash. Our Board may, in its sole discretion, choose to use such excess cash for certain purposes, including to make distributions to the holders of our stock. Unless and until our Board chooses, in its sole discretion, to declare a distribution, we will have no obligation to distribute such cash (or other available cash other than any declared dividend) to our stockholders.</w:t>
      </w:r>
    </w:p>
    <w:p>
      <w:pPr>
        <w:spacing w:after="0" w:line="1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Certain holders of Umbrella common units (i) were deemed to have sold a portion of their Umbrella common units at the time of the Business Combination, and (ii) may in the future redeem their Umbrella common units for shares of the Company or cash pursuant to the Umbrella LLC Agreement, subject to certain conditions and transfer restrictions as set forth therein (each such redemption, a “Unit Exchange”). No adjustments to the exchange ratio of Umbrella common units for our shares pursuant to a Unit Exchange will be made as a result of either (i) any cash distribution by us or (ii) any cash that we retain and do not distribute to our stockholders. To the extent we do not distribute such cash as dividends and instead, for example, hold such cash balances or use such cash for certain other purposes, this may result in shares of our stock increasing in value relative to the Umbrella common units. The holders of Umbrella common units may benefit from any value attributable to such cash balances if they acquire shares of our stock in an exchange of Umbrella common units.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Personnel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our management team to grow our business, and the loss of key management members, or an inability to hire key personnel, could harm our business.</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While the success of our business is not tied to any particular person or group of “key persons,” the success of our business does depend on the efforts, judgment and reputations of our personnel generally, and in particular our experienced and senior personnel in investment, operational and executive functions. Our personnel’s reputation, expertise in investing and risk management and relationships with our clients and third parties 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7" w:name="page58"/>
    <w:bookmarkEnd w:id="57"/>
    <w:p>
      <w:pPr>
        <w:jc w:val="both"/>
        <w:spacing w:after="0" w:line="230" w:lineRule="auto"/>
        <w:rPr>
          <w:sz w:val="20"/>
          <w:szCs w:val="20"/>
          <w:color w:val="auto"/>
        </w:rPr>
      </w:pPr>
      <w:r>
        <w:rPr>
          <w:rFonts w:ascii="Times New Roman" w:cs="Times New Roman" w:eastAsia="Times New Roman" w:hAnsi="Times New Roman"/>
          <w:sz w:val="16"/>
          <w:szCs w:val="16"/>
          <w:color w:val="auto"/>
        </w:rPr>
        <w:t>which our funds depend for investment opportunities are each critical elements in operating and expanding our business. However, we may not be successful in our efforts to retain our most valued employees, as the market for alternative asset management professionals is extremely competitive. The loss of one or more members of our senior team could harm our business and jeopardize our relationships with our clients and members of the investing community. Accordingly, the retention of our personnel is crucial to our success. Certain of our executives are subject to long-term employment contracts that contain various incentives and restrictive covenants designed to retain these employees for the long-term success of our business, but none of them are obligated to remain actively involved with us. In addition, if any of our personnel were to join or form a competitor, following any required restrictive period set forth in their employment agreements, some of our investors could choose to invest with that competitor rather than with us. The loss of the services of one or more members of our senior team could have a material adverse effect on our business, financial condition and results of operations, including our performance, our ability to retain and attract funds and highly qualified employees and our ability to raise new funds. Any change to our senior management team could have a material adverse effect on our business, financial condition and results of operations.</w:t>
      </w:r>
    </w:p>
    <w:p>
      <w:pPr>
        <w:spacing w:after="0" w:line="1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We do not carry any “key person” insurance that would provide us with proceeds in the event of the death or disability of any of our personnel. In addition, certain of our funds have key person provisions that are triggered upon the loss of services of one or more specified employees and could, upon the occurrence of such event, provide the investors in these funds with certain rights such as rights providing for the termination or suspension of the funds’ investment periods and/or wind-down of the funds. Accordingly, the loss of such personnel could result in significant disruption of certain funds’ investment activities, which could have a material adverse impact on our business, financial condition and results of operations, and could harm our ability to maintain or grow our assets under management in existing funds or raise additional funds in the future. Similarly, to the extent there is a perception in the market that one or more of our employees is critical to the success of a particular investment strategy, the loss of one or more such employees could lead investors to redeem from our funds or choose not to make further investments in existing or future funds that we manage, which would correspondingly reduce our management fees and potential to earn incentive fees.</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Employee misconduct could harm us by impairing our ability to attract and retain fund investors and subjecting us to significant legal liability, regulatory scrutiny and reputational harm.</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ability to attract and retain fund investors and to pursue investment opportunities for our clients depends heavily upon the reputation of our professionals, especially our senior professionals as well as third-party service providers. We are subject to a number of obligations and standards arising from our investment management business and our authority and statutory fiduciary status over the assets managed by our investment management business. Further, our employees are subject to various internal policies including a Code of Ethics and policies covering conflicts of interest, information systems, business continuity and information security. The violation of those obligations, standards and policies by any of our employees or misconduct by one of our third-party service providers could adversely affect investors in our investment products and services and us. Our business often requires that we deal with confidential matters of great significance to companies in which our investment products and services may invest. If our employees, former employees or third-party service providers were to use or disclose confidential information improperly, we could suffer serious harm to our reputation, financial position and current and future business relationships. Employee or third-party service provider misconduct could also include, among other things, binding us to transactions that exceed authorized limits or present unacceptable risks and other unauthorized activities or concealing unsuccessful investments (which, in either case, may result in unknown and unmanaged risks or losses), or otherwise charging (or seeking to charge) inappropriate expenses or inappropriate or unlawful behavior or actions directed towards other employees.</w:t>
      </w:r>
    </w:p>
    <w:p>
      <w:pPr>
        <w:spacing w:after="0" w:line="2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It is not always possible to detect or deter misconduct by employees or third-party service providers, and the extensive precautions we take to detect and prevent this activity may not be effective in all cases. If one or more of our employees, former employees or third-party service providers were to engage in misconduct or were to be accused of such misconduct, our business and our reputation could be adversely affected and a loss of fund investor confidence could result, which would adversely impact our ability to raise future funds. Our current and former employees and those of our investment products and services’ investments as well as our third-party service providers may also become subject to allegations of sexual harassment, racial and gender discrimination or other similar misconduct, which, regardless of the ultimate outcome, may result in adverse publicity that could harm our and such portfolio company’s brand and reputation.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58" w:name="page59"/>
    <w:bookmarkEnd w:id="58"/>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57785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depends on our ability to attract, retain and develop human capital in a highly competitive talent market.</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success of our business will continue to depend upon us attracting, developing and retaining human capital. Competition for qualified, motivated, and highly 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future growth and maintain our standards of excellence. Our future success will depend upon our ability to find, attract, retain and motivate highly skilled and highly qualified individuals. We seek to provide our personnel with competitive benefits and compensation packages. However, our efforts may not be sufficient to enable us to attract, retain and motivate qualified individuals to support our growth. Moreover, if our personnel join competitors or form businesses that compete with ours, that could adversely affect our ability to raise new or successor funds.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1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compliance with obligations as a public company subject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As an “emerging growth company,” as defined in the JOBS Act, our independent registered public accounting firm will not be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comply with the requirements of being a public company, we may need to undertake various actions, such as implementing additional internal controls and procedures and hiring additional accounting or internal audit staff. Testing and maintaining internal controls can divert our management’s attention from other matters that are important to the operation of our business. If we identify material weaknesses in our internal controls over financial reporting or are unable to comply with the requirements of Section 404 or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and may find additional weaknesses in the future or fail to maintain an effective system of internal control over financial reporting. If we fail to establish and maintain proper and effective internal control over financial reporting, our operating results and our ability to operate our business could be harmed.</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regularly review and update our internal controls, disclosure controls and procedures, and corporate governance policies and procedures. Any system of controls, however well designed and operated, is based in part on certain assumptions and can provide only reasonable, not absolute, assurances that the objectives of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16"/>
          <w:szCs w:val="16"/>
          <w:color w:val="auto"/>
        </w:rPr>
        <w:t>system will be met. Any failure or circumvention of our controls and procedures or failure to comply with regulations related to controls and procedures could have a material adverse effect on our business, financial condition and results of operations.</w:t>
      </w:r>
    </w:p>
    <w:p>
      <w:pPr>
        <w:spacing w:after="0" w:line="16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0D0D0D"/>
        </w:rPr>
        <w:t>We previously identified material weaknesses in internal control over financial reporting, primarily stemming from insufficiently documented risk assessments, process-level controls, and information technology controls supporting our financial statements and reporting. Consequently, our Chief Executive Officer and Chief Financial Officer have determined that our internal controls and disclosure controls and procedures were ineffective as of December 31, 2024.] To address these weaknesses, management is actively implementing remediation plans, including a testing plan to determine the effectiveness of controls that support our financial statements and reporting, the recruitment of additional accounting personnel and the establishment of process-level controls, management review protocols, and documentation policies. These measures aim to ensure the completeness and accuracy of financial statement disclosures and to identify and mitigate emerging risks. During 2024, management was able to successful remediate the previously identified material weakness related to the lack of sufficiently documented risk assessments. While progress has been made on the remaining material weaknesses, further time is needed to complete the implementation and enhance our internal control over financial reporting.</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identify additional material weaknesses in our internal control over financial reporting or are otherwise required to restate our financial statements in the future, we could be required to implement expensive and time-consuming remedial measures and could lose investor confidence in the accuracy and completeness of our financial reports. In addition, there are risks that individuals, either employees or contractors, consciously circumvent established control mechanisms by, for example, exceeding trading or investment management limitations, or committing fraud.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trading market for our Class A Common Stock will be influenced by the research and reports that industry or securities analysts publish about us or our business. We do not have any control over these analysts. If securities or industry analysts cease coverage of us or fail to publish reports on us regularly, the trading price of our Class A Common Stock would likely be negatively impacted and we could lose visibility in the financial markets. Moreover, if one or more of the analysts who cover us downgrade our stock, or if our results of operations do not meet their expectations, the price of our Class A Common Stock could decline.</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As a public company, we are subject to additional laws, regulations and stock exchange listing standards, which will impose additional costs on us and may strain our resources and divert our management’s attention.</w:t>
      </w:r>
    </w:p>
    <w:p>
      <w:pPr>
        <w:spacing w:after="0" w:line="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As a company with publicly traded securities, we are subject to the reporting requirements of the Exchange Act, the Sarbanes-Oxley Act, the Dodd-Frank Act, the listing requirements of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Annual Report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Class A Common Stock,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fines, sanctions, other regulatory actions and civil litigation, any of which could negatively affect the price of our Class A Common Stock.</w:t>
      </w:r>
    </w:p>
    <w:p>
      <w:pPr>
        <w:spacing w:after="0" w:line="1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If we are deemed an “investment company” subject to regulation under the Investment Company Act, applicable restrictions could make it impractical for us to continue our business as contemplated and could have a material adverse effect on our business</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issuer will generally be deemed to be an “investment company” for purposes of the Investment Company Act if, absent an applicable exemption:</w:t>
      </w:r>
    </w:p>
    <w:p>
      <w:pPr>
        <w:spacing w:after="0" w:line="124"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or holds itself out as being engaged primarily, or proposes to engage primarily, in the business of investing, reinvesting or trading in securities; or</w:t>
      </w:r>
    </w:p>
    <w:p>
      <w:pPr>
        <w:spacing w:after="0" w:line="11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owns or proposes to acquire investment securities having a value exceeding 40% of the value of its total assets (exclusive of U.S. government securities and cash items) on an unconsolidated basis.</w:t>
      </w:r>
    </w:p>
    <w:p>
      <w:pPr>
        <w:spacing w:after="0" w:line="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We regard ourselves as a financial services business. We believe that we are engaged primarily in the business of providing financial services and not in the business of investing, reinvesting or trading in securities. We also believe that the primary source of income from each of our businesses is properly characterized as income earned in exchange for the provision of services. We hold ourselves out as a financial services business and do not propose to engage primarily in the business of investing, reinvesting or trading in securities.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we become obligated to register ourselves or any of our subsidiaries as an investment company pursuant to the Investment Company Act, the registered entity would have to comply with a variety of substantive requirements under the Investment Company Act including, among other things:</w:t>
      </w:r>
    </w:p>
    <w:p>
      <w:pPr>
        <w:spacing w:after="0" w:line="80" w:lineRule="exact"/>
        <w:rPr>
          <w:sz w:val="20"/>
          <w:szCs w:val="20"/>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capital structure;</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specified investments;</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prohibitions on transactions with affiliates; and</w:t>
      </w:r>
    </w:p>
    <w:p>
      <w:pPr>
        <w:spacing w:after="0" w:line="11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reporting, record keeping, voting, proxy disclosure and other rules and regulations that would significantly change our operations.</w:t>
      </w:r>
    </w:p>
    <w:p>
      <w:pPr>
        <w:spacing w:after="0" w:line="1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If we were deemed to be an investment company under the Investment Company Act, we would either have to register as an investment company under the Investment Company Act, obtain exemptive relief from the SEC or modify our equity interests and debt positions or organizational structure or our contract rights to fall outside the definition of an investment company under the Investment Company Act. Registering as an investment company pursuant to the Investment Company Act could, among other things, materially adversely affect our financial condition, business and results of operations, materially limit our ability to borrow funds or engage in other transactions involving leverage and require us to add directors who are independent of us and otherwise would subject us to additional regulation that would be costly and time-consuming. Modifying our equity interests and debt positions or organizational structure or our contract rights could require us to alter our business and investment strategy in a manner that could require us to purchase or dispose of assets or securities, prevent us from pursuing certain opportunities, or otherwise restrict our business, which may have a material adverse effect on our business results of operations, financial condition or prospects.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and other operating metrics may fluctuate from quarter to quarter, which makes these metrics difficult to predict.</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quarterly operating results and other operating metrics have fluctuated in the past and may continue to fluctuate in the future.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 the performance of our investments, competition with other market participants, and changes in market and economic conditions.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Any one of the factors above or the cumulative effect of some of the factors above may result in significant fluctuations in our operating results.</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shares of Class A Common Stock could fall substantially, and we could face costly lawsuits, including securities class action suits.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raise capital in the future may be limited.</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business and operations may consume resources faster than we anticipate. In the future, we may need to raise additional funds through the issuance of new equity securities, debt or a combination of both, which may not be available on favorable terms, or at all. If adequate funds are not available on acceptable terms, we may be unable to fund our capital requirements. If we issue new debt securities, the debt holders would have rights senior to holders of Class A Common Stock to make claims on our assets, and the terms of any debt could restrict our operations, including our ability to pay dividends on our Class A Common Stock. If we issue additional equity securities, existing stockholders will experience dilution, and the new equity securities could have rights senior to those of our Class A Common Stock. Because our decision to issue securities in any future offering will depend on market conditions and other factors beyond our control, we cannot predict or estimate the amount, timing or nature of our future offerings.</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forecasts of market growth and other projections included in this Annual Report may prove to be inaccurate, and even if the markets in which we compete achieve the forecasted growth, we cannot assure you that our business will grow at a similar rate, if at all.</w:t>
      </w:r>
    </w:p>
    <w:p>
      <w:pPr>
        <w:spacing w:after="0" w:line="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Growth forecasts and projections are subject to significant uncertainty and are based on assumptions and estimates that may not prove to be accurate. The forecasts in this Annual Report relating to the expected growth in the financial services market may prove to be inaccurate. Even if the markets experience the forecasted growth described in this Annual Report, we may not grow our business at a similar rate,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64"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Securities Act, as modified by the JOBS Act, and have taken advantage of certain exemptions from various reporting requirements that are applicable to other public companies that are not emerging growth companies, which exemptions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certain executive compensation matters. As a result, our stockholders may not have access to certain information they may deem important. We may be an emerging growth company for up to five years from the initial public offering, although circumstances could cause the loss of that status earlier, including if the market value of the Common Stock held by non-affiliates exceeds $700 million as of any time before or as of June 30, in which case we would no longer be an emerging growth company as of the following December 31.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the securities may be more volatile.</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3" w:name="page64"/>
    <w:bookmarkEnd w:id="63"/>
    <w:p>
      <w:pPr>
        <w:jc w:val="both"/>
        <w:spacing w:after="0" w:line="233" w:lineRule="auto"/>
        <w:rPr>
          <w:sz w:val="20"/>
          <w:szCs w:val="20"/>
          <w:color w:val="auto"/>
        </w:rPr>
      </w:pPr>
      <w:r>
        <w:rPr>
          <w:rFonts w:ascii="Times New Roman" w:cs="Times New Roman" w:eastAsia="Times New Roman" w:hAnsi="Times New Roman"/>
          <w:sz w:val="16"/>
          <w:szCs w:val="16"/>
          <w:color w:val="auto"/>
        </w:rPr>
        <w:t>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provides, subject to limited exceptions, that the Court of Chancery of the State of Delaware is the sole and exclusive forum for certain stockholder litigation matters, which could limit our stockholders’ ability to obtain a favorable judicial forum for disputes with us or our directors, officers, employees or stockholders.</w:t>
      </w:r>
    </w:p>
    <w:p>
      <w:pPr>
        <w:spacing w:after="0" w:line="1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Our certificate of incorporation requires, to the fullest extent permitted by law, that, unless we consent in writing to the selection of an alternative forum, (i) derivative actions brought in our name, (ii) actions asserting a claim of breach of fiduciary duty owed by any of our director, officer or stockholders, (iii) actions asserting a claim pursuant to the DGCL, the certificate of incorporation or the amended and restated bylaws of the Company, or (iv) actions asserting claims governed by the internal affairs doctrine, may be brought only in the Court of Chancery in the State of Delaware (or, in the event that the Chancery Court does not have jurisdiction, the federal district court for the District of Delaware or other state courts of the State of Delaware). Subject to the preceding sentence, the federal district courts of the United States of America will be the exclusive forum for the resolution of any complaint asserting a cause of action arising under the Securities Act. However, such forum selection provisions will not apply to suits brought to enforce any liability or duty created by the Exchange Act or any other claim for which the federal courts of the United States have exclusive jurisdiction.</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choice of forum provision may limit a stockholder’s ability to bring a claim in a judicial forum that it finds favorable for disputes with us or our directors, officers, or other employees, or may increase the cost for such stockholder to bring a claim, both of which may discourage such lawsuits against us and our directors, officers, and other employees. Alternatively,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Additionally, Section 22 of the Securities Act creates concurrent jurisdiction for federal and state courts over all suits brought to enforce any duty or liability created by the Securities Act or the rules and regulations thereunder. As noted above, the certificate of incorporation provides that the federal district courts of the United States of America will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 Any person or entity purchasing or otherwise acquiring any interest in shares of our capital stock will be deemed to have notice of and consented to the forum provisions in our certificate of incorporation.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take write-downs or write-offs, restructuring and impairment or other charges that could have a significant negative effect on our financial condition and our share price, which could cause you to lose some or all of your investment.</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a result of unidentified issues or factors outside of our control, we may be forced to later write-down or write-off assets, restructure operations, or incur impairment or other charges that could result in reporting losses. Even if we identify certain risks, unexpected risks may arise and previously known risks may materialize in a manner not consistent with the preliminary risk analysis conducted by us. Even though these charges may be non-cash items that would not have an immediate impact on our liquidity, the reporting of charges of this nature could contribute to negative market perceptions about us or our securities. In addition, charges of this nature may cause us to violate leverage or other covenants to which it may be subject. Accordingly, our stockholders could suffer a reduction in the value of their shares from any such write-down or write-offs.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64" w:name="page65"/>
    <w:bookmarkEnd w:id="64"/>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The certificate of incorporation contains certain provisions, including anti-takeover provisions that limit the ability of stockholders to take certain actions and could delay or discourage takeover attempts that stockholders may consider favorable.</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certificate of incorporation contains provisions that may discourage unsolicited takeover proposals that stockholders may consider to be in their best interests. These provisions may make more difficult the removal of management and may discourage transactions that otherwise could involve payment of a premium over prevailing market prices for our securities.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securities or other reasons may in the future cause it to become the target of securities litigation or stockholder activism. Securities litigation and stockholder activism, including potential proxy contests, could result in substantial costs and divert management’s and the Board’s attention and resources from our business. Further, such securities litigation and stockholder activism could give rise to perceived uncertainties as to our future, adversely affect our relationships with service providers and clients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resales of shares may cause the market price of our securities to drop significantly, even if our business is doing well.</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Pursuant to the Registration Rights and Lock-Up Agreement and the Sponsor Support Agreement, dated September 19, 2021, by and between the Company, Sponsor, TWMH, the TIG Entities, and Alvarium (the “Sponsor Support Agreement”) subject to certain exceptions, the Sponsor and certain stockholders receiving shares of Company stock as consideration pursuant to the Business Combination Agreement are contractually restricted from selling or transferring a portion of their shares. The last applicable lock-up period will expire on January 3, 2026.</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Following the expiration of the applicable lock-up period, no equity holders will be restricted from selling shares of the Company held by them, other than by applicable securities laws. As such, sales of a substantial number of our securities in the public market could occur at any time. These sales, or the perception in the market that the holders of a large number of securities intend to sell securities, could reduce the market price of our securities. Pursuant to the subscription agreements for the private placements and the registration rights and lock-up agreement, we were required to register the resale of the Class A Common Stock issued to the subscribers that agreed to purchase shares of Class A Common Stock at the Closing pursuant to the Private Placement, including, without limitation, as reflected in the Subscription Agreements and securities received by certain stockholders as consideration pursuant to the Business Combination Agreement. As restrictions on resale end and as long as the registration statements we filed after the Closing to provide for the resale of such shares from time to time remain available for use, the sale or possibility of sale of these shares could have the effect of increasing the volatility in the Company’s share price or the market price of our securities could decline if the holders of currently restricted shares sell them or are perceived by the market as intending to sell them.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 Management and Strategy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implemented a cybersecurity risk management program that is designed to identify, respond to, protect against and manage cybersecurity threats and incidents.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cybersecurity risk management processes include regular assessments of our cyber threat detection and response capabilities.</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established cybersecurity risk assessment processes, which include annual risk assessments using third-party consultants. Our Chief Information Security Officer (“CISO”) has oversight over our information security policies and works with our internal IT resources and third-party managed IT support providers to facilitate the implementation of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6"/>
          <w:szCs w:val="16"/>
          <w:color w:val="auto"/>
        </w:rPr>
        <w:t>cybersecurity risk assessment and management processes. Our cybersecurity risk management processes are designed to protect systems and data and contain preventive and detective controls, including internal and external testing. We also provide cybersecurity awareness training to our employees during onboarding and periodically thereafter,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through simulated phishing attacks.</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maintain processes designed to evaluate the security practices and controls of our critical third-party vendors that have access to our confidential information, which includes security questionnaires and third-party information security assessments, as applicable.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policies regarding our information security practices, including an incident response plan to coordinate response and mitigation efforts in the event we experience a cybersecurity incident. These policies require notification of cybersecurity incidents to our information security team, and if warranted based on the perceived level of severity of the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incident, to members of our executive leadership. We have not identified any cybersecurity incidents or threats that have materially affected us, including our business strategy, results of operations, or financial condition. However, like other companies in our industry, we and our third-party vendors have from time to time experienced threats and security</w:t>
      </w:r>
    </w:p>
    <w:p>
      <w:pPr>
        <w:spacing w:after="0"/>
        <w:rPr>
          <w:sz w:val="20"/>
          <w:szCs w:val="20"/>
          <w:color w:val="auto"/>
        </w:rPr>
      </w:pPr>
      <w:r>
        <w:rPr>
          <w:rFonts w:ascii="Times New Roman" w:cs="Times New Roman" w:eastAsia="Times New Roman" w:hAnsi="Times New Roman"/>
          <w:sz w:val="16"/>
          <w:szCs w:val="16"/>
          <w:color w:val="auto"/>
        </w:rPr>
        <w:t>incidents that could affect our information or systems. For more information, please consult “ITEM 1A.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Governance Related to Cybersecurity Risks</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Our Board considers cybersecurity risk as part of its overall risk oversight, and has delegated to the Audit, Finance and Risk Committee (“AFRC”) responsibility for oversight of major risk exposures, including in relation to security, cybersecurity and privacy. At the management level, we have also established an Executive Risk and Compliance Committee (“ERCC”), which oversees the development and implementation of our risk oversight and management processes, including in relation to cybersecurity. The ERCC is comprised of members of our executive leadership from across the organization. Our CISO reports to the ERCC on identified material cyber risks (if any) and on the implementation of cybersecurity priorities. The members of the ERCC, in turn, are responsible for updating the AFRC, and, where required, our Board on key milestones and progress regarding identified material cyber threats.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CISO is responsible for advising on the strategic and operational processes related to our cyber risk management program. Our CISO has over two decades of cybersecurity experience, has served on a cybersecurity advisory board for a university, and is a Certified Information Systems Security Professional.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corporate headquarters, which we lease, is located at 22 Vanderbilt Avenue, 27th Floor, New York, NY. Additionally we lease office space in Bethesda, Dallas, Geneva, Hong Kong, Lisbon, London, Lugano, Miami, Milan, Minneapolis, New York, Palm Beach, Paris, Portland, San Francisco, Seattle, Singapore, Toronto, Wilmington and Zurich. The Company does not own any real estate. We believe that our existing office space is sufficient for our current needs.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From time to time, we may be involved in various legal proceedings, lawsuits, and claims incidental to the conduct of our business, some of which may be material. Our businesses are also subject to extensive regulation, which may result in regulatory proceedings against us. For additional information, see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66" w:name="page67"/>
    <w:bookmarkEnd w:id="66"/>
    <w:p>
      <w:pPr>
        <w:spacing w:after="0" w:line="273" w:lineRule="auto"/>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 of AlTi Global, Inc. - Litigation” and Note 20 (Commitments and Contingencies) to our consolidated financial statements included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62" w:lineRule="exact"/>
        <w:rPr>
          <w:sz w:val="20"/>
          <w:szCs w:val="20"/>
          <w:color w:val="auto"/>
        </w:rPr>
      </w:pPr>
    </w:p>
    <w:p>
      <w:pPr>
        <w:ind w:right="240"/>
        <w:spacing w:after="0" w:line="423"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5500"/>
        <w:spacing w:after="0" w:line="429" w:lineRule="auto"/>
        <w:rPr>
          <w:sz w:val="20"/>
          <w:szCs w:val="20"/>
          <w:color w:val="auto"/>
        </w:rPr>
      </w:pPr>
      <w:r>
        <w:rPr>
          <w:rFonts w:ascii="Times New Roman" w:cs="Times New Roman" w:eastAsia="Times New Roman" w:hAnsi="Times New Roman"/>
          <w:sz w:val="16"/>
          <w:szCs w:val="16"/>
          <w:color w:val="auto"/>
        </w:rPr>
        <w:t xml:space="preserve">Our Class A Common Stock trades on the Nasdaq Capital Market under the symbol “ALTI.” </w:t>
      </w:r>
      <w:r>
        <w:rPr>
          <w:rFonts w:ascii="Times New Roman" w:cs="Times New Roman" w:eastAsia="Times New Roman" w:hAnsi="Times New Roman"/>
          <w:sz w:val="16"/>
          <w:szCs w:val="16"/>
          <w:b w:val="1"/>
          <w:bCs w:val="1"/>
          <w:color w:val="auto"/>
        </w:rPr>
        <w:t>Holders</w:t>
      </w:r>
    </w:p>
    <w:p>
      <w:pPr>
        <w:jc w:val="both"/>
        <w:spacing w:after="0" w:line="273" w:lineRule="auto"/>
        <w:rPr>
          <w:sz w:val="20"/>
          <w:szCs w:val="20"/>
          <w:color w:val="auto"/>
        </w:rPr>
      </w:pPr>
      <w:r>
        <w:rPr>
          <w:rFonts w:ascii="Times New Roman" w:cs="Times New Roman" w:eastAsia="Times New Roman" w:hAnsi="Times New Roman"/>
          <w:sz w:val="16"/>
          <w:szCs w:val="16"/>
          <w:color w:val="auto"/>
        </w:rPr>
        <w:t>As of March 14, 2025, there were 351 holders of record of our Class A Common Stock. This does not include the number of stockholders that hold shares in “street name” through banks or broker-dealers.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 OF ALTI GLOBAL, INC.</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audited financial statements and the related notes included in this Annual Report.</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Amounts and percentages presented throughout our discussion and analysis of the financial condition and results of operations may reflect rounded results in thousands (unless otherwise indicated) and consequently, totals may not appear to sum.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AlTi is a leading independent global wealth manager providing entrepreneurs, multi-generational families, institutions, and emerging next-generation leaders with fiduciary capabilities as well as alternative investment strategies and advisory services. AlTi’s comprehensive offering is underscored by a commitment to impact or values-aligned investing. We manage or advise approximately $75.7 billion in combined assets as of December 31, 2024. Our business is organized into two operating segments - Wealth &amp; Capital Solutions and International Real Estate:</w:t>
      </w:r>
    </w:p>
    <w:p>
      <w:pPr>
        <w:spacing w:after="0" w:line="118" w:lineRule="exact"/>
        <w:rPr>
          <w:sz w:val="20"/>
          <w:szCs w:val="20"/>
          <w:color w:val="auto"/>
        </w:rPr>
      </w:pPr>
    </w:p>
    <w:p>
      <w:pPr>
        <w:jc w:val="both"/>
        <w:ind w:left="520" w:hanging="260"/>
        <w:spacing w:after="0" w:line="252"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Wealth &amp; Capital Solutions segment, we provide holistic solutions for our wealth management and OCIO clients through a comprehensive array of wealth management services, including discretionary investment management services, non-discretionary investment advisory services, trust services, administration services, and family office services. The segment also reflects the results of our internally managed event-driven strategy and our stakes in three externally managed alternative investment strategies;</w:t>
      </w:r>
    </w:p>
    <w:p>
      <w:pPr>
        <w:spacing w:after="0" w:line="5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International Real Estate segment, we assist our investors with real estate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15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current segment composition was introduced as of the third quarter ended September 30, 2024, following the completion of a strategic review of certain businesses within the historically defined Strategic Alternatives segment. Following this strategic review, and consistent with management’s overall view of the core business, it was determined that the</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businesses reflected in the International Real Estate segment are not additive to our long-term strategy. Several strategic options are currently under consideration, and our objective is to finalize a course of action in the near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a global business, with approximately 430 professionals operating in 19 cities in 8 countries across three continents as of December 31, 2024.</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strategy seeks to enhance our organic growth through acquisitions and integrations of other wealth and investment management businesses in both our existing and new markets. We believe that we are well positioned to capitalize on global market trends and dynamics that we see facing our world as well as the industry, clients, investors, and businesses we serve.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color w:val="auto"/>
        </w:rPr>
        <w:t>Fee Structure</w:t>
      </w:r>
    </w:p>
    <w:p>
      <w:pPr>
        <w:spacing w:after="0" w:line="1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Our comprehensive range of services generates a diverse array of revenue streams. These revenue streams fall broadly into four categories: (i) recurring management, advisory, trustee, or administration fees; (ii) performance or incentive fees; (iii) distributions from investments and (iv) other income or fees:</w:t>
      </w:r>
    </w:p>
    <w:p>
      <w:pPr>
        <w:spacing w:after="0" w:line="80" w:lineRule="exact"/>
        <w:rPr>
          <w:sz w:val="20"/>
          <w:szCs w:val="20"/>
          <w:color w:val="auto"/>
        </w:rPr>
      </w:pPr>
    </w:p>
    <w:p>
      <w:pPr>
        <w:jc w:val="both"/>
        <w:ind w:left="520" w:hanging="260"/>
        <w:spacing w:after="0" w:line="254"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advisory, trustee, and administration fees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w:t>
      </w:r>
    </w:p>
    <w:p>
      <w:pPr>
        <w:spacing w:after="0" w:line="105" w:lineRule="exact"/>
        <w:rPr>
          <w:rFonts w:ascii="Times New Roman" w:cs="Times New Roman" w:eastAsia="Times New Roman" w:hAnsi="Times New Roman"/>
          <w:sz w:val="16"/>
          <w:szCs w:val="16"/>
          <w:color w:val="auto"/>
        </w:rPr>
      </w:pPr>
    </w:p>
    <w:p>
      <w:pPr>
        <w:jc w:val="both"/>
        <w:ind w:left="520" w:hanging="260"/>
        <w:spacing w:after="0" w:line="252"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or performance fees are comprised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118" w:lineRule="exact"/>
        <w:rPr>
          <w:rFonts w:ascii="Times New Roman" w:cs="Times New Roman" w:eastAsia="Times New Roman" w:hAnsi="Times New Roman"/>
          <w:sz w:val="16"/>
          <w:szCs w:val="16"/>
          <w:color w:val="auto"/>
        </w:rPr>
      </w:pPr>
    </w:p>
    <w:p>
      <w:pPr>
        <w:jc w:val="both"/>
        <w:ind w:left="520" w:hanging="260"/>
        <w:spacing w:after="0" w:line="284" w:lineRule="auto"/>
        <w:tabs>
          <w:tab w:leader="none" w:pos="51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Distributions from investments are generated from the equity interests we have in three external managers. Distributions from each external manager are recorded upon receipt of the distribution. These distributions are generated through our equity interest in the external manager’s management fees and incentive fees. The management fee component of the distributions is recurring in nature, while the incentive portion, which is performance based, is more susceptible to impact from exogenous factors.</w:t>
      </w:r>
    </w:p>
    <w:p>
      <w:pPr>
        <w:spacing w:after="0" w:line="8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or fees included transaction fees from businesses we have exited such as strategic advisory, corporate advisory, brokerage, and placement agency services. Transaction fees are generally non-recurring in nature, are typically commission based, and are payable on the successful completion of a transaction.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&amp; Capital Solutions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Investment management or advisory fees are the primary source of revenue in our Wealth &amp; Capital Solutions segment. 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spacing w:after="0" w:line="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w:t>
      </w:r>
    </w:p>
    <w:p>
      <w:pPr>
        <w:jc w:val="both"/>
        <w:spacing w:after="0" w:line="224" w:lineRule="auto"/>
        <w:rPr>
          <w:sz w:val="20"/>
          <w:szCs w:val="20"/>
          <w:color w:val="auto"/>
        </w:rPr>
      </w:pPr>
      <w:r>
        <w:rPr>
          <w:rFonts w:ascii="Times New Roman" w:cs="Times New Roman" w:eastAsia="Times New Roman" w:hAnsi="Times New Roman"/>
          <w:sz w:val="16"/>
          <w:szCs w:val="16"/>
          <w:color w:val="auto"/>
        </w:rPr>
        <w:t>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AUA consists of all assets we are responsible for overseeing and reporting on, but we do not necessarily charge fees on all such assets. Billable assets represent the portion of our</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assets on which we charge fees. Non-billable 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w:t>
      </w:r>
    </w:p>
    <w:p>
      <w:pPr>
        <w:spacing w:after="0"/>
        <w:rPr>
          <w:sz w:val="20"/>
          <w:szCs w:val="20"/>
          <w:color w:val="auto"/>
        </w:rPr>
      </w:pPr>
      <w:r>
        <w:rPr>
          <w:rFonts w:ascii="Times New Roman" w:cs="Times New Roman" w:eastAsia="Times New Roman" w:hAnsi="Times New Roman"/>
          <w:sz w:val="16"/>
          <w:szCs w:val="16"/>
          <w:color w:val="auto"/>
        </w:rPr>
        <w:t>may not be comparable to similar measures presented by other wealth managers.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fees vary depending upon the level and complexity of client assets and the services being provided. The fee typically covers investment advisory services and basic estate and wealth planning services. The more complex</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70" w:name="page71"/>
    <w:bookmarkEnd w:id="70"/>
    <w:p>
      <w:pPr>
        <w:ind w:right="420"/>
        <w:spacing w:after="0" w:line="439" w:lineRule="auto"/>
        <w:rPr>
          <w:sz w:val="20"/>
          <w:szCs w:val="20"/>
          <w:color w:val="auto"/>
        </w:rPr>
      </w:pPr>
      <w:r>
        <w:rPr>
          <w:rFonts w:ascii="Times New Roman" w:cs="Times New Roman" w:eastAsia="Times New Roman" w:hAnsi="Times New Roman"/>
          <w:sz w:val="16"/>
          <w:szCs w:val="16"/>
          <w:color w:val="auto"/>
        </w:rPr>
        <w:t xml:space="preserve">estate and wealth planning services, as well as our Trustee service, and certain extended family office services, are typically billed separately, as a fixed or time-based amount. </w:t>
      </w:r>
      <w:r>
        <w:rPr>
          <w:rFonts w:ascii="Times New Roman" w:cs="Times New Roman" w:eastAsia="Times New Roman" w:hAnsi="Times New Roman"/>
          <w:sz w:val="16"/>
          <w:szCs w:val="16"/>
          <w:i w:val="1"/>
          <w:iCs w:val="1"/>
          <w:color w:val="auto"/>
        </w:rPr>
        <w:t>Incentive Fees</w:t>
      </w:r>
    </w:p>
    <w:p>
      <w:pPr>
        <w:spacing w:after="0" w:line="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TIG Arbitrage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Wealth management clients in certain jurisdictions may also pay performance or incentive fees if their portfolio achieves returns in excess of an agreed benchmark or hurdle rate.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Typically, such fees are paid annually upon crystallization and are not accrued prior to being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Distributions from investments are earned through our profit or revenue sharing arrangements with the External Strategic Managers. Our economic interests in the External Strategic Managers are as follows:</w:t>
      </w:r>
    </w:p>
    <w:p>
      <w:pPr>
        <w:spacing w:after="0" w:line="49"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Bridge Lending Strategy—21% profit share;</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European Equities—25% revenue share; and</w:t>
      </w:r>
    </w:p>
    <w:p>
      <w:pPr>
        <w:spacing w:after="0" w:line="7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Asian Credit and Special Situations—12% revenue share</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Real Estate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 Advisory Fees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earn management fees in our International Real Estate segment through private real estate fund advisory and recurring fees. These fees, governed by an investment advisory agreement, are calculated on a sliding scale based on the fund’s net asset value.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 Fees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sponsors of private market transactions, we generate income from debt and equity structures, including arrangement, management, advisory, performance, and transaction fees. Arrangement fees range from 50 to 100 basis points of contributed equity. Equity structures typically last three to ten years, with fees between 50 and 175 basis points of committed or drawn equity. Debt structures range from 12 to 36 months. Fees are received monthly, quarterly, or annually.</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may earn a share of performance-related entitlements, such as carried interest, if investor return hurdles (8%-15%) are met. Carried interest typically accounts for 10%-20% of returns exceeding these hurdles. We also receive a share of base management fees from co-investments through advisory or management agreements, extending from investment inception to exit. If we establish feeder vehicles for clients, additional administration and advisory fees may apply.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Trends and Business Environment</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Revenues from our Wealth &amp; Capital Solutions and International Real Estate segments are predominantly derived from asset based management, performance or incentive fees; distributions from investments; and other income or fees. Each revenue source is affected by conditions in the financial markets and economic conditions, particularly in the U.S. and to a lesser extent in Europe and Asia. Management fees are generally calculated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71" w:name="page72"/>
    <w:bookmarkEnd w:id="71"/>
    <w:p>
      <w:pPr>
        <w:jc w:val="both"/>
        <w:spacing w:after="0"/>
        <w:rPr>
          <w:sz w:val="20"/>
          <w:szCs w:val="20"/>
          <w:color w:val="auto"/>
        </w:rPr>
      </w:pPr>
      <w:r>
        <w:rPr>
          <w:rFonts w:ascii="Times New Roman" w:cs="Times New Roman" w:eastAsia="Times New Roman" w:hAnsi="Times New Roman"/>
          <w:sz w:val="16"/>
          <w:szCs w:val="16"/>
          <w:color w:val="auto"/>
        </w:rPr>
        <w:t>based on a percentage of the value of billable AUM or AUA (as applicable), while incentive fees are driven by the underlying performance of managed portfolios. In 2024, overall, economic conditions were strong in the US as the U.S. economy seems to have engineered a soft landing; this in combination with strong gains from leading U.S. technology shares on the back of investor enthusiasm around Generative AI led U.S. shares higher, with double digit gains for the second year in a row.</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a wealth and investment business, our clients have had exposure to financial markets, particularly the U.S. market, where our positioning has benefited from the more than 20% gains over the year. Uncertainty has also risen and our positioning for some clients in asset classes such as gold and absolute return hedge strategies have also been additive. Robust credit conditions and strong demand for infrastructure have fuelled solid returns for our private credit and infrastructure focused managers.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contrast, investors remain cautious on the outlook for fiscal sustainability in the U.S. and this in concert with lingering concerns around the outlook for inflation, particularly in the U.S., led to rising longer dated Government bond yields in 2024. While we are generally under-weighted for clients in duration, Government bonds in general delivered slightly negative returns for the year. Markets outside the U.S. and outside of U.S. large cap also trailed in performance on a relative basis; while we have more limited exposure, these areas were relative headwinds to performance.</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Despite the Federal Reserve’s decision to cut interest rates in 2024, the higher cost of capital environment, ongoing increases in construction costs and generally stagnating real estate prices are negatively impacting some of the real estate segments in which we operate. These declines impact the level of management fees that we earn. On the private real estate side within the International Real Estate segment, the more difficult market and interest rate conditions may reduce the ultimate return expected from some of these investments. It is important to note that these assets are utilized in conjunction with longer-term investment strategies and are not subject to daily market pricing.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Non-Comparability of Predecessor Period</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results for the year ended 2022 reflect only the results of TWMH and do not include the results of the TIG Entities, Alvarium, or Cartesian Growth Capital. Therefore, prior period amounts, related to 2022 are not comparable to the amounts presented for 2024 or 2023. Please see “Results of Operations” and “Reconciliation of Consolidated US GAAP Financial Measures to Certain Non-US GAAP Measures” for a detailed discussion of the underlying drivers of our results, including the accretive impacts of the Business Combination.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Managing Business Performance and Key Financial Measures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plus (a) add-back of non-cash expense related to awards of Class A Common Stock (approved post-Business Combination), (b) add-back of non-cash expense related to awards of Class A Common Stock (approved pre-Business Combination), (c) 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 (d) add-back of the change in fair value of the warrant liabilities, (e) add-back of the change in unrealized gains/losses related to Investments held at fair value and includes the non-recurring realized gain for the sale of FOS ($9.4 million) for the year ended December 31, 2024, (f) add-back of the change in fair value of the earnout liabilities, (g) add-back of the change in unrealized gains/losses related primarily to the TRA liability, (h) add-back of cost to implement organization change to derive cost synergy, including consulting fees, severance charges, technology implementation costs, and bad debt expense related to strategic portfolio realignment., (i) add-back of impairment of intangible assets and carried interest/equity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6"/>
          <w:szCs w:val="16"/>
          <w:color w:val="auto"/>
        </w:rPr>
        <w:t>investments, (j) add-back of the impairment of goodwill, (k) add-back of the amortization of the step-up in equity method investments, (l) add-back of reported interest, depreciation, amortization, and tax adjustments of the Company's equity method investments, (m) add-back of the change in fair value of Preferred stock tranche liability. Adjusted EBITDA represents adjusted net income plus (a) interest expense, net, (b) income tax expense, (c) adjusted income tax expense less income tax expense, and (d) depreciation and amortization expense.</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track our performance. These non-US GAAP financial measures may not be comparable to similarly titled measures used by other companies and should be considered in addition to and not in lieu of, the results of operations, which are discussed further under “Components of Consolidated Results of Income” and are prepared in accordance with US GAAP. For the specific components and calculations of these non-US GAAP measures, as well as a reconciliation of these measures to the most comparable measure in accordance with US GAAP, see “Reconciliation of Consolidated US GAAP Financial Measures to Certain Non-US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The following table presents the non-US GAAP financial measures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Favorable (Unfavorable)</w:t>
            </w:r>
          </w:p>
        </w:tc>
      </w:tr>
      <w:tr>
        <w:trPr>
          <w:trHeight w:val="28"/>
        </w:trPr>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201"/>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190,455</w:t>
            </w:r>
          </w:p>
        </w:tc>
        <w:tc>
          <w:tcPr>
            <w:tcW w:w="8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180,861</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(40,121)</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income/fees</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206,935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246,917</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(39,982)</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(311,215)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136,910</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Reported</w:t>
            </w: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(158,740)</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131,469</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(a)</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 - Legacy (b)</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(24,774)</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expenses (c)</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 (d)</w:t>
            </w:r>
          </w:p>
        </w:tc>
        <w:tc>
          <w:tcPr>
            <w:tcW w:w="2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Change in fair value on investments and non-recurring realized gain/losses on sales (e)</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10,257</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liabilities (f)</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TRA liability (g)</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 streamlining cost (h)</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6,126</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(non-cash) (i)</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(20,204)</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goodwill (j)</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153,859</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(84,135)</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on EMI/Carried Interest (non-cash) (k)</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(8,309)</w:t>
            </w:r>
          </w:p>
        </w:tc>
      </w:tr>
      <w:tr>
        <w:trPr>
          <w:trHeight w:val="28"/>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EMI Adjustments (Interest, Depreciation, Taxes &amp; Amortization) (l)</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0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Preferred stock tranche liability (m)</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8"/>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post-Business Combination).</w:t>
      </w:r>
    </w:p>
    <w:p>
      <w:pPr>
        <w:spacing w:after="0" w:line="14" w:lineRule="exact"/>
        <w:rPr>
          <w:rFonts w:ascii="Times New Roman" w:cs="Times New Roman" w:eastAsia="Times New Roman" w:hAnsi="Times New Roman"/>
          <w:sz w:val="16"/>
          <w:szCs w:val="16"/>
          <w:color w:val="auto"/>
        </w:rPr>
      </w:pPr>
    </w:p>
    <w:p>
      <w:pPr>
        <w:ind w:left="500" w:hanging="240"/>
        <w:spacing w:after="0" w:line="235"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pre-Business Combination).</w:t>
      </w:r>
    </w:p>
    <w:p>
      <w:pPr>
        <w:ind w:left="520" w:hanging="260"/>
        <w:spacing w:after="0" w:line="238" w:lineRule="auto"/>
        <w:tabs>
          <w:tab w:leader="none" w:pos="51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w:t>
      </w: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the warrant liabilities.</w:t>
      </w:r>
    </w:p>
    <w:p>
      <w:pPr>
        <w:spacing w:after="0" w:line="2" w:lineRule="exact"/>
        <w:rPr>
          <w:rFonts w:ascii="Times New Roman" w:cs="Times New Roman" w:eastAsia="Times New Roman" w:hAnsi="Times New Roman"/>
          <w:sz w:val="16"/>
          <w:szCs w:val="16"/>
          <w:color w:val="auto"/>
        </w:rPr>
      </w:pPr>
    </w:p>
    <w:p>
      <w:pPr>
        <w:ind w:left="520" w:hanging="260"/>
        <w:spacing w:after="0" w:line="244" w:lineRule="auto"/>
        <w:tabs>
          <w:tab w:leader="none" w:pos="51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unrealized gains/losses related to Investments held at fair value and includes the non-recurring realized gain for the sale of FOS ($9.4 million) for the year ended December 31, 2024.</w:t>
      </w:r>
    </w:p>
    <w:p>
      <w:pPr>
        <w:spacing w:after="0" w:line="1"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the earnout liabilities.</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unrealized gains/losses related primarily to the TRA liability.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4" w:name="page75"/>
    <w:bookmarkEnd w:id="74"/>
    <w:p>
      <w:pPr>
        <w:ind w:left="520" w:hanging="260"/>
        <w:spacing w:after="0" w:line="253" w:lineRule="auto"/>
        <w:tabs>
          <w:tab w:leader="none" w:pos="51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cost to implement organization change to derive cost synergy, including consulting fees, severance charges, technology implementation costs, and bad debt expense related to strategic portfolio realignment.</w:t>
      </w:r>
    </w:p>
    <w:p>
      <w:pPr>
        <w:spacing w:after="0" w:line="1"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impairment of intangible assets and carried interest/equity method investments.</w:t>
      </w:r>
    </w:p>
    <w:p>
      <w:pPr>
        <w:ind w:left="520" w:hanging="260"/>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impairment of goodwill.</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amortization of the step-up in equity method investments.</w:t>
      </w:r>
    </w:p>
    <w:p>
      <w:pPr>
        <w:ind w:left="520" w:hanging="260"/>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reported interest, depreciation, amortization, and tax adjustments of the Company’s equity method investments.</w:t>
      </w:r>
    </w:p>
    <w:p>
      <w:pPr>
        <w:spacing w:after="0" w:line="6" w:lineRule="exact"/>
        <w:rPr>
          <w:rFonts w:ascii="Times New Roman" w:cs="Times New Roman" w:eastAsia="Times New Roman" w:hAnsi="Times New Roman"/>
          <w:sz w:val="16"/>
          <w:szCs w:val="16"/>
          <w:color w:val="auto"/>
        </w:rPr>
      </w:pPr>
    </w:p>
    <w:p>
      <w:pPr>
        <w:ind w:left="540" w:hanging="280"/>
        <w:spacing w:after="0"/>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Preferred stock tranche liability.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Consolidated US GAAP Financial Measures to Certain Non-US GAAP Measures</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assess and track our performance. Adjusted Net Income and Adjusted EBITDA as presented in this Annual Report are supplemental measures of our performance that are not required by, or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5" w:name="page76"/>
    <w:bookmarkEnd w:id="75"/>
    <w:p>
      <w:pPr>
        <w:spacing w:after="0" w:line="273" w:lineRule="auto"/>
        <w:rPr>
          <w:sz w:val="20"/>
          <w:szCs w:val="20"/>
          <w:color w:val="auto"/>
        </w:rPr>
      </w:pPr>
      <w:r>
        <w:rPr>
          <w:rFonts w:ascii="Times New Roman" w:cs="Times New Roman" w:eastAsia="Times New Roman" w:hAnsi="Times New Roman"/>
          <w:sz w:val="16"/>
          <w:szCs w:val="16"/>
          <w:color w:val="auto"/>
        </w:rPr>
        <w:t>The following table presents the reconciliation of net income as reported in our Consolidated Statement of Operations to Adjusted Net Income and Adjusted EBITDA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30"/>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1"/>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30"/>
        </w:trPr>
        <w:tc>
          <w:tcPr>
            <w:tcW w:w="254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30"/>
        </w:trPr>
        <w:tc>
          <w:tcPr>
            <w:tcW w:w="254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Wealth &amp; Capital</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International Real</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Wealth &amp; Capital</w:t>
            </w:r>
          </w:p>
        </w:tc>
        <w:tc>
          <w:tcPr>
            <w:tcW w:w="12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International Real</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14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00" w:type="dxa"/>
            <w:vAlign w:val="bottom"/>
          </w:tcPr>
          <w:p>
            <w:pPr>
              <w:spacing w:after="0"/>
              <w:rPr>
                <w:sz w:val="12"/>
                <w:szCs w:val="12"/>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16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00" w:type="dxa"/>
            <w:vAlign w:val="bottom"/>
          </w:tcPr>
          <w:p>
            <w:pPr>
              <w:spacing w:after="0"/>
              <w:rPr>
                <w:sz w:val="12"/>
                <w:szCs w:val="12"/>
                <w:color w:val="auto"/>
              </w:rPr>
            </w:pP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Income and Adjusted EBITDA</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before taxes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(114,616)</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(73,051)</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(7,771)</w:t>
            </w:r>
          </w:p>
        </w:tc>
        <w:tc>
          <w:tcPr>
            <w:tcW w:w="1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(195,438)</w:t>
            </w:r>
          </w:p>
        </w:tc>
        <w:tc>
          <w:tcPr>
            <w:tcW w:w="2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(279,574)</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(27,046)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(321,749)</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based compensation (a)</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21,004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24,215</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23,406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1,086</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25,225</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 based compensation - Legacy (b)</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24,697</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Transaction expenses (c)</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26,443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40,368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21,666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12,523</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9,408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43,597</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 in fair value of warrant liabilities (d)</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12,866</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fair value of (gains)/losses on TRA (e)</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(3,855)</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(3,855)</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r>
      <w:tr>
        <w:trPr>
          <w:trHeight w:val="142"/>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Changes in fair value of (gains)/losses 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27"/>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investments and non-recurring realized gain/losses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7"/>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on sales (f)</w:t>
            </w:r>
          </w:p>
        </w:tc>
        <w:tc>
          <w:tcPr>
            <w:tcW w:w="14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5,573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(4,684)</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fair value of earnout liabilities (g)</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7,805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(38,532)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(30,727)</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(29,381)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(31,126)</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Organization streamlining cost (h)</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12,076</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Impairment (non-cash) (i)</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47,970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53,390</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73,594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73,594</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Impairment goodwill (j)</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29,367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69,724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153,859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153,859</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42"/>
        </w:trPr>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(Gains)/Losses on EMI/Carried Interest (non-cash)</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(k)</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5,017</w:t>
            </w:r>
          </w:p>
        </w:tc>
      </w:tr>
      <w:tr>
        <w:trPr>
          <w:trHeight w:val="142"/>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EMI Adjustments (Interest, Depreciation, Taxes &amp;</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7"/>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(l)</w:t>
            </w:r>
          </w:p>
        </w:tc>
        <w:tc>
          <w:tcPr>
            <w:tcW w:w="14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2,889</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42"/>
        </w:trPr>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fair value of Preferred stock tranche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76"/>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liability (m)</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Adjusted income (loss) before taxes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21,813</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(36,291)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(20,898)</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36,203</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(7,475)</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(32,234)</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(3,506)</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Adjusted income tax (expense) benefit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6,546</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Income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15,091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(25,058)</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(14,352)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36,203</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(7,475)</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(32,234)</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(3,506)</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21,759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22,146</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13,577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14,501</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tax expense</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(21,133)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(10,534)</w:t>
            </w:r>
          </w:p>
        </w:tc>
      </w:tr>
      <w:tr>
        <w:trPr>
          <w:trHeight w:val="30"/>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income tax adjustments</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5,794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14,587</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18,532</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(6,706)</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10,534</w:t>
            </w:r>
          </w:p>
        </w:tc>
      </w:tr>
      <w:tr>
        <w:trPr>
          <w:trHeight w:val="151"/>
        </w:trPr>
        <w:tc>
          <w:tcPr>
            <w:tcW w:w="25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14,552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17,039</w:t>
            </w:r>
          </w:p>
        </w:tc>
      </w:tr>
      <w:tr>
        <w:trPr>
          <w:trHeight w:val="30"/>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36,373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15,800</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47,626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28,034</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post-Business Combination).</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pre-Business Combination).</w:t>
      </w:r>
    </w:p>
    <w:p>
      <w:pPr>
        <w:ind w:left="520" w:hanging="260"/>
        <w:spacing w:after="0" w:line="246" w:lineRule="auto"/>
        <w:tabs>
          <w:tab w:leader="none" w:pos="51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w:t>
      </w: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the warrant liabilities.</w:t>
      </w: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unrealized gains/losses related primarily to the TRA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76" w:name="page77"/>
    <w:bookmarkEnd w:id="76"/>
    <w:p>
      <w:pPr>
        <w:ind w:left="520" w:hanging="260"/>
        <w:spacing w:after="0" w:line="253" w:lineRule="auto"/>
        <w:tabs>
          <w:tab w:leader="none" w:pos="51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unrealized gains/losses related to Investments held at fair value and includes the non-recurring realized gain for the sale of FOS ($9.4 million) for the year ended December 31, 2024.</w:t>
      </w:r>
    </w:p>
    <w:p>
      <w:pPr>
        <w:spacing w:after="0" w:line="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the earnout liabilities.</w:t>
      </w:r>
    </w:p>
    <w:p>
      <w:pPr>
        <w:ind w:left="520" w:hanging="260"/>
        <w:spacing w:after="0" w:line="242" w:lineRule="auto"/>
        <w:tabs>
          <w:tab w:leader="none" w:pos="51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cost to implement organization change to derive cost synergy, including consulting fees, severance charges, technology implementation costs, and bad debt expense related to strategic portfolio realignment.</w:t>
      </w:r>
    </w:p>
    <w:p>
      <w:pPr>
        <w:ind w:left="520" w:hanging="260"/>
        <w:spacing w:after="0"/>
        <w:tabs>
          <w:tab w:leader="none" w:pos="5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impairment of carried interest/equity method investments and intangible assets.</w:t>
      </w:r>
    </w:p>
    <w:p>
      <w:pPr>
        <w:spacing w:after="0" w:line="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impairment of goodwill.</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amortization of the step-up in equity method investments.</w:t>
      </w:r>
    </w:p>
    <w:p>
      <w:pPr>
        <w:ind w:left="520" w:hanging="260"/>
        <w:spacing w:after="0"/>
        <w:tabs>
          <w:tab w:leader="none" w:pos="5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reported interest, depreciation, amortization, and tax adjustments of the Company’s equity method investments.</w:t>
      </w:r>
    </w:p>
    <w:p>
      <w:pPr>
        <w:spacing w:after="0" w:line="2" w:lineRule="exact"/>
        <w:rPr>
          <w:rFonts w:ascii="Times New Roman" w:cs="Times New Roman" w:eastAsia="Times New Roman" w:hAnsi="Times New Roman"/>
          <w:sz w:val="16"/>
          <w:szCs w:val="16"/>
          <w:color w:val="auto"/>
        </w:rPr>
      </w:pPr>
    </w:p>
    <w:p>
      <w:pPr>
        <w:ind w:left="540" w:hanging="280"/>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the change in fair value of Preferred stock tranche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monitor certain operating metrics that are common to the wealth and asset management industry, which are discussed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440" w:type="dxa"/>
            <w:vAlign w:val="bottom"/>
            <w:tcBorders>
              <w:top w:val="single" w:sz="8" w:color="auto"/>
              <w:left w:val="single" w:sz="8" w:color="auto"/>
              <w:bottom w:val="single" w:sz="8" w:color="2F5496"/>
            </w:tcBorders>
            <w:shd w:val="clear" w:color="auto" w:fill="2F5496"/>
          </w:tcPr>
          <w:p>
            <w:pPr>
              <w:spacing w:after="0"/>
              <w:rPr>
                <w:sz w:val="19"/>
                <w:szCs w:val="19"/>
                <w:color w:val="auto"/>
              </w:rPr>
            </w:pPr>
          </w:p>
        </w:tc>
        <w:tc>
          <w:tcPr>
            <w:tcW w:w="5240" w:type="dxa"/>
            <w:vAlign w:val="bottom"/>
            <w:tcBorders>
              <w:top w:val="single" w:sz="8" w:color="auto"/>
              <w:bottom w:val="single" w:sz="8" w:color="2F5496"/>
              <w:right w:val="single" w:sz="8" w:color="auto"/>
            </w:tcBorders>
            <w:gridSpan w:val="3"/>
            <w:shd w:val="clear" w:color="auto" w:fill="2F5496"/>
          </w:tcPr>
          <w:p>
            <w:pPr>
              <w:ind w:left="500"/>
              <w:spacing w:after="0"/>
              <w:rPr>
                <w:sz w:val="20"/>
                <w:szCs w:val="20"/>
                <w:color w:val="auto"/>
              </w:rPr>
            </w:pPr>
            <w:r>
              <w:rPr>
                <w:rFonts w:ascii="Times New Roman" w:cs="Times New Roman" w:eastAsia="Times New Roman" w:hAnsi="Times New Roman"/>
                <w:sz w:val="14"/>
                <w:szCs w:val="14"/>
                <w:b w:val="1"/>
                <w:bCs w:val="1"/>
                <w:color w:val="FFFFFF"/>
              </w:rPr>
              <w:t>AlTi Global, Inc.</w:t>
            </w:r>
          </w:p>
        </w:tc>
      </w:tr>
      <w:tr>
        <w:trPr>
          <w:trHeight w:val="208"/>
        </w:trPr>
        <w:tc>
          <w:tcPr>
            <w:tcW w:w="3440" w:type="dxa"/>
            <w:vAlign w:val="bottom"/>
            <w:tcBorders>
              <w:top w:val="single" w:sz="8" w:color="auto"/>
              <w:left w:val="single" w:sz="8" w:color="auto"/>
              <w:bottom w:val="single" w:sz="8" w:color="2F5496"/>
            </w:tcBorders>
            <w:shd w:val="clear" w:color="auto" w:fill="2F5496"/>
          </w:tcPr>
          <w:p>
            <w:pPr>
              <w:spacing w:after="0"/>
              <w:rPr>
                <w:sz w:val="17"/>
                <w:szCs w:val="17"/>
                <w:color w:val="auto"/>
              </w:rPr>
            </w:pPr>
          </w:p>
        </w:tc>
        <w:tc>
          <w:tcPr>
            <w:tcW w:w="880" w:type="dxa"/>
            <w:vAlign w:val="bottom"/>
            <w:tcBorders>
              <w:top w:val="single" w:sz="8" w:color="auto"/>
              <w:bottom w:val="single" w:sz="8" w:color="2F5496"/>
              <w:right w:val="single" w:sz="8" w:color="2F5496"/>
            </w:tcBorders>
            <w:shd w:val="clear" w:color="auto" w:fill="2F5496"/>
          </w:tcPr>
          <w:p>
            <w:pPr>
              <w:jc w:val="right"/>
              <w:spacing w:after="0"/>
              <w:rPr>
                <w:sz w:val="20"/>
                <w:szCs w:val="20"/>
                <w:color w:val="auto"/>
              </w:rPr>
            </w:pPr>
            <w:r>
              <w:rPr>
                <w:rFonts w:ascii="Times New Roman" w:cs="Times New Roman" w:eastAsia="Times New Roman" w:hAnsi="Times New Roman"/>
                <w:sz w:val="14"/>
                <w:szCs w:val="14"/>
                <w:b w:val="1"/>
                <w:bCs w:val="1"/>
                <w:color w:val="FFFFFF"/>
              </w:rPr>
              <w:t>AUM:</w:t>
            </w:r>
          </w:p>
        </w:tc>
        <w:tc>
          <w:tcPr>
            <w:tcW w:w="60" w:type="dxa"/>
            <w:vAlign w:val="bottom"/>
            <w:tcBorders>
              <w:top w:val="single" w:sz="8" w:color="auto"/>
              <w:bottom w:val="single" w:sz="8" w:color="2F5496"/>
              <w:right w:val="single" w:sz="8" w:color="2F5496"/>
            </w:tcBorders>
            <w:shd w:val="clear" w:color="auto" w:fill="2F5496"/>
          </w:tcPr>
          <w:p>
            <w:pPr>
              <w:spacing w:after="0"/>
              <w:rPr>
                <w:sz w:val="17"/>
                <w:szCs w:val="17"/>
                <w:color w:val="auto"/>
              </w:rPr>
            </w:pPr>
          </w:p>
        </w:tc>
        <w:tc>
          <w:tcPr>
            <w:tcW w:w="4300" w:type="dxa"/>
            <w:vAlign w:val="bottom"/>
            <w:tcBorders>
              <w:top w:val="single" w:sz="8" w:color="auto"/>
              <w:bottom w:val="single" w:sz="8" w:color="2F5496"/>
              <w:right w:val="single" w:sz="8" w:color="auto"/>
            </w:tcBorders>
            <w:shd w:val="clear" w:color="auto" w:fill="2F5496"/>
          </w:tcPr>
          <w:p>
            <w:pPr>
              <w:spacing w:after="0"/>
              <w:rPr>
                <w:sz w:val="20"/>
                <w:szCs w:val="20"/>
                <w:color w:val="auto"/>
              </w:rPr>
            </w:pPr>
            <w:r>
              <w:rPr>
                <w:rFonts w:ascii="Times New Roman" w:cs="Times New Roman" w:eastAsia="Times New Roman" w:hAnsi="Times New Roman"/>
                <w:sz w:val="14"/>
                <w:szCs w:val="14"/>
                <w:b w:val="1"/>
                <w:bCs w:val="1"/>
                <w:color w:val="FFFFFF"/>
              </w:rPr>
              <w:t>$45.1 billion</w:t>
            </w:r>
          </w:p>
        </w:tc>
      </w:tr>
      <w:tr>
        <w:trPr>
          <w:trHeight w:val="208"/>
        </w:trPr>
        <w:tc>
          <w:tcPr>
            <w:tcW w:w="3440" w:type="dxa"/>
            <w:vAlign w:val="bottom"/>
            <w:tcBorders>
              <w:top w:val="single" w:sz="8" w:color="auto"/>
              <w:left w:val="single" w:sz="8" w:color="auto"/>
              <w:bottom w:val="single" w:sz="8" w:color="2F5496"/>
            </w:tcBorders>
            <w:shd w:val="clear" w:color="auto" w:fill="2F5496"/>
          </w:tcPr>
          <w:p>
            <w:pPr>
              <w:spacing w:after="0"/>
              <w:rPr>
                <w:sz w:val="17"/>
                <w:szCs w:val="17"/>
                <w:color w:val="auto"/>
              </w:rPr>
            </w:pPr>
          </w:p>
        </w:tc>
        <w:tc>
          <w:tcPr>
            <w:tcW w:w="880" w:type="dxa"/>
            <w:vAlign w:val="bottom"/>
            <w:tcBorders>
              <w:top w:val="single" w:sz="8" w:color="auto"/>
              <w:bottom w:val="single" w:sz="8" w:color="2F5496"/>
              <w:right w:val="single" w:sz="8" w:color="2F5496"/>
            </w:tcBorders>
            <w:shd w:val="clear" w:color="auto" w:fill="2F5496"/>
          </w:tcPr>
          <w:p>
            <w:pPr>
              <w:jc w:val="right"/>
              <w:spacing w:after="0"/>
              <w:rPr>
                <w:sz w:val="20"/>
                <w:szCs w:val="20"/>
                <w:color w:val="auto"/>
              </w:rPr>
            </w:pPr>
            <w:r>
              <w:rPr>
                <w:rFonts w:ascii="Times New Roman" w:cs="Times New Roman" w:eastAsia="Times New Roman" w:hAnsi="Times New Roman"/>
                <w:sz w:val="14"/>
                <w:szCs w:val="14"/>
                <w:b w:val="1"/>
                <w:bCs w:val="1"/>
                <w:color w:val="FFFFFF"/>
              </w:rPr>
              <w:t>AUA:</w:t>
            </w:r>
          </w:p>
        </w:tc>
        <w:tc>
          <w:tcPr>
            <w:tcW w:w="60" w:type="dxa"/>
            <w:vAlign w:val="bottom"/>
            <w:tcBorders>
              <w:top w:val="single" w:sz="8" w:color="auto"/>
              <w:bottom w:val="single" w:sz="8" w:color="2F5496"/>
              <w:right w:val="single" w:sz="8" w:color="2F5496"/>
            </w:tcBorders>
            <w:shd w:val="clear" w:color="auto" w:fill="2F5496"/>
          </w:tcPr>
          <w:p>
            <w:pPr>
              <w:spacing w:after="0"/>
              <w:rPr>
                <w:sz w:val="17"/>
                <w:szCs w:val="17"/>
                <w:color w:val="auto"/>
              </w:rPr>
            </w:pPr>
          </w:p>
        </w:tc>
        <w:tc>
          <w:tcPr>
            <w:tcW w:w="4300" w:type="dxa"/>
            <w:vAlign w:val="bottom"/>
            <w:tcBorders>
              <w:top w:val="single" w:sz="8" w:color="auto"/>
              <w:bottom w:val="single" w:sz="8" w:color="2F5496"/>
              <w:right w:val="single" w:sz="8" w:color="auto"/>
            </w:tcBorders>
            <w:shd w:val="clear" w:color="auto" w:fill="2F5496"/>
          </w:tcPr>
          <w:p>
            <w:pPr>
              <w:spacing w:after="0"/>
              <w:rPr>
                <w:sz w:val="20"/>
                <w:szCs w:val="20"/>
                <w:color w:val="auto"/>
              </w:rPr>
            </w:pPr>
            <w:r>
              <w:rPr>
                <w:rFonts w:ascii="Times New Roman" w:cs="Times New Roman" w:eastAsia="Times New Roman" w:hAnsi="Times New Roman"/>
                <w:sz w:val="14"/>
                <w:szCs w:val="14"/>
                <w:b w:val="1"/>
                <w:bCs w:val="1"/>
                <w:color w:val="FFFFFF"/>
              </w:rPr>
              <w:t>$75.7 billion</w:t>
            </w:r>
          </w:p>
        </w:tc>
      </w:tr>
      <w:tr>
        <w:trPr>
          <w:trHeight w:val="192"/>
        </w:trPr>
        <w:tc>
          <w:tcPr>
            <w:tcW w:w="3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300" w:type="dxa"/>
            <w:vAlign w:val="bottom"/>
            <w:tcBorders>
              <w:top w:val="single" w:sz="8" w:color="auto"/>
              <w:bottom w:val="single" w:sz="8" w:color="auto"/>
            </w:tcBorders>
          </w:tcPr>
          <w:p>
            <w:pPr>
              <w:spacing w:after="0"/>
              <w:rPr>
                <w:sz w:val="16"/>
                <w:szCs w:val="16"/>
                <w:color w:val="auto"/>
              </w:rPr>
            </w:pPr>
          </w:p>
        </w:tc>
      </w:tr>
      <w:tr>
        <w:trPr>
          <w:trHeight w:val="165"/>
        </w:trPr>
        <w:tc>
          <w:tcPr>
            <w:tcW w:w="3440" w:type="dxa"/>
            <w:vAlign w:val="bottom"/>
            <w:tcBorders>
              <w:left w:val="single" w:sz="8" w:color="auto"/>
            </w:tcBorders>
            <w:shd w:val="clear" w:color="auto" w:fill="7B7B7B"/>
          </w:tcPr>
          <w:p>
            <w:pPr>
              <w:jc w:val="center"/>
              <w:ind w:left="789"/>
              <w:spacing w:after="0"/>
              <w:rPr>
                <w:sz w:val="20"/>
                <w:szCs w:val="20"/>
                <w:color w:val="auto"/>
              </w:rPr>
            </w:pPr>
            <w:r>
              <w:rPr>
                <w:rFonts w:ascii="Times New Roman" w:cs="Times New Roman" w:eastAsia="Times New Roman" w:hAnsi="Times New Roman"/>
                <w:sz w:val="14"/>
                <w:szCs w:val="14"/>
                <w:b w:val="1"/>
                <w:bCs w:val="1"/>
                <w:color w:val="FFFFFF"/>
              </w:rPr>
              <w:t>Wealth &amp; Capital Solutions</w:t>
            </w:r>
          </w:p>
        </w:tc>
        <w:tc>
          <w:tcPr>
            <w:tcW w:w="880" w:type="dxa"/>
            <w:vAlign w:val="bottom"/>
            <w:tcBorders>
              <w:right w:val="single" w:sz="8" w:color="auto"/>
            </w:tcBorders>
            <w:shd w:val="clear" w:color="auto" w:fill="7B7B7B"/>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430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International Real Estate</w:t>
            </w:r>
          </w:p>
        </w:tc>
      </w:tr>
      <w:tr>
        <w:trPr>
          <w:trHeight w:val="170"/>
        </w:trPr>
        <w:tc>
          <w:tcPr>
            <w:tcW w:w="3440" w:type="dxa"/>
            <w:vAlign w:val="bottom"/>
            <w:tcBorders>
              <w:left w:val="single" w:sz="8" w:color="auto"/>
            </w:tcBorders>
            <w:shd w:val="clear" w:color="auto" w:fill="7B7B7B"/>
          </w:tcPr>
          <w:p>
            <w:pPr>
              <w:jc w:val="center"/>
              <w:ind w:left="809"/>
              <w:spacing w:after="0"/>
              <w:rPr>
                <w:sz w:val="20"/>
                <w:szCs w:val="20"/>
                <w:color w:val="auto"/>
              </w:rPr>
            </w:pPr>
            <w:r>
              <w:rPr>
                <w:rFonts w:ascii="Times New Roman" w:cs="Times New Roman" w:eastAsia="Times New Roman" w:hAnsi="Times New Roman"/>
                <w:sz w:val="14"/>
                <w:szCs w:val="14"/>
                <w:b w:val="1"/>
                <w:bCs w:val="1"/>
                <w:color w:val="FFFFFF"/>
              </w:rPr>
              <w:t>AUM: $44.8 billion</w:t>
            </w:r>
          </w:p>
        </w:tc>
        <w:tc>
          <w:tcPr>
            <w:tcW w:w="880" w:type="dxa"/>
            <w:vAlign w:val="bottom"/>
            <w:tcBorders>
              <w:right w:val="single" w:sz="8" w:color="auto"/>
            </w:tcBorders>
            <w:shd w:val="clear" w:color="auto" w:fill="7B7B7B"/>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430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AUM: $0.3 billion</w:t>
            </w:r>
          </w:p>
        </w:tc>
      </w:tr>
      <w:tr>
        <w:trPr>
          <w:trHeight w:val="188"/>
        </w:trPr>
        <w:tc>
          <w:tcPr>
            <w:tcW w:w="3440" w:type="dxa"/>
            <w:vAlign w:val="bottom"/>
            <w:tcBorders>
              <w:left w:val="single" w:sz="8" w:color="auto"/>
              <w:bottom w:val="single" w:sz="8" w:color="7B7B7B"/>
            </w:tcBorders>
            <w:shd w:val="clear" w:color="auto" w:fill="7B7B7B"/>
          </w:tcPr>
          <w:p>
            <w:pPr>
              <w:jc w:val="center"/>
              <w:ind w:left="809"/>
              <w:spacing w:after="0"/>
              <w:rPr>
                <w:sz w:val="20"/>
                <w:szCs w:val="20"/>
                <w:color w:val="auto"/>
              </w:rPr>
            </w:pPr>
            <w:r>
              <w:rPr>
                <w:rFonts w:ascii="Times New Roman" w:cs="Times New Roman" w:eastAsia="Times New Roman" w:hAnsi="Times New Roman"/>
                <w:sz w:val="14"/>
                <w:szCs w:val="14"/>
                <w:b w:val="1"/>
                <w:bCs w:val="1"/>
                <w:color w:val="FFFFFF"/>
              </w:rPr>
              <w:t>AUA: $67.3 billion</w:t>
            </w:r>
          </w:p>
        </w:tc>
        <w:tc>
          <w:tcPr>
            <w:tcW w:w="880" w:type="dxa"/>
            <w:vAlign w:val="bottom"/>
            <w:tcBorders>
              <w:bottom w:val="single" w:sz="8" w:color="7B7B7B"/>
              <w:right w:val="single" w:sz="8" w:color="auto"/>
            </w:tcBorders>
            <w:shd w:val="clear" w:color="auto" w:fill="7B7B7B"/>
          </w:tcPr>
          <w:p>
            <w:pPr>
              <w:spacing w:after="0"/>
              <w:rPr>
                <w:sz w:val="16"/>
                <w:szCs w:val="16"/>
                <w:color w:val="auto"/>
              </w:rPr>
            </w:pPr>
          </w:p>
        </w:tc>
        <w:tc>
          <w:tcPr>
            <w:tcW w:w="60" w:type="dxa"/>
            <w:vAlign w:val="bottom"/>
            <w:tcBorders>
              <w:bottom w:val="single" w:sz="8" w:color="CCEEFF"/>
              <w:right w:val="single" w:sz="8" w:color="auto"/>
            </w:tcBorders>
            <w:shd w:val="clear" w:color="auto" w:fill="CCEEFF"/>
          </w:tcPr>
          <w:p>
            <w:pPr>
              <w:spacing w:after="0"/>
              <w:rPr>
                <w:sz w:val="16"/>
                <w:szCs w:val="16"/>
                <w:color w:val="auto"/>
              </w:rPr>
            </w:pPr>
          </w:p>
        </w:tc>
        <w:tc>
          <w:tcPr>
            <w:tcW w:w="4300" w:type="dxa"/>
            <w:vAlign w:val="bottom"/>
            <w:tcBorders>
              <w:bottom w:val="single" w:sz="8" w:color="538135"/>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AUA: $8.4 billion</w:t>
            </w:r>
          </w:p>
        </w:tc>
      </w:tr>
      <w:tr>
        <w:trPr>
          <w:trHeight w:val="20"/>
        </w:trPr>
        <w:tc>
          <w:tcPr>
            <w:tcW w:w="344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300" w:type="dxa"/>
            <w:vAlign w:val="bottom"/>
            <w:tcBorders>
              <w:right w:val="single" w:sz="8" w:color="auto"/>
            </w:tcBorders>
            <w:shd w:val="clear" w:color="auto" w:fill="000000"/>
          </w:tcPr>
          <w:p>
            <w:pPr>
              <w:spacing w:after="0" w:line="20" w:lineRule="exact"/>
              <w:rPr>
                <w:sz w:val="1"/>
                <w:szCs w:val="1"/>
                <w:color w:val="auto"/>
              </w:rPr>
            </w:pPr>
          </w:p>
        </w:tc>
      </w:tr>
    </w:tbl>
    <w:p>
      <w:pPr>
        <w:spacing w:after="0" w:line="3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Wealth &amp; Capital Solutions - AUM</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 for the wealth management businesses within the Wealth &amp; Capital Solutions segment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80" w:type="dxa"/>
            <w:vAlign w:val="bottom"/>
          </w:tcPr>
          <w:p>
            <w:pPr>
              <w:spacing w:after="0"/>
              <w:rPr>
                <w:sz w:val="17"/>
                <w:szCs w:val="17"/>
                <w:color w:val="auto"/>
              </w:rPr>
            </w:pPr>
          </w:p>
        </w:tc>
        <w:tc>
          <w:tcPr>
            <w:tcW w:w="3480" w:type="dxa"/>
            <w:vAlign w:val="bottom"/>
            <w:gridSpan w:val="4"/>
          </w:tcPr>
          <w:p>
            <w:pPr>
              <w:jc w:val="right"/>
              <w:ind w:right="1102"/>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8"/>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w:t>
            </w: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7"/>
                <w:szCs w:val="17"/>
                <w:color w:val="auto"/>
              </w:rPr>
            </w:pP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8"/>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27,961</w:t>
            </w:r>
          </w:p>
        </w:tc>
        <w:tc>
          <w:tcPr>
            <w:tcW w:w="0" w:type="dxa"/>
            <w:vAlign w:val="bottom"/>
          </w:tcPr>
          <w:p>
            <w:pPr>
              <w:spacing w:after="0"/>
              <w:rPr>
                <w:sz w:val="1"/>
                <w:szCs w:val="1"/>
                <w:color w:val="auto"/>
              </w:rPr>
            </w:pPr>
          </w:p>
        </w:tc>
      </w:tr>
      <w:tr>
        <w:trPr>
          <w:trHeight w:val="205"/>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client change</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8"/>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Flow, net</w:t>
            </w: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5"/>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 Performance, net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28"/>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Assets subject to change in billing methodology</w:t>
            </w: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Prior Quarter Adj / Regulation change</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34,525</w:t>
            </w:r>
          </w:p>
        </w:tc>
        <w:tc>
          <w:tcPr>
            <w:tcW w:w="0" w:type="dxa"/>
            <w:vAlign w:val="bottom"/>
          </w:tcPr>
          <w:p>
            <w:pPr>
              <w:spacing w:after="0"/>
              <w:rPr>
                <w:sz w:val="1"/>
                <w:szCs w:val="1"/>
                <w:color w:val="auto"/>
              </w:rPr>
            </w:pPr>
          </w:p>
        </w:tc>
      </w:tr>
      <w:tr>
        <w:trPr>
          <w:trHeight w:val="28"/>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w:t>
            </w:r>
          </w:p>
        </w:tc>
        <w:tc>
          <w:tcPr>
            <w:tcW w:w="0" w:type="dxa"/>
            <w:vAlign w:val="bottom"/>
          </w:tcPr>
          <w:p>
            <w:pPr>
              <w:spacing w:after="0"/>
              <w:rPr>
                <w:sz w:val="1"/>
                <w:szCs w:val="1"/>
                <w:color w:val="auto"/>
              </w:rPr>
            </w:pPr>
          </w:p>
        </w:tc>
      </w:tr>
      <w:tr>
        <w:trPr>
          <w:trHeight w:val="28"/>
        </w:trPr>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Wealth &amp; Capital Solutions - AUA</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AUA for the wealth management businesses within the Wealth &amp; Capital Solutions segment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20" w:type="dxa"/>
            <w:vAlign w:val="bottom"/>
          </w:tcPr>
          <w:p>
            <w:pPr>
              <w:spacing w:after="0"/>
              <w:rPr>
                <w:sz w:val="17"/>
                <w:szCs w:val="17"/>
                <w:color w:val="auto"/>
              </w:rPr>
            </w:pPr>
          </w:p>
        </w:tc>
        <w:tc>
          <w:tcPr>
            <w:tcW w:w="3200" w:type="dxa"/>
            <w:vAlign w:val="bottom"/>
            <w:gridSpan w:val="4"/>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AUA</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7"/>
                <w:szCs w:val="17"/>
                <w:color w:val="auto"/>
              </w:rPr>
            </w:pPr>
          </w:p>
        </w:tc>
        <w:tc>
          <w:tcPr>
            <w:tcW w:w="148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0" w:type="dxa"/>
            <w:vAlign w:val="bottom"/>
          </w:tcPr>
          <w:p>
            <w:pPr>
              <w:spacing w:after="0"/>
              <w:rPr>
                <w:sz w:val="1"/>
                <w:szCs w:val="1"/>
                <w:color w:val="auto"/>
              </w:rPr>
            </w:pPr>
          </w:p>
        </w:tc>
      </w:tr>
      <w:tr>
        <w:trPr>
          <w:trHeight w:val="28"/>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42,541</w:t>
            </w:r>
          </w:p>
        </w:tc>
        <w:tc>
          <w:tcPr>
            <w:tcW w:w="0" w:type="dxa"/>
            <w:vAlign w:val="bottom"/>
          </w:tcPr>
          <w:p>
            <w:pPr>
              <w:spacing w:after="0"/>
              <w:rPr>
                <w:sz w:val="1"/>
                <w:szCs w:val="1"/>
                <w:color w:val="auto"/>
              </w:rPr>
            </w:pPr>
          </w:p>
        </w:tc>
      </w:tr>
      <w:tr>
        <w:trPr>
          <w:trHeight w:val="205"/>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0" w:type="dxa"/>
            <w:vAlign w:val="bottom"/>
          </w:tcPr>
          <w:p>
            <w:pPr>
              <w:spacing w:after="0"/>
              <w:rPr>
                <w:sz w:val="1"/>
                <w:szCs w:val="1"/>
                <w:color w:val="auto"/>
              </w:rPr>
            </w:pPr>
          </w:p>
        </w:tc>
      </w:tr>
      <w:tr>
        <w:trPr>
          <w:trHeight w:val="28"/>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51,036</w:t>
            </w:r>
          </w:p>
        </w:tc>
        <w:tc>
          <w:tcPr>
            <w:tcW w:w="0" w:type="dxa"/>
            <w:vAlign w:val="bottom"/>
          </w:tcPr>
          <w:p>
            <w:pPr>
              <w:spacing w:after="0"/>
              <w:rPr>
                <w:sz w:val="1"/>
                <w:szCs w:val="1"/>
                <w:color w:val="auto"/>
              </w:rPr>
            </w:pPr>
          </w:p>
        </w:tc>
      </w:tr>
      <w:tr>
        <w:trPr>
          <w:trHeight w:val="19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46,789</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Within the Alternatives platform, assets consist of assets managed by TIG Arbitrage (AUM $1.7 billion and $2.4 billion as of December 31, 2024 and December 31, 2023, respectively), and the External Strategic Managers (AUA $5.1 billion and $5.3 billion as of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auto"/>
        </w:rPr>
        <w:t>The tables below present the change in our total AUM/AUA by strategy and product for our alternatives platform for the year ended December 31, 2024 and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December</w:t>
            </w:r>
          </w:p>
        </w:tc>
        <w:tc>
          <w:tcPr>
            <w:tcW w:w="120" w:type="dxa"/>
            <w:vAlign w:val="bottom"/>
          </w:tcPr>
          <w:p>
            <w:pPr>
              <w:spacing w:after="0"/>
              <w:rPr>
                <w:sz w:val="11"/>
                <w:szCs w:val="11"/>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82"/>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AUM/AUA</w:t>
            </w:r>
          </w:p>
        </w:tc>
      </w:tr>
      <w:tr>
        <w:trPr>
          <w:trHeight w:val="159"/>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w:t>
            </w:r>
          </w:p>
        </w:tc>
      </w:tr>
      <w:tr>
        <w:trPr>
          <w:trHeight w:val="151"/>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0"/>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14"/>
                <w:szCs w:val="14"/>
                <w:b w:val="1"/>
                <w:bCs w:val="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2,107</w:t>
            </w:r>
          </w:p>
        </w:tc>
      </w:tr>
      <w:tr>
        <w:trPr>
          <w:trHeight w:val="151"/>
        </w:trPr>
        <w:tc>
          <w:tcPr>
            <w:tcW w:w="2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w:t>
            </w:r>
          </w:p>
        </w:tc>
      </w:tr>
      <w:tr>
        <w:trPr>
          <w:trHeight w:val="30"/>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w:t>
            </w:r>
          </w:p>
        </w:tc>
      </w:tr>
      <w:tr>
        <w:trPr>
          <w:trHeight w:val="141"/>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6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5,127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5,193</w:t>
            </w:r>
          </w:p>
        </w:tc>
      </w:tr>
      <w:tr>
        <w:trPr>
          <w:trHeight w:val="30"/>
        </w:trPr>
        <w:tc>
          <w:tcPr>
            <w:tcW w:w="2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7,243</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80" w:type="dxa"/>
            <w:vAlign w:val="bottom"/>
          </w:tcPr>
          <w:p>
            <w:pPr>
              <w:spacing w:after="0"/>
              <w:rPr>
                <w:sz w:val="11"/>
                <w:szCs w:val="1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December</w:t>
            </w:r>
          </w:p>
        </w:tc>
        <w:tc>
          <w:tcPr>
            <w:tcW w:w="120" w:type="dxa"/>
            <w:vAlign w:val="bottom"/>
          </w:tcPr>
          <w:p>
            <w:pPr>
              <w:spacing w:after="0"/>
              <w:rPr>
                <w:sz w:val="11"/>
                <w:szCs w:val="11"/>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January 1, 2023</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AUM/AUA</w:t>
            </w:r>
          </w:p>
        </w:tc>
        <w:tc>
          <w:tcPr>
            <w:tcW w:w="0" w:type="dxa"/>
            <w:vAlign w:val="bottom"/>
          </w:tcPr>
          <w:p>
            <w:pPr>
              <w:spacing w:after="0"/>
              <w:rPr>
                <w:sz w:val="1"/>
                <w:szCs w:val="1"/>
                <w:color w:val="auto"/>
              </w:rPr>
            </w:pPr>
          </w:p>
        </w:tc>
      </w:tr>
      <w:tr>
        <w:trPr>
          <w:trHeight w:val="159"/>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(1,637)</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0" w:type="dxa"/>
            <w:vAlign w:val="bottom"/>
          </w:tcPr>
          <w:p>
            <w:pPr>
              <w:spacing w:after="0"/>
              <w:rPr>
                <w:sz w:val="1"/>
                <w:szCs w:val="1"/>
                <w:color w:val="auto"/>
              </w:rPr>
            </w:pPr>
          </w:p>
        </w:tc>
      </w:tr>
      <w:tr>
        <w:trPr>
          <w:trHeight w:val="151"/>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14"/>
                <w:szCs w:val="14"/>
                <w:b w:val="1"/>
                <w:bCs w:val="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151"/>
        </w:trPr>
        <w:tc>
          <w:tcPr>
            <w:tcW w:w="2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0" w:type="dxa"/>
            <w:vAlign w:val="bottom"/>
          </w:tcPr>
          <w:p>
            <w:pPr>
              <w:spacing w:after="0"/>
              <w:rPr>
                <w:sz w:val="1"/>
                <w:szCs w:val="1"/>
                <w:color w:val="auto"/>
              </w:rPr>
            </w:pPr>
          </w:p>
        </w:tc>
      </w:tr>
      <w:tr>
        <w:trPr>
          <w:trHeight w:val="30"/>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w:t>
            </w: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6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5,271</w:t>
            </w:r>
          </w:p>
        </w:tc>
        <w:tc>
          <w:tcPr>
            <w:tcW w:w="0" w:type="dxa"/>
            <w:vAlign w:val="bottom"/>
          </w:tcPr>
          <w:p>
            <w:pPr>
              <w:spacing w:after="0"/>
              <w:rPr>
                <w:sz w:val="1"/>
                <w:szCs w:val="1"/>
                <w:color w:val="auto"/>
              </w:rPr>
            </w:pPr>
          </w:p>
        </w:tc>
      </w:tr>
      <w:tr>
        <w:trPr>
          <w:trHeight w:val="30"/>
        </w:trPr>
        <w:tc>
          <w:tcPr>
            <w:tcW w:w="2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(2,104)</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firstLine="5"/>
        <w:spacing w:after="0" w:line="270" w:lineRule="auto"/>
        <w:tabs>
          <w:tab w:leader="none" w:pos="117" w:val="left"/>
        </w:tabs>
        <w:numPr>
          <w:ilvl w:val="0"/>
          <w:numId w:val="4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International Real Estate - AUM/AUA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International Real Estate AUM/AUA includes the following:</w:t>
      </w:r>
    </w:p>
    <w:p>
      <w:pPr>
        <w:spacing w:after="0" w:line="145" w:lineRule="exact"/>
        <w:rPr>
          <w:sz w:val="20"/>
          <w:szCs w:val="20"/>
          <w:color w:val="auto"/>
        </w:rPr>
      </w:pPr>
    </w:p>
    <w:p>
      <w:pPr>
        <w:ind w:left="260" w:hanging="255"/>
        <w:spacing w:after="0" w:line="259" w:lineRule="auto"/>
        <w:tabs>
          <w:tab w:leader="none" w:pos="251" w:val="left"/>
        </w:tabs>
        <w:numPr>
          <w:ilvl w:val="0"/>
          <w:numId w:val="49"/>
        </w:numPr>
        <w:rPr>
          <w:rFonts w:ascii="Times New Roman" w:cs="Times New Roman" w:eastAsia="Times New Roman" w:hAnsi="Times New Roman"/>
          <w:sz w:val="16"/>
          <w:szCs w:val="16"/>
          <w:b w:val="1"/>
          <w:bCs w:val="1"/>
          <w:i w:val="1"/>
          <w:iCs w:val="1"/>
          <w:color w:val="231F20"/>
        </w:rPr>
      </w:pPr>
      <w:r>
        <w:rPr>
          <w:rFonts w:ascii="Times New Roman" w:cs="Times New Roman" w:eastAsia="Times New Roman" w:hAnsi="Times New Roman"/>
          <w:sz w:val="16"/>
          <w:szCs w:val="16"/>
          <w:color w:val="auto"/>
        </w:rPr>
        <w:t>Co-investment real estate advisory services, where we include the value of our private market direct and co-investment real estate investments (AUA $8.1 billion and $10.1 billion as of December 31, 2024 and December 31, 2023, respectively); and</w:t>
      </w:r>
    </w:p>
    <w:p>
      <w:pPr>
        <w:spacing w:after="0" w:line="112" w:lineRule="exact"/>
        <w:rPr>
          <w:rFonts w:ascii="Times New Roman" w:cs="Times New Roman" w:eastAsia="Times New Roman" w:hAnsi="Times New Roman"/>
          <w:sz w:val="16"/>
          <w:szCs w:val="16"/>
          <w:b w:val="1"/>
          <w:bCs w:val="1"/>
          <w:i w:val="1"/>
          <w:iCs w:val="1"/>
          <w:color w:val="231F20"/>
        </w:rPr>
      </w:pPr>
    </w:p>
    <w:p>
      <w:pPr>
        <w:ind w:left="260" w:hanging="255"/>
        <w:spacing w:after="0" w:line="273" w:lineRule="auto"/>
        <w:tabs>
          <w:tab w:leader="none" w:pos="251" w:val="left"/>
        </w:tabs>
        <w:numPr>
          <w:ilvl w:val="0"/>
          <w:numId w:val="49"/>
        </w:numPr>
        <w:rPr>
          <w:rFonts w:ascii="Times New Roman" w:cs="Times New Roman" w:eastAsia="Times New Roman" w:hAnsi="Times New Roman"/>
          <w:sz w:val="16"/>
          <w:szCs w:val="16"/>
          <w:b w:val="1"/>
          <w:bCs w:val="1"/>
          <w:i w:val="1"/>
          <w:iCs w:val="1"/>
          <w:color w:val="231F20"/>
        </w:rPr>
      </w:pPr>
      <w:r>
        <w:rPr>
          <w:rFonts w:ascii="Times New Roman" w:cs="Times New Roman" w:eastAsia="Times New Roman" w:hAnsi="Times New Roman"/>
          <w:sz w:val="16"/>
          <w:szCs w:val="16"/>
          <w:color w:val="auto"/>
        </w:rPr>
        <w:t>Assets managed in a private real estate investment fund (AUM $0.3 billion and $2.6 billion as of December 31, 2024 and December 31, 2023, respectively) from which we generate fee revenue. The Company’s reported value of these assets is either the net asset value or the market capitalization of the fund.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AUM/AUA for our Real Estate - Private Funds for our International Real Estate segment for the periods indicated:</w:t>
      </w:r>
    </w:p>
    <w:p>
      <w:pPr>
        <w:spacing w:after="0" w:line="4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31115</wp:posOffset>
            </wp:positionV>
            <wp:extent cx="21831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2"/>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14,130</w:t>
            </w:r>
          </w:p>
        </w:tc>
      </w:tr>
      <w:tr>
        <w:trPr>
          <w:trHeight w:val="205"/>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8"/>
              </w:rPr>
              <w:t>(1,410)</w:t>
            </w:r>
          </w:p>
        </w:tc>
      </w:tr>
      <w:tr>
        <w:trPr>
          <w:trHeight w:val="28"/>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12,720</w:t>
            </w: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AUM/AUA</w:t>
            </w: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13,425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AUA is reported with a one quarter lag for HLIF as management fees are billed on that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Consolidated Results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management and incentive fees based on performance of the underlying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Fees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brokerage fees which are similar to arrangement fees except that they are generally paid for assisting public companies in raising capital.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Compensation and Employee Benefits: </w:t>
      </w:r>
      <w:r>
        <w:rPr>
          <w:rFonts w:ascii="Times New Roman" w:cs="Times New Roman" w:eastAsia="Times New Roman" w:hAnsi="Times New Roman"/>
          <w:sz w:val="16"/>
          <w:szCs w:val="16"/>
          <w:color w:val="auto"/>
        </w:rPr>
        <w:t>Compensation generally includes salaries, bonuses, other performance-based compensation such as commissions, long-term deferral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programs, benefits, and payroll taxes. Compensation is accrued over the related service period and long-term deferral program awards are paid out based on the various vesting dates.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Expenses: </w:t>
      </w:r>
      <w:r>
        <w:rPr>
          <w:rFonts w:ascii="Times New Roman" w:cs="Times New Roman" w:eastAsia="Times New Roman" w:hAnsi="Times New Roman"/>
          <w:sz w:val="16"/>
          <w:szCs w:val="16"/>
          <w:color w:val="auto"/>
        </w:rPr>
        <w:t>General, administrative and other expenses include costs primarily related to professional services, occupancy, travel, communication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information services, distribution costs, and other general operating items.</w:t>
      </w:r>
    </w:p>
    <w:p>
      <w:pPr>
        <w:spacing w:after="0" w:line="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Expenses: </w:t>
      </w:r>
      <w:r>
        <w:rPr>
          <w:rFonts w:ascii="Times New Roman" w:cs="Times New Roman" w:eastAsia="Times New Roman" w:hAnsi="Times New Roman"/>
          <w:sz w:val="16"/>
          <w:szCs w:val="16"/>
          <w:color w:val="auto"/>
        </w:rPr>
        <w:t>Fixed assets are depreciated or amortized on a straight-line basis, with the corresponding depreciation and amortization expense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depreciation and amortization in the Company’s Consolidated Statement of Operations. The estimated useful life for leasehold improvements is the lesser of the remaining lease term or the life of the asset, while other fixed assets are generally depreciated over a period of three to fifteen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consists of the interest expense on our outstanding debt, amortization of deferred financing costs, and amortization of original issue discount.</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Income tax expense consists of taxes paid or payable by our consolidated operating subsidiaries. Certain of our subsidiaries are treated as flow-through entities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 – For the Year Ended December 31, 2024 Compared to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9,594</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(40,121)</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(4,881)</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(4,574)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206,935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246,917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(39,982)</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(38,366)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Non-compensation expenses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(14,016)</w:t>
            </w:r>
          </w:p>
        </w:tc>
        <w:tc>
          <w:tcPr>
            <w:tcW w:w="80" w:type="dxa"/>
            <w:vAlign w:val="bottom"/>
          </w:tcPr>
          <w:p>
            <w:pPr>
              <w:spacing w:after="0"/>
              <w:rPr>
                <w:sz w:val="16"/>
                <w:szCs w:val="16"/>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3"/>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293,784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(52,382)</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2"/>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(108,589)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113,911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before taxes</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(195,438)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(321,749)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126,311</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(174,305)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136,910</w:t>
            </w:r>
          </w:p>
        </w:tc>
        <w:tc>
          <w:tcPr>
            <w:tcW w:w="8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Management / advisory fees. </w:t>
      </w:r>
      <w:r>
        <w:rPr>
          <w:rFonts w:ascii="Times New Roman" w:cs="Times New Roman" w:eastAsia="Times New Roman" w:hAnsi="Times New Roman"/>
          <w:sz w:val="16"/>
          <w:szCs w:val="16"/>
          <w:color w:val="auto"/>
        </w:rPr>
        <w:t>Management and advisory fees for the year ended December 31, 2024 increased by $9.6 million compared to the year ended December 31, 2023.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was driven by higher fees in Wealth &amp; Capital Solutions, primarily due to the inclusion of EEA and Envoi in our results, strong market performance, and other organic growth over the past year. These gains were partially offset by lower management fees in the TIG Arbitrage strategy and in International Real Estate, due to the disposition of LRA on March 6, 2024, the deconsolidation of AHRA on June 30, 2023, and the repositioning of that segment over the past year.</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Incentive fees for the year ended December 31, 2024 decreased by $40.1 million compared to the year ended December 31, 2023. This decrease was primarily due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lower performance in the current year period in the TIG Arbitrage strategy within Wealth &amp; Capital Solutions, resulting in higher crystallized incentive fees in the prior period compared to the current year period.</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Distributions from investments. </w:t>
      </w:r>
      <w:r>
        <w:rPr>
          <w:rFonts w:ascii="Times New Roman" w:cs="Times New Roman" w:eastAsia="Times New Roman" w:hAnsi="Times New Roman"/>
          <w:sz w:val="16"/>
          <w:szCs w:val="16"/>
          <w:color w:val="auto"/>
        </w:rPr>
        <w:t>Distributions from investments for the year ended December 31, 2024 decreased by $4.9 million compared to the year ended December 31,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decrease was primarily due to lower distributions related to incentive fees in each of the External Strategic Manager strategies within Wealth &amp; Capital Solutions in the current period. In the prior year, we saw particularly strong performance in these investments leading to significant distributions related to incentive fees.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Other fees / income. </w:t>
      </w:r>
      <w:r>
        <w:rPr>
          <w:rFonts w:ascii="Times New Roman" w:cs="Times New Roman" w:eastAsia="Times New Roman" w:hAnsi="Times New Roman"/>
          <w:sz w:val="16"/>
          <w:szCs w:val="16"/>
          <w:color w:val="auto"/>
        </w:rPr>
        <w:t>Other fees and income for the year ended December 31, 2024 decreased by $4.6 million compared to the year ended December 31, 2023. This decrease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driven by lower transactional income in International Real Estate, which generated $688 thousand in fees for the year ended December 31, 2024, compared to $5.0 million for the year ended December 31, 2023.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Compensation expense for the year ended December 31, 2024 decreased by $38.4 million compared to the year ended December 31, 2023. This decrease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primarily due to lower compensation costs tied to the performance of the Arbitrage strategy and other organizational streamlining initiatives undertaken since the second quarter of 2023.</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Non-compensation expense. </w:t>
      </w:r>
      <w:r>
        <w:rPr>
          <w:rFonts w:ascii="Times New Roman" w:cs="Times New Roman" w:eastAsia="Times New Roman" w:hAnsi="Times New Roman"/>
          <w:sz w:val="16"/>
          <w:szCs w:val="16"/>
          <w:color w:val="auto"/>
        </w:rPr>
        <w:t>Non-compensation expenses for the year ended December 31, 2024 decreased by $14.0 million as compared to the year ended December 31,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driven by a $12.8 million decline in professional fees. The prior year period included significant costs incurred for accounting, legal and consulting services in connection with the Business Combination and other transactions completed during that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part of the Company’s strategic review of its Real Estate Businesses, the Company realigned its operating segments which resulted in a change to our reporting units as of September 30, 2024. We determined that triggering events had occurred due to changes in the composition of the our reporting units in addition to declining revenues and increased expenses associated with the Real Estate Businesses. As such, an interim goodwill impairment test of the reporting units was performed prior to their realignment. During the third quarter ended September 30, 2024, the Company recognized an impairment charge of $44.9 million related to TIG’s Investment management agreements (“IMA”), which is classified as an indefinite-lived intangible asset. See Note 11 (Intangible Assets, Net) to our consolidated financial statements included in this Annual Report for further details. Additionally, during the third quarter ended September 30, 2024, the Company recognized a $29.4 million and $40.4 million impairment to goodwill for its Wealth &amp; Capital Solutions and International Real Estate segments, respectively. The primary drivers of impairment were the financial projections and discount rate for the IMA and financial projections, discount rate, and market multiples for goodwill. As of September 30, 2024, all goodwill allocated to the International Real Estate segment is written off. See Note 18 (Segment Reporting) to our consolidated financial statements included in this Annual Report for further information about changes to the Company’s segments.</w:t>
      </w:r>
    </w:p>
    <w:p>
      <w:pPr>
        <w:spacing w:after="0" w:line="3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Other income (expenses) for the year ended December 31, 2024 increased by $113.9 million compared to the year ended December 31, 2023, primarily due to lower goodwill and impairment charges and higher net unrealized gains on items accounted for at fair value. The prior year period included goodwill and intangible asset impairment charges totaling $206.8 million from the exit and restructuring of certain businesses within the former Asset Management segment. The current year period included goodwill and intangible asset impairment charges totaling $116.8 million.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in the current year, net unrealized gains increased by $27.3 million. Certain items accounted for at fair value, such as investments in external managers, earn-out obligations, warrants issued in connection with financing transactions, and the Tax Receivable Agreement had higher net unrealized gains in the year ended December 31, 2024 than in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year over year increases in Other income were partially offset by higher interest expense, totaling $7.6 million in the current year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Company’s effective tax rate was 10.8% for the year ended December 31, 2024 compared to 3.3% for year ended December 31, 2023. The effective tax rate for the year ended December 31, 2023 differed from the statutory U.S. corporate tax rate primarily due to the tax impact of mark-to-market losses associated with contingent liabilities, equity consideration in the Business Combination, and goodwill impairment. The effective tax rate for the year ended December 31, 2024 differed from the statutory U.S. corporate tax rate generally due to the impact of a valuation allowance with respect to deferred tax assets generated in the Company’s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auto"/>
        </w:rPr>
        <w:t>subsidiaries in the U.K. and in the Company’s investment in subsidiary, the portion of income allocated to noncontrolling interests, and goodwill impairment.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w:t>
      </w:r>
    </w:p>
    <w:p>
      <w:pPr>
        <w:spacing w:after="0" w:line="1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of December 31, 2024, the Company repaid its debt outstanding under the bank credit facility (see Note 15 (Debt, net of unamortized deferred financing costs) to our consolidated financial statements included in this Annual Report) with the proceeds raised from the Allianz Transaction and the Constellation Transaction (see Note 1 (Description of the Business) to our consolidated financial statements included in this Annual Report). On January 3, 2023, concurrent with the consummation of the Business Combination, the Company had entered into a $250.0 million credit facility with a syndicate led by BMO Capital Markets Corp. The facility, which had a term of five years and was comprised of a $150.0 million revolving credit facility and a $100.0 million term loan facility, was to be used to pay down subsidiary debt and fund growth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Allianz and Constellation Investment</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December 31, 2024, none of the Allianz Warrants have been exercised.</w:t>
      </w:r>
    </w:p>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Consummation of the Allianz Transaction closed as of July 31, 2024. Refer to Note 1 (Description of the Business) in our accompanying consolidated financial statements for additional details.</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December 31, 2024, none of the Constellation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 2024 Compared to the Year Ended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and discussion summarize our Consolidated Statement of Cash Flows by activity attributable to AlTi. Negative amounts represent an outflow or use of cash.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6"/>
                <w:szCs w:val="16"/>
                <w:color w:val="auto"/>
              </w:rPr>
            </w:pP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5"/>
                <w:szCs w:val="15"/>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7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(75,685)</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57,262</w:t>
            </w:r>
          </w:p>
        </w:tc>
      </w:tr>
      <w:tr>
        <w:trPr>
          <w:trHeight w:val="22"/>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174,259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138,240</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on cash balances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Cash and cash equivalents increased by $47.2 million during 2024 primarily due to the Company’s net financing activities during the period, which included raising $400.0 million of common and preferred equity before transaction costs. This capital raising activity was partially offset by net reduction in debt outstanding of approximately $186.4 million.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professional fees, and interest on our debt obligations. Our net operating cash outflow of $(50.7) million for the year ended December 31, 2024, primarily reflects the Company’s net operating loss for the year ended, as operating expenses exceeded revenues. Compared to the prior year period, net operating cash outflows declined by $31.1 million, mainly due to lower professional fees, which were higher in the prior year due to extensive use of professional services for capital raising, other financing activities, and supporting the Company’s evolving financial reporting infrastructure. Management believes that continued efforts to implement cost rationalization initiatives and to deploy recently raised capital in accretive businesses will further reduce operating cash outflows as the Company scales and matures.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net operating cash outflow of $81.7 million for the year ended December 31, 2023, primarily reflects the Company’s net operating loss for the period, as operating expenses exceeded revenues.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Net cash used in investing activities of $75.7 million during the year ended December 31, 2024, was driven primarily by the deployment of approximately $95.9 million of capital related to the acquisition of EEA, Pointwise, Envoi and equity method investments, partially offset by approximately $48.9 million of proceeds from the sales of FOS and LRA.</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Net cash used in investing activities of $132.9 million during the year ended December 31, 2023, was driven primarily by transactions with legacy TWMH and TIG shareholders in connection with the Business Combination, as well as the acquisitions of ALWP and AWMS and additional investments in certain external managers.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cash provided by financing activities of $174.3 million during the year ended December 31, 2024, primarily resulted from the issuance of common and preferred equity to Allianz and Constellation, net of transaction costs paid, partially offset by the net pay down of our credit facility, member distributions, and tax payments associated with settlements of equity compensation awards.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Net cash provided by financing activities of $36.0 million for the year ended September 30, 2023, primarily reflects the net proceeds from debt issuance and retirement, partially offset by member distributions.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Sources and Uses of Liquidity</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the normal course of business, we may engage in off-balance sheet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discussed in Note 20 (Commitments and Contingencies) to our consolidated financial statements included in this Annual Report, we may in the future be required to make payments under the TRA.</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2024 and December 31, 2023, the liability associated with the TRA was approximately $28.8 million and $17.6 million, respectively. Payments under the TRA that are on account of liabilities arising in connection with the Business Combination will be revalued at the end of each reporting period with the gain or loss recognized in earnings. As of December 31, 2024 and December 31, 2023, the Company carried $9.4 million and $13.2 million, respectively, of its TRA liability at fair value, as it is contingent consideration from the Business Combination. The remaining portion of the TRA liability is carried at a value equal to the expected future payments under the TRA.</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On August 31, 2023, holders of Class B Units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Units exchanged 4,954,518 Class B Paired Interests with the Company, for shares of Class A Common Stock on a 1:1 basis totaling an amount equal to $6.61 multiplied by the total number of shares of Class B Paired Interests exchanged at the time of the transaction. On May 14, 2024, holders of Class B Units exchanged 286,242 Class B Paired Interests with the Company, for shares of Class A Common Stock on a 1:1 basis totaling an amount equal to $4.69 multiplied by the total number of shares of Class B Paired Interests exchanged at the time of the transaction. On August 19, 2024, holders of Class B Units exchanged 1,840,077 Class B Paired Interests with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6" w:name="page87"/>
    <w:bookmarkEnd w:id="86"/>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for shares of Class A Common Stock on a 1:1 basis totaling an amount equal to $4.06 multiplied by the total number of shares of Class B Paired Interests exchanged at the time of the transaction.</w:t>
      </w:r>
    </w:p>
    <w:p>
      <w:pPr>
        <w:spacing w:after="0" w:line="1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of December 31, 2024, assuming no material changes in the relevant tax laws and that the Company generates sufficient taxable income to realize the full tax benefit of the increased amortization resulting from the increase in tax basis of certain of AlTi’s assets, we expect to pay approximately $28.8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As of December 31, 2024, none of such Warrants are outstanding.</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December 31, 2024, none of the Constellation Warrants have been exercised.</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July 31, 2024, the Company issued the Allianz Warrants to purchase 5,000,000 shares of the Company’s Class A Common Stock. As of December 31, 2024, none of the Allianz Warrants have been exercised.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December 31, 2024 and December 31, 2023, the fair value of the earn-out share liability was $23.8 million and $62.4 million, respectively, which is included in Earn-out liabilities, at fair value presented on the Consolidated Statement of Financial Position. See Note 2 (Summary of Significant Accounting Policies) to our consolidated financial statements included in this Annual Report for additional detail.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includes cash consideration, equity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7" w:name="page88"/>
    <w:bookmarkEnd w:id="87"/>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consideration, deferred cash consideration, earn-out consideration, (or AWMS earn-out liability), and the payment of assumed liabilities. During the fourth quarter of 2024, the AWMS earn-out liability was fully paid.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w:t>
      </w:r>
      <w:r>
        <w:rPr>
          <w:rFonts w:ascii="Times New Roman" w:cs="Times New Roman" w:eastAsia="Times New Roman" w:hAnsi="Times New Roman"/>
          <w:sz w:val="16"/>
          <w:szCs w:val="16"/>
          <w:color w:val="auto"/>
        </w:rPr>
        <w:t>t, with changes in fair value to be recognized in Gain (loss) on earnout liabilities in the Consolidated Statement of Operations and in Fair value (gain) loss on earnout liability in the Consolidated Statement of Cash Flows in the period of change. As of December 31, 2024 and December 31, 2023, the AWMS earn-out liability of $0.0 million and $1.1 million, respectively, is reported in Earn-out liabilities, at fair value, in the Consolidated Statement of Financial Position.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East End Advisors Contingent Consideration</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December 31, 2024, the fair value of the earn-out share liability was $29.9 million, which is included in Earn-out liabilities, at fair value presented on the Consolidated Statement of Financial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Pointwise Deferred Consideration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As of December 31, 2024, the fair value of the deferred consideration was $3.3 million, which is included in Other liabilities presented on the Consolidated Statement of Financial Position.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Envoi Earn-out Liability</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2024, the Envoi earn-out consideration liability of $9.6 million and the Envoi earn-out growth consideration liability of $1.3 million are included in Earn-out liabilities, at fair value presented on the Consolidated Statement of Financial 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Arrangements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Consolidated Statement of Financial Position. As of December 31, 2024, the Company has not had prior claims or losses pursuant to these contracts and expects the risk of material loss to be remote.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From time to time, we may be named as a defendant in legal or regulatory actions. Although there can be no assurance of the outcome of such matters, management’s current assessment is that a loss contingency reserve was required to be recorded as of December 31, 2024 related to the dispute with Tolleson Wealth Management as disclosed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Home REIT</w:t>
      </w:r>
    </w:p>
    <w:p>
      <w:pPr>
        <w:spacing w:after="0" w:line="20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Home REIT is a real estate investment trust company listed on the London Stock Exchange. AFM UK was its alternative investment fund manager (“AIFM”) until August 21, 2023 and AHRA was its investment adviser until June 30, 2023. Services are no longer provided by any AlTi companies or any legacy Alvarium companies to Home REIT. AFM UK is a wholly owned subsidiary of the Company. AHRA was owned by ARE (another 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It is not possible at this point in time for us to reliably assess what the quantum of such claims might be, or AFM UK’s and/or ARE’s potential exposure, though they may potentially be material. Our intent is that any litigation or other action commenced by current and/or former shareholders of Home REIT against AFM UK and/or ARE will be defended vigorously. However, if any claims were commenced, we would anticipate that such claims may involve complex questions of law and fact, and significant legal expenses may be incurred in defending such litigation.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12, 2024, pre-action steps were commenced by Home REIT and its directors against AFM UK and ARE. This relates to the historic management of Home REIT by certain</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legacy Alvarium companies. In the pre-action correspondence, Home REIT and its directors assert potential claims against AFM 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It is not possible at this point in time for us to reliably assess what the quantum of such claims might be, or AFM UK’s and ARE’s potential exposure, though they may potentially be material. Our intent is that any litigation or other action commenced by Home REIT and/or its directors against AFM UK and/or ARE will be defended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89" w:name="page90"/>
    <w:bookmarkEnd w:id="89"/>
    <w:p>
      <w:pPr>
        <w:jc w:val="both"/>
        <w:spacing w:after="0" w:line="273" w:lineRule="auto"/>
        <w:rPr>
          <w:sz w:val="20"/>
          <w:szCs w:val="20"/>
          <w:color w:val="auto"/>
        </w:rPr>
      </w:pPr>
      <w:r>
        <w:rPr>
          <w:rFonts w:ascii="Times New Roman" w:cs="Times New Roman" w:eastAsia="Times New Roman" w:hAnsi="Times New Roman"/>
          <w:sz w:val="16"/>
          <w:szCs w:val="16"/>
          <w:color w:val="auto"/>
        </w:rPr>
        <w:t>vigorously. However, if any claims were commenced, we would anticipate that such claims may involve complex questions of law and fact, and significant legal expenses may be incurred in defending such litigation.</w:t>
      </w:r>
    </w:p>
    <w:p>
      <w:pPr>
        <w:spacing w:after="0" w:line="1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Tolleson Wealth Management</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was involved in a dispute with Tolleson Wealth Management (“Tolleson”) related to alleged improper solicitation of Tolleson’s clients and employees. Certain former Tolleson employees who joined AlTi were party to Tolleson employment agreements which contained a one-year client and employee non-solicit and a lost client fee clause. The lost fee clause is applicable for two years from date of departure and requires payment of 75% of one year of lost revenue for each departing client that follows the former Tolleson employees, to be paid over two years.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September 2024, despite offers by the Company to pay for the departed clients, Tolleson filed a lawsuit against AlTi and the former Tolleson employees. The parties reached an agreement in September 2024, dismissing the litigation and agreeing to mediation.</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As of December 31, 2024, the Company and Tolleson reached a tentative out-of-court settlement agreement during mediation. The settlement consisted of $4.1 million related to 125% of one year of lost revenue for Tolleson and $1 million in attorneys’ fees to be paid by the Company to Tolleson. The Company and Tolleson entered a binding settlement agreement on February 19, 2025, memorializing the terms agreed to in mediation and concluding this matter. On March 13, 2025, the settlement amount of $5.1 million was paid.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6"/>
          <w:szCs w:val="16"/>
          <w:color w:val="auto"/>
        </w:rPr>
        <w:t>factors. 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consolidated financial statements included in this Annual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Estimation of Fair Values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Investments at Fair Value – External Strategic Managers: </w:t>
      </w:r>
      <w:r>
        <w:rPr>
          <w:rFonts w:ascii="Times New Roman" w:cs="Times New Roman" w:eastAsia="Times New Roman" w:hAnsi="Times New Roman"/>
          <w:sz w:val="16"/>
          <w:szCs w:val="16"/>
          <w:color w:val="auto"/>
        </w:rPr>
        <w:t>The fair values of our Investments in External Strategic Managers were determined using significant unobservable inputs.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TRA Liability: </w:t>
      </w:r>
      <w:r>
        <w:rPr>
          <w:rFonts w:ascii="Times New Roman" w:cs="Times New Roman" w:eastAsia="Times New Roman" w:hAnsi="Times New Roman"/>
          <w:sz w:val="16"/>
          <w:szCs w:val="16"/>
          <w:color w:val="auto"/>
        </w:rPr>
        <w:t>We carry a portion of our TRA liability at fair value, as it is a contingent consideration related to the Business Combination. The valuation of the TRA liability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w:t>
      </w:r>
    </w:p>
    <w:p>
      <w:pPr>
        <w:spacing w:after="0" w:line="1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i w:val="1"/>
          <w:iCs w:val="1"/>
          <w:color w:val="auto"/>
        </w:rPr>
        <w:t xml:space="preserve">Earn-out Liabilities: </w:t>
      </w:r>
      <w:r>
        <w:rPr>
          <w:rFonts w:ascii="Times New Roman" w:cs="Times New Roman" w:eastAsia="Times New Roman" w:hAnsi="Times New Roman"/>
          <w:sz w:val="16"/>
          <w:szCs w:val="16"/>
          <w:color w:val="auto"/>
        </w:rPr>
        <w:t>The fair values of our Business Combination Earn-out Securities liability, our AWMS earn-out liability, our EEA earn-out liability, our Envoi earn-out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consideration liability, and our Envoi earn-out growth consideration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The Company issued stock grants to certain employees as bonus compensation. The fair value of the grants was determined based on the share price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issuance.</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Fair Value of Assets Acquired and Liabilities Assumed in Business Combinations: </w:t>
      </w:r>
      <w:r>
        <w:rPr>
          <w:rFonts w:ascii="Times New Roman" w:cs="Times New Roman" w:eastAsia="Times New Roman" w:hAnsi="Times New Roman"/>
          <w:sz w:val="14"/>
          <w:szCs w:val="14"/>
          <w:color w:val="auto"/>
        </w:rPr>
        <w:t>The determination of the fair values of assets acquired and liabilities assumed in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Fair Value of Reporting Units for Goodwill Impairment Testing: </w:t>
      </w:r>
      <w:r>
        <w:rPr>
          <w:rFonts w:ascii="Times New Roman" w:cs="Times New Roman" w:eastAsia="Times New Roman" w:hAnsi="Times New Roman"/>
          <w:sz w:val="16"/>
          <w:szCs w:val="16"/>
          <w:color w:val="auto"/>
        </w:rPr>
        <w:t>In assessing goodwill impairment, we determine the fair value of reporting units using established valuation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testing. These disclosures ensure stakeholders understand the methodologies, assumptions, and sensitivities involved in our goodwill impairment testing process.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Fair Value of the Allianz Tranche Right: </w:t>
      </w:r>
      <w:r>
        <w:rPr>
          <w:rFonts w:ascii="Times New Roman" w:cs="Times New Roman" w:eastAsia="Times New Roman" w:hAnsi="Times New Roman"/>
          <w:sz w:val="16"/>
          <w:szCs w:val="16"/>
          <w:color w:val="auto"/>
        </w:rPr>
        <w:t>The fair value of the Allianz Tranche Right uses various significant unobservable inputs and is determined by using the binomial lattice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 The assumptions used could have a material impact on the valuation of this liability and include our best estimate of expected volatility, expected holding periods, and appropriate discounts for lack of marketability. Changes in the estimated fair value of this liability may have a material impact on our results of operations in any given period, as any increase in this liability has a corresponding negative impact on our US GAAP results of operations in the period in which the changes occur.</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Fair Value of Contingent Consideration Receivable: </w:t>
      </w:r>
      <w:r>
        <w:rPr>
          <w:rFonts w:ascii="Times New Roman" w:cs="Times New Roman" w:eastAsia="Times New Roman" w:hAnsi="Times New Roman"/>
          <w:sz w:val="16"/>
          <w:szCs w:val="16"/>
          <w:color w:val="auto"/>
        </w:rPr>
        <w:t>The fair value of contingent consideration receivable uses a Monte Carlo simulation to estimate the future share price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acquirer of LRA. Any implied contingent consideration is discounted using the risk-free rate and the acquirer’s estimated credit spread. Changes in any assumptions, such as the discount rate or the estimated credit spread may have a material impact on our results of operations in any given period, as any decrease in this receivable may have a corresponding negative impact on our US GAAP results of operations in the period in which the changes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consolidated financial statements, as a change in our conclusion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6"/>
          <w:szCs w:val="16"/>
          <w:color w:val="auto"/>
        </w:rPr>
        <w:t>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Changes in Accounting on Recent and Future Trends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believe that none of the changes to US GAAP that went into effect during the year ended December 31, 2024, or that have been issued but that we have not yet adopted have substantively impacted our recent trends or are expected to substantively impact our future trends.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as a wealth management advisor, we are exposed to a broad range of risks inherent in the financial markets in which we participate, including market risk, credit and counterparty risk, liquidity risk, and exchange rate risk.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Risk</w:t>
      </w:r>
    </w:p>
    <w:p>
      <w:pPr>
        <w:spacing w:after="0" w:line="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 and Counterparty Risk</w:t>
      </w:r>
    </w:p>
    <w:p>
      <w:pPr>
        <w:spacing w:after="0" w:line="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Risk</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See the disclosures contained in “Management’s Discussion and Analysis of Financial Condition and Results of Operations of AlTi Global, Inc. – Liquidity and Capital Resources” for a discussion of our liquidity risk.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Rate Risk</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Item 8.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10" w:right="1440" w:bottom="1440" w:gutter="0" w:footer="0" w:header="0"/>
        </w:sectPr>
      </w:pPr>
    </w:p>
    <w:bookmarkStart w:id="95" w:name="page96"/>
    <w:bookmarkEnd w:id="95"/>
    <w:p>
      <w:pPr>
        <w:ind w:left="3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AlTi Global,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36" w:lineRule="exact"/>
        <w:rPr>
          <w:sz w:val="20"/>
          <w:szCs w:val="20"/>
          <w:color w:val="auto"/>
        </w:rPr>
      </w:pPr>
    </w:p>
    <w:p>
      <w:pPr>
        <w:jc w:val="both"/>
        <w:spacing w:after="0" w:line="190" w:lineRule="exact"/>
        <w:rPr>
          <w:sz w:val="20"/>
          <w:szCs w:val="20"/>
          <w:color w:val="auto"/>
        </w:rPr>
      </w:pPr>
      <w:r>
        <w:rPr>
          <w:rFonts w:ascii="Times New Roman" w:cs="Times New Roman" w:eastAsia="Times New Roman" w:hAnsi="Times New Roman"/>
          <w:sz w:val="16"/>
          <w:szCs w:val="16"/>
          <w:color w:val="auto"/>
        </w:rPr>
        <w:t>We have audited the accompanying consolidated statement of financial position of AlTi Global, Inc. and subsidiaries (the Company, prior to January 3, 2023, Tiedemann Wealth Management Holdings) as of December 31, 2024 and 2023, the related consolidated statements of operations, comprehensive income (loss), changes in mezzanine equity and shareholders’ equity, and cash flows for each of the years in the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period ended December 31, 2024, in conformity with U.S. generally accepted accounting principles.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Accounting Principle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has elected to change its method of accounting for classification of warrants from liability-classified to equity-classified within the statement of financial position in the year-ended December 31, 2024. This change in accounting principle did not impact any other periods presented in the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2025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1" w:right="319" w:bottom="1440" w:gutter="0" w:footer="0" w:header="0"/>
        </w:sectPr>
      </w:pPr>
    </w:p>
    <w:bookmarkStart w:id="96" w:name="page97"/>
    <w:bookmarkEnd w:id="96"/>
    <w:p>
      <w:pPr>
        <w:ind w:left="50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20" w:type="dxa"/>
            <w:vAlign w:val="bottom"/>
          </w:tcPr>
          <w:p>
            <w:pPr>
              <w:spacing w:after="0"/>
              <w:rPr>
                <w:sz w:val="11"/>
                <w:szCs w:val="11"/>
                <w:color w:val="auto"/>
              </w:rPr>
            </w:pPr>
          </w:p>
        </w:tc>
        <w:tc>
          <w:tcPr>
            <w:tcW w:w="14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9"/>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data)</w:t>
            </w:r>
          </w:p>
        </w:tc>
        <w:tc>
          <w:tcPr>
            <w:tcW w:w="220" w:type="dxa"/>
            <w:vAlign w:val="bottom"/>
          </w:tcPr>
          <w:p>
            <w:pPr>
              <w:spacing w:after="0"/>
              <w:rPr>
                <w:sz w:val="12"/>
                <w:szCs w:val="12"/>
                <w:color w:val="auto"/>
              </w:rPr>
            </w:pPr>
          </w:p>
        </w:tc>
        <w:tc>
          <w:tcPr>
            <w:tcW w:w="1500" w:type="dxa"/>
            <w:vAlign w:val="bottom"/>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4"/>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65,494</w:t>
            </w:r>
          </w:p>
        </w:tc>
        <w:tc>
          <w:tcPr>
            <w:tcW w:w="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15,348</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Fees receivable, net (includes $920 and $16,069 of related party receivables, respectively)</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33,616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70,421</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at fair value</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148,674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165,894</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method investments</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27,517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 of accumulated amortization</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469,563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435,677</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377,842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411,634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50,436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48,313</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 net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21,505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 net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59,797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48,182</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 receivable</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Assets held for sale</w:t>
            </w:r>
          </w:p>
        </w:tc>
        <w:tc>
          <w:tcPr>
            <w:tcW w:w="22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56,634</w:t>
            </w:r>
          </w:p>
        </w:tc>
      </w:tr>
      <w:tr>
        <w:trPr>
          <w:trHeight w:val="30"/>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1,255,833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1,266,297</w:t>
            </w:r>
          </w:p>
        </w:tc>
      </w:tr>
      <w:tr>
        <w:trPr>
          <w:trHeight w:val="30"/>
        </w:trPr>
        <w:tc>
          <w:tcPr>
            <w:tcW w:w="77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50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480" w:type="dxa"/>
            <w:vAlign w:val="bottom"/>
            <w:tcBorders>
              <w:top w:val="single" w:sz="8" w:color="CCEEFF"/>
              <w:bottom w:val="single" w:sz="8" w:color="auto"/>
            </w:tcBorders>
          </w:tcPr>
          <w:p>
            <w:pPr>
              <w:spacing w:after="0"/>
              <w:rPr>
                <w:sz w:val="2"/>
                <w:szCs w:val="2"/>
                <w:color w:val="auto"/>
              </w:rPr>
            </w:pPr>
          </w:p>
        </w:tc>
      </w:tr>
      <w:tr>
        <w:trPr>
          <w:trHeight w:val="1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33,976</w:t>
            </w:r>
          </w:p>
        </w:tc>
        <w:tc>
          <w:tcPr>
            <w:tcW w:w="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37,156</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compensation and profit sharing</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60,074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61,768</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member distributions payable</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7,271</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Earn-out liabilities, at fair value</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64,639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 liability (includes $9,378 and $13,233 at fair value, respectively)</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28,765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stock tranche liability, at fair value</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3,940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Delayed share purchase agreement</w:t>
            </w:r>
          </w:p>
        </w:tc>
        <w:tc>
          <w:tcPr>
            <w:tcW w:w="22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1,818</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 consideration payable</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63,055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56,123</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Debt, net of unamortized deferred financing cost</w:t>
            </w:r>
          </w:p>
        </w:tc>
        <w:tc>
          <w:tcPr>
            <w:tcW w:w="2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186,353</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14,109</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 net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15,925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22,533</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 held for sale</w:t>
            </w:r>
          </w:p>
        </w:tc>
        <w:tc>
          <w:tcPr>
            <w:tcW w:w="22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13,792</w:t>
            </w:r>
          </w:p>
        </w:tc>
      </w:tr>
      <w:tr>
        <w:trPr>
          <w:trHeight w:val="30"/>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285,638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483,804</w:t>
            </w:r>
          </w:p>
        </w:tc>
      </w:tr>
      <w:tr>
        <w:trPr>
          <w:trHeight w:val="30"/>
        </w:trPr>
        <w:tc>
          <w:tcPr>
            <w:tcW w:w="77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50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480" w:type="dxa"/>
            <w:vAlign w:val="bottom"/>
            <w:tcBorders>
              <w:top w:val="single" w:sz="8" w:color="CCEEFF"/>
              <w:bottom w:val="single" w:sz="8" w:color="auto"/>
            </w:tcBorders>
          </w:tcPr>
          <w:p>
            <w:pPr>
              <w:spacing w:after="0"/>
              <w:rPr>
                <w:sz w:val="2"/>
                <w:szCs w:val="2"/>
                <w:color w:val="auto"/>
              </w:rPr>
            </w:pPr>
          </w:p>
        </w:tc>
      </w:tr>
      <w:tr>
        <w:trPr>
          <w:trHeight w:val="1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20)</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74"/>
        </w:trPr>
        <w:tc>
          <w:tcPr>
            <w:tcW w:w="7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42"/>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A Redeemable Cumulative Convertible Preferred stock, $0.0001 par value, 795,947 shares authorized 140,000 shares issued and outstanding at December 31, 2024,</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7"/>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 shares authorized, 0 issued and outstanding at December 31, 2023</w:t>
            </w:r>
          </w:p>
        </w:tc>
        <w:tc>
          <w:tcPr>
            <w:tcW w:w="220" w:type="dxa"/>
            <w:vAlign w:val="bottom"/>
          </w:tcPr>
          <w:p>
            <w:pPr>
              <w:spacing w:after="0"/>
              <w:rPr>
                <w:sz w:val="12"/>
                <w:szCs w:val="12"/>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142,858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4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Series C Redeemable Cumulative Convertible Preferred stock, $0.0001 par value, 150,000 shares authorized, 150,000 shares issued and outstanding at December 31,</w:t>
            </w: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5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 and 0 shares authorized, 0 issued and outstanding at December 31, 2023</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160,808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74"/>
        </w:trPr>
        <w:tc>
          <w:tcPr>
            <w:tcW w:w="7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Class A, $0.0001 par value, 875,000,000 authorized, 93,686,980 and 65,110,875 issued and outstanding, respectively</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 Class B, $0.0001 par value, 150,000,000 authorized, 46,138,876 and 53,219,713 issued and outstanding, respectively</w:t>
            </w:r>
          </w:p>
        </w:tc>
        <w:tc>
          <w:tcPr>
            <w:tcW w:w="2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Class C Non-Voting, $0.0001 par value, 9,000,000 authorized, 0 and 0 issued and outstanding, respectively</w:t>
            </w:r>
          </w:p>
        </w:tc>
        <w:tc>
          <w:tcPr>
            <w:tcW w:w="22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652,857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536,509</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earnings (accumulated deficit)</w:t>
            </w: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(296,561)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(193,527)</w:t>
            </w:r>
          </w:p>
        </w:tc>
      </w:tr>
      <w:tr>
        <w:trPr>
          <w:trHeight w:val="30"/>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9,155</w:t>
            </w:r>
          </w:p>
        </w:tc>
      </w:tr>
      <w:tr>
        <w:trPr>
          <w:trHeight w:val="141"/>
        </w:trPr>
        <w:tc>
          <w:tcPr>
            <w:tcW w:w="7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AlTi Global, Inc. shareholders’ equity</w:t>
            </w: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658,402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352,144</w:t>
            </w:r>
          </w:p>
        </w:tc>
      </w:tr>
      <w:tr>
        <w:trPr>
          <w:trHeight w:val="30"/>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 in subsidiaries</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311,793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430,349</w:t>
            </w:r>
          </w:p>
        </w:tc>
      </w:tr>
      <w:tr>
        <w:trPr>
          <w:trHeight w:val="141"/>
        </w:trPr>
        <w:tc>
          <w:tcPr>
            <w:tcW w:w="7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970,195</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782,493</w:t>
            </w:r>
          </w:p>
        </w:tc>
      </w:tr>
      <w:tr>
        <w:trPr>
          <w:trHeight w:val="30"/>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 mezzanine equity, and shareholders’ equity</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1,255,833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1,266,297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4"/>
                <w:szCs w:val="14"/>
                <w:color w:val="auto"/>
              </w:rPr>
            </w:pPr>
          </w:p>
        </w:tc>
        <w:tc>
          <w:tcPr>
            <w:tcW w:w="1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20" w:type="dxa"/>
            <w:vAlign w:val="bottom"/>
          </w:tcPr>
          <w:p>
            <w:pPr>
              <w:spacing w:after="0"/>
              <w:rPr>
                <w:sz w:val="14"/>
                <w:szCs w:val="14"/>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8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92"/>
        </w:trPr>
        <w:tc>
          <w:tcPr>
            <w:tcW w:w="564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Management/advisory fees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190,455</w:t>
            </w:r>
          </w:p>
        </w:tc>
        <w:tc>
          <w:tcPr>
            <w:tcW w:w="8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180,861</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from investments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income/fees</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income</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206,935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246,917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0" w:type="dxa"/>
            <w:vAlign w:val="bottom"/>
          </w:tcPr>
          <w:p>
            <w:pPr>
              <w:spacing w:after="0"/>
              <w:rPr>
                <w:sz w:val="1"/>
                <w:szCs w:val="1"/>
                <w:color w:val="auto"/>
              </w:rPr>
            </w:pPr>
          </w:p>
        </w:tc>
      </w:tr>
      <w:tr>
        <w:trPr>
          <w:trHeight w:val="17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and employee benefits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51,234</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 technology and telephone</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6,331</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distribution and marketing</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costs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4,503</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Travel and entertainment</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16,267</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0" w:type="dxa"/>
            <w:vAlign w:val="bottom"/>
          </w:tcPr>
          <w:p>
            <w:pPr>
              <w:spacing w:after="0"/>
              <w:rPr>
                <w:sz w:val="1"/>
                <w:szCs w:val="1"/>
                <w:color w:val="auto"/>
              </w:rPr>
            </w:pPr>
          </w:p>
        </w:tc>
      </w:tr>
      <w:tr>
        <w:trPr>
          <w:trHeight w:val="182"/>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293,784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346,166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78,190</w:t>
            </w:r>
          </w:p>
        </w:tc>
        <w:tc>
          <w:tcPr>
            <w:tcW w:w="0" w:type="dxa"/>
            <w:vAlign w:val="bottom"/>
          </w:tcPr>
          <w:p>
            <w:pPr>
              <w:spacing w:after="0"/>
              <w:rPr>
                <w:sz w:val="1"/>
                <w:szCs w:val="1"/>
                <w:color w:val="auto"/>
              </w:rPr>
            </w:pPr>
          </w:p>
        </w:tc>
      </w:tr>
      <w:tr>
        <w:trPr>
          <w:trHeight w:val="18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operating income (loss)</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(99,249)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loss on goodwill and intangible 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investments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(3,671)</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TRA</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preferred stock tranche liability</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warrant liabilities</w:t>
            </w: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earnout liabilities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82"/>
        </w:trPr>
        <w:tc>
          <w:tcPr>
            <w:tcW w:w="5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Income (loss) before taxes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0" w:type="dxa"/>
            <w:vAlign w:val="bottom"/>
          </w:tcPr>
          <w:p>
            <w:pPr>
              <w:spacing w:after="0"/>
              <w:rPr>
                <w:sz w:val="1"/>
                <w:szCs w:val="1"/>
                <w:color w:val="auto"/>
              </w:rPr>
            </w:pPr>
          </w:p>
        </w:tc>
      </w:tr>
      <w:tr>
        <w:trPr>
          <w:trHeight w:val="182"/>
        </w:trPr>
        <w:tc>
          <w:tcPr>
            <w:tcW w:w="5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attributed to non-controlling interests in subsidiaries</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(71,271)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(145,631)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89"/>
        </w:trPr>
        <w:tc>
          <w:tcPr>
            <w:tcW w:w="56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income (loss) attributable to AlTi Global, Inc.</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(103,034)</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(165,584)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(5,885)</w:t>
            </w:r>
          </w:p>
        </w:tc>
        <w:tc>
          <w:tcPr>
            <w:tcW w:w="0" w:type="dxa"/>
            <w:vAlign w:val="bottom"/>
          </w:tcPr>
          <w:p>
            <w:pPr>
              <w:spacing w:after="0"/>
              <w:rPr>
                <w:sz w:val="1"/>
                <w:szCs w:val="1"/>
                <w:color w:val="auto"/>
              </w:rPr>
            </w:pPr>
          </w:p>
        </w:tc>
      </w:tr>
      <w:tr>
        <w:trPr>
          <w:trHeight w:val="60"/>
        </w:trPr>
        <w:tc>
          <w:tcPr>
            <w:tcW w:w="56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6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58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(839.87)</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(839.87)</w:t>
            </w: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of Class A Common Stock Outstanding</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79,692,659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61,396,692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0" w:type="dxa"/>
            <w:vAlign w:val="bottom"/>
          </w:tcPr>
          <w:p>
            <w:pPr>
              <w:spacing w:after="0"/>
              <w:rPr>
                <w:sz w:val="1"/>
                <w:szCs w:val="1"/>
                <w:color w:val="auto"/>
              </w:rPr>
            </w:pP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79,692,659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61,396,692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8" w:name="page99"/>
    <w:bookmarkEnd w:id="98"/>
    <w:p>
      <w:pPr>
        <w:ind w:left="494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2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Consolidated Statement of Comprehensive Income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9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18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9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920" w:type="dxa"/>
            <w:vAlign w:val="bottom"/>
            <w:gridSpan w:val="2"/>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8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92"/>
        </w:trPr>
        <w:tc>
          <w:tcPr>
            <w:tcW w:w="5360" w:type="dxa"/>
            <w:vAlign w:val="bottom"/>
            <w:tcBorders>
              <w:bottom w:val="single" w:sz="8" w:color="CCEEFF"/>
            </w:tcBorders>
            <w:vMerge w:val="continue"/>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(174,305)</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(311,215)</w:t>
            </w: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0" w:type="dxa"/>
            <w:vAlign w:val="bottom"/>
          </w:tcPr>
          <w:p>
            <w:pPr>
              <w:spacing w:after="0"/>
              <w:rPr>
                <w:sz w:val="1"/>
                <w:szCs w:val="1"/>
                <w:color w:val="auto"/>
              </w:rPr>
            </w:pPr>
          </w:p>
        </w:tc>
      </w:tr>
      <w:tr>
        <w:trPr>
          <w:trHeight w:val="183"/>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(14,760)</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20,916</w:t>
            </w: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(188,946)</w:t>
            </w:r>
          </w:p>
        </w:tc>
        <w:tc>
          <w:tcPr>
            <w:tcW w:w="10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(291,063)</w:t>
            </w:r>
          </w:p>
        </w:tc>
        <w:tc>
          <w:tcPr>
            <w:tcW w:w="8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w:t>
            </w:r>
          </w:p>
        </w:tc>
        <w:tc>
          <w:tcPr>
            <w:tcW w:w="0" w:type="dxa"/>
            <w:vAlign w:val="bottom"/>
          </w:tcPr>
          <w:p>
            <w:pPr>
              <w:spacing w:after="0"/>
              <w:rPr>
                <w:sz w:val="1"/>
                <w:szCs w:val="1"/>
                <w:color w:val="auto"/>
              </w:rPr>
            </w:pPr>
          </w:p>
        </w:tc>
      </w:tr>
      <w:tr>
        <w:trPr>
          <w:trHeight w:val="182"/>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loss attributed to non-controlling interests in subsidiaries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(76,315)</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(134,635)</w:t>
            </w:r>
          </w:p>
        </w:tc>
        <w:tc>
          <w:tcPr>
            <w:tcW w:w="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214"/>
        </w:trPr>
        <w:tc>
          <w:tcPr>
            <w:tcW w:w="5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Comprehensive income (loss) attributable to AlTi Global, Inc.</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(112,631)</w:t>
            </w: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(156,428)</w:t>
            </w: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57785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440" w:top="479"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Mezzanine Equity and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6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w:t>
            </w:r>
          </w:p>
        </w:tc>
        <w:tc>
          <w:tcPr>
            <w:tcW w:w="13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Series A Preferred</w:t>
            </w: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Series C Preferred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6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controlling</w:t>
            </w:r>
          </w:p>
        </w:tc>
        <w:tc>
          <w:tcPr>
            <w:tcW w:w="80" w:type="dxa"/>
            <w:vAlign w:val="bottom"/>
          </w:tcPr>
          <w:p>
            <w:pPr>
              <w:spacing w:after="0"/>
              <w:rPr>
                <w:sz w:val="11"/>
                <w:szCs w:val="11"/>
                <w:color w:val="auto"/>
              </w:rPr>
            </w:pP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1920" w:type="dxa"/>
            <w:vAlign w:val="bottom"/>
            <w:vMerge w:val="continue"/>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paid-in-(accumulated</w:t>
            </w:r>
          </w:p>
        </w:tc>
        <w:tc>
          <w:tcPr>
            <w:tcW w:w="6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 in</w:t>
            </w:r>
          </w:p>
        </w:tc>
        <w:tc>
          <w:tcPr>
            <w:tcW w:w="80" w:type="dxa"/>
            <w:vAlign w:val="bottom"/>
          </w:tcPr>
          <w:p>
            <w:pPr>
              <w:spacing w:after="0"/>
              <w:rPr>
                <w:sz w:val="11"/>
                <w:szCs w:val="11"/>
                <w:color w:val="auto"/>
              </w:rPr>
            </w:pP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Shareholders</w:t>
            </w:r>
            <w:r>
              <w:rPr>
                <w:rFonts w:ascii="Times New Roman" w:cs="Times New Roman" w:eastAsia="Times New Roman" w:hAnsi="Times New Roman"/>
                <w:sz w:val="11"/>
                <w:szCs w:val="11"/>
                <w:b w:val="1"/>
                <w:bCs w:val="1"/>
                <w:i w:val="1"/>
                <w:iCs w:val="1"/>
                <w:color w:val="auto"/>
              </w:rPr>
              <w:t>’</w:t>
            </w: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data)</w:t>
            </w:r>
          </w:p>
        </w:tc>
        <w:tc>
          <w:tcPr>
            <w:tcW w:w="120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65,110,875</w:t>
            </w:r>
          </w:p>
        </w:tc>
        <w:tc>
          <w:tcPr>
            <w:tcW w:w="6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53,219,713</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536,509</w:t>
            </w:r>
          </w:p>
        </w:tc>
        <w:tc>
          <w:tcPr>
            <w:tcW w:w="60" w:type="dxa"/>
            <w:vAlign w:val="bottom"/>
          </w:tcPr>
          <w:p>
            <w:pPr>
              <w:spacing w:after="0"/>
              <w:rPr>
                <w:sz w:val="12"/>
                <w:szCs w:val="12"/>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(193,527)</w:t>
            </w:r>
          </w:p>
        </w:tc>
        <w:tc>
          <w:tcPr>
            <w:tcW w:w="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9,155</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430,349</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782,493</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(103,034)</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(71,271)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(174,305)</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(14,760)</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partner’s tax</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preferred stock, net of</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costs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137,460</w:t>
            </w: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150,000</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142,690</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280,150</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share accrued dividend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18,118</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shares for business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combination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1,025</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Share based compensation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17,454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17,454</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Shares issued to employees on</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vesting of equity awards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2,176,687</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A Common Stock issued to</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Allianz, net of issuance costs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19,318,581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90,422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90,424</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Allianz and Constellation</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Warrants</w:t>
            </w: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9,594</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9,594</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 Exchange</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7,080,837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(7,080,837)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(41,489)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(12,814)</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FOS deconsolidation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0" w:type="dxa"/>
            <w:vAlign w:val="bottom"/>
          </w:tcPr>
          <w:p>
            <w:pPr>
              <w:spacing w:after="0"/>
              <w:rPr>
                <w:sz w:val="1"/>
                <w:szCs w:val="1"/>
                <w:color w:val="auto"/>
              </w:rPr>
            </w:pPr>
          </w:p>
        </w:tc>
      </w:tr>
      <w:tr>
        <w:trPr>
          <w:trHeight w:val="151"/>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LXi deconsolidation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(1,369)</w:t>
            </w:r>
          </w:p>
        </w:tc>
        <w:tc>
          <w:tcPr>
            <w:tcW w:w="0" w:type="dxa"/>
            <w:vAlign w:val="bottom"/>
          </w:tcPr>
          <w:p>
            <w:pPr>
              <w:spacing w:after="0"/>
              <w:rPr>
                <w:sz w:val="1"/>
                <w:szCs w:val="1"/>
                <w:color w:val="auto"/>
              </w:rPr>
            </w:pPr>
          </w:p>
        </w:tc>
      </w:tr>
      <w:tr>
        <w:trPr>
          <w:trHeight w:val="30"/>
        </w:trPr>
        <w:tc>
          <w:tcPr>
            <w:tcW w:w="1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$ 142,858</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150,000</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$ 160,808</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93,686,980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46,138,876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652,857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(296,561)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311,793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970,195</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Mezzanine Equity and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
        </w:trPr>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5"/>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interest in</w:t>
            </w:r>
          </w:p>
        </w:tc>
        <w:tc>
          <w:tcPr>
            <w:tcW w:w="10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Shareholders</w:t>
            </w:r>
            <w:r>
              <w:rPr>
                <w:rFonts w:ascii="Times New Roman" w:cs="Times New Roman" w:eastAsia="Times New Roman" w:hAnsi="Times New Roman"/>
                <w:sz w:val="14"/>
                <w:szCs w:val="14"/>
                <w:b w:val="1"/>
                <w:bCs w:val="1"/>
                <w:i w:val="1"/>
                <w:iCs w:val="1"/>
                <w:color w:val="auto"/>
                <w:w w:val="99"/>
              </w:rPr>
              <w:t>’</w:t>
            </w:r>
          </w:p>
        </w:tc>
      </w:t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6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3"/>
        </w:trPr>
        <w:tc>
          <w:tcPr>
            <w:tcW w:w="2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81"/>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55,388,023</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55,032,961</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434,620</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(27,946)</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606,973</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1,013,653</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shares to Alvarium</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6"/>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Benefit Trust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r>
      <w:tr>
        <w:trPr>
          <w:trHeight w:val="191"/>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(165,584)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(311,215)</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20,916</w:t>
            </w:r>
          </w:p>
        </w:tc>
      </w:tr>
      <w:tr>
        <w:trPr>
          <w:trHeight w:val="176"/>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Cancellation of AHRA call</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1"/>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for partner’s tax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AHRA Deconsolidation</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28,768</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Measurement period adjustment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7,937</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7,937</w:t>
            </w:r>
          </w:p>
        </w:tc>
      </w:tr>
      <w:tr>
        <w:trPr>
          <w:trHeight w:val="176"/>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shares for business</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r>
      <w:tr>
        <w:trPr>
          <w:trHeight w:val="22"/>
        </w:trPr>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 Exchange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1,813,248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(1,813,248) —</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14,280</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176"/>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shares - exercise of</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5,469,637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29,480</w:t>
            </w: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65,110,875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53,219,713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782,493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Mezzanine Equity and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0"/>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5"/>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0"/>
        </w:trPr>
        <w:tc>
          <w:tcPr>
            <w:tcW w:w="4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90"/>
        </w:trPr>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40,021</w:t>
            </w:r>
          </w:p>
        </w:tc>
      </w:tr>
      <w:tr>
        <w:trPr>
          <w:trHeight w:val="191"/>
        </w:trPr>
        <w:tc>
          <w:tcPr>
            <w:tcW w:w="4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Member capital distributions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(11,114)</w:t>
            </w:r>
          </w:p>
        </w:tc>
      </w:tr>
      <w:tr>
        <w:trPr>
          <w:trHeight w:val="22"/>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Member tax distributions</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r>
      <w:tr>
        <w:trPr>
          <w:trHeight w:val="191"/>
        </w:trPr>
        <w:tc>
          <w:tcPr>
            <w:tcW w:w="4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Reallocation of book capital as a result of member transactions</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22"/>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Restricted unit compensation</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r>
      <w:tr>
        <w:trPr>
          <w:trHeight w:val="22"/>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for the year</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r>
      <w:tr>
        <w:trPr>
          <w:trHeight w:val="203"/>
        </w:trPr>
        <w:tc>
          <w:tcPr>
            <w:tcW w:w="4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 December 31, 2022 (Predecessor)</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18,607</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18,610</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17,853</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3"/>
              </w:rPr>
              <w:t>For the Year Ended</w:t>
            </w: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532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280" w:type="dxa"/>
            <w:vAlign w:val="bottom"/>
          </w:tcPr>
          <w:p>
            <w:pPr>
              <w:spacing w:after="0"/>
              <w:rPr>
                <w:sz w:val="10"/>
                <w:szCs w:val="10"/>
                <w:color w:val="auto"/>
              </w:rPr>
            </w:pPr>
          </w:p>
        </w:tc>
        <w:tc>
          <w:tcPr>
            <w:tcW w:w="1640" w:type="dxa"/>
            <w:vAlign w:val="bottom"/>
          </w:tcPr>
          <w:p>
            <w:pPr>
              <w:jc w:val="right"/>
              <w:ind w:right="48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7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4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vMerge w:val="restart"/>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64"/>
        </w:trPr>
        <w:tc>
          <w:tcPr>
            <w:tcW w:w="532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53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4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440" w:type="dxa"/>
            <w:vAlign w:val="bottom"/>
          </w:tcPr>
          <w:p>
            <w:pPr>
              <w:jc w:val="right"/>
              <w:ind w:right="13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(174,305)</w:t>
            </w:r>
          </w:p>
        </w:tc>
        <w:tc>
          <w:tcPr>
            <w:tcW w:w="8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(311,215)</w:t>
            </w:r>
          </w:p>
        </w:tc>
        <w:tc>
          <w:tcPr>
            <w:tcW w:w="10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(5,998)</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(used in) operating activities: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14,552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Amortization of debt discounts and deferred financing costs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6,184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Unrealized (gain) loss on investments</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16,483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Realized (gain) loss on investments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(11,128)</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Impairment loss on goodwill and intangible assets</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116,769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206,777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Fair value (gain) loss on TRA</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(3,855)</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Gain (loss) on earn-in</w:t>
            </w:r>
          </w:p>
        </w:tc>
        <w:tc>
          <w:tcPr>
            <w:tcW w:w="144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(Income) loss on equity method investments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1,898</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Restricted unit compensation</w:t>
            </w:r>
          </w:p>
        </w:tc>
        <w:tc>
          <w:tcPr>
            <w:tcW w:w="144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Fair value (gain) loss on warrant liability</w:t>
            </w:r>
          </w:p>
        </w:tc>
        <w:tc>
          <w:tcPr>
            <w:tcW w:w="1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12,866</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Fair value (gain) loss on earnout liability</w:t>
            </w:r>
          </w:p>
        </w:tc>
        <w:tc>
          <w:tcPr>
            <w:tcW w:w="14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(30,727)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(31,104)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Fair value gain (loss) on preferred stock tranche liability</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Deferred income tax (benefit) expense</w:t>
            </w:r>
          </w:p>
        </w:tc>
        <w:tc>
          <w:tcPr>
            <w:tcW w:w="14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(24,055)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Equity-settled share-based payments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17,454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36,749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Unrealized foreign currency (gains)/losses</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(Gain) loss from retirement of debt</w:t>
            </w:r>
          </w:p>
        </w:tc>
        <w:tc>
          <w:tcPr>
            <w:tcW w:w="1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Forgiveness of debt shareholder loan</w:t>
            </w:r>
          </w:p>
        </w:tc>
        <w:tc>
          <w:tcPr>
            <w:tcW w:w="144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Forgiveness of debt of notes receivable from members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Fair value of interest rate swap</w:t>
            </w:r>
          </w:p>
        </w:tc>
        <w:tc>
          <w:tcPr>
            <w:tcW w:w="144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Cash flows due to changes in operating assets and liabilities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(Increase) decrease in fees receivable</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38,229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(Increase) decrease in other assets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(20,579)</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(5,860)</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(2,993)</w:t>
            </w:r>
          </w:p>
        </w:tc>
        <w:tc>
          <w:tcPr>
            <w:tcW w:w="0" w:type="dxa"/>
            <w:vAlign w:val="bottom"/>
          </w:tcPr>
          <w:p>
            <w:pPr>
              <w:spacing w:after="0"/>
              <w:rPr>
                <w:sz w:val="1"/>
                <w:szCs w:val="1"/>
                <w:color w:val="auto"/>
              </w:rPr>
            </w:pPr>
          </w:p>
        </w:tc>
      </w:tr>
      <w:tr>
        <w:trPr>
          <w:trHeight w:val="149"/>
        </w:trPr>
        <w:tc>
          <w:tcPr>
            <w:tcW w:w="53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Operating cash flow from operating leases</w:t>
            </w:r>
          </w:p>
        </w:tc>
        <w:tc>
          <w:tcPr>
            <w:tcW w:w="144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5,736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Increase (decrease) in accounts payable and accrued expenses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2,279</w:t>
            </w:r>
          </w:p>
        </w:tc>
        <w:tc>
          <w:tcPr>
            <w:tcW w:w="0" w:type="dxa"/>
            <w:vAlign w:val="bottom"/>
          </w:tcPr>
          <w:p>
            <w:pPr>
              <w:spacing w:after="0"/>
              <w:rPr>
                <w:sz w:val="1"/>
                <w:szCs w:val="1"/>
                <w:color w:val="auto"/>
              </w:rPr>
            </w:pPr>
          </w:p>
        </w:tc>
      </w:tr>
      <w:tr>
        <w:trPr>
          <w:trHeight w:val="149"/>
        </w:trPr>
        <w:tc>
          <w:tcPr>
            <w:tcW w:w="53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Increase (decrease) in accrued compensation and profit sharing</w:t>
            </w:r>
          </w:p>
        </w:tc>
        <w:tc>
          <w:tcPr>
            <w:tcW w:w="14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Increase (decrease) in other liabilities</w:t>
            </w:r>
          </w:p>
        </w:tc>
        <w:tc>
          <w:tcPr>
            <w:tcW w:w="1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14,057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3,662</w:t>
            </w:r>
          </w:p>
        </w:tc>
        <w:tc>
          <w:tcPr>
            <w:tcW w:w="0" w:type="dxa"/>
            <w:vAlign w:val="bottom"/>
          </w:tcPr>
          <w:p>
            <w:pPr>
              <w:spacing w:after="0"/>
              <w:rPr>
                <w:sz w:val="1"/>
                <w:szCs w:val="1"/>
                <w:color w:val="auto"/>
              </w:rPr>
            </w:pPr>
          </w:p>
        </w:tc>
      </w:tr>
      <w:tr>
        <w:trPr>
          <w:trHeight w:val="149"/>
        </w:trPr>
        <w:tc>
          <w:tcPr>
            <w:tcW w:w="53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Other operating activities</w:t>
            </w:r>
          </w:p>
        </w:tc>
        <w:tc>
          <w:tcPr>
            <w:tcW w:w="14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3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5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14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(50,652)</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(81,706)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107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(Continued from the previous page)</w:t>
            </w: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5"/>
              </w:rPr>
              <w:t>For the Year Ended</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52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320" w:type="dxa"/>
            <w:vAlign w:val="bottom"/>
          </w:tcPr>
          <w:p>
            <w:pPr>
              <w:spacing w:after="0"/>
              <w:rPr>
                <w:sz w:val="10"/>
                <w:szCs w:val="10"/>
                <w:color w:val="auto"/>
              </w:rPr>
            </w:pPr>
          </w:p>
        </w:tc>
        <w:tc>
          <w:tcPr>
            <w:tcW w:w="1720" w:type="dxa"/>
            <w:vAlign w:val="bottom"/>
          </w:tcPr>
          <w:p>
            <w:pPr>
              <w:jc w:val="right"/>
              <w:ind w:right="54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7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20" w:type="dxa"/>
            <w:vAlign w:val="bottom"/>
            <w:vMerge w:val="restart"/>
          </w:tcPr>
          <w:p>
            <w:pPr>
              <w:jc w:val="right"/>
              <w:ind w:right="667"/>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64"/>
        </w:trPr>
        <w:tc>
          <w:tcPr>
            <w:tcW w:w="49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5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7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Cash acquired from consolidation of variable interest entity</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Cash payment for acquisition of TWMH and TIG historical equity</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(99,999)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Receipt of payments of notes receivable from members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Loans to members</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Cash receipts from the repayment of advances and loans</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Purchases of investments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(15,687)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Distributions from investments</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Purchase of TIH shares</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Purchase of Holbein</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(8,097)</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Cash payment for delayed share purchase agreement</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Payment of payout right</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Acquisition of AWMS, net of cash acquired</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Acquisition of ALWP, net of cash acquired</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Acquisition of EEA, net of cash acquired</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(69,182)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Acquisition of PW, net of cash acquired</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Acquisition of Envoi</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(25,258)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Sales of investments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2,107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Proceeds from sale of FOS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Proceeds from sale of LXi REIT Advisors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32,202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Sale of fixed assets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Purchases of fixed assets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(75,685)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(132,947)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(7,229)</w:t>
            </w:r>
          </w:p>
        </w:tc>
        <w:tc>
          <w:tcPr>
            <w:tcW w:w="0" w:type="dxa"/>
            <w:vAlign w:val="bottom"/>
          </w:tcPr>
          <w:p>
            <w:pPr>
              <w:spacing w:after="0"/>
              <w:rPr>
                <w:sz w:val="1"/>
                <w:szCs w:val="1"/>
                <w:color w:val="auto"/>
              </w:rPr>
            </w:pPr>
          </w:p>
        </w:tc>
      </w:tr>
      <w:tr>
        <w:trPr>
          <w:trHeight w:val="129"/>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5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Proceeds from issuance of preferred stock and Allianz &amp; Constellation Warrants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300,800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Proceeds from issuance of common stock</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Proceeds from issuance of preferred stock tranche right liability</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Member contribution (distribution)</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Payments on term notes and lines of credit</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(221,062)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(160,453)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Borrowings on term notes and lines of credit</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32,258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223,500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Payment of acquisition-related contingent consideration</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Payments of debt issuance costs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Taxes paid on net settled share-based compensation awards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Tax payments on behalf of Umbrella partners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Increase (decrease) in distributions due to former TIG members</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Cash payment for purchase of shares to be transferred as part of Alvarium share compensation</w:t>
            </w:r>
          </w:p>
        </w:tc>
        <w:tc>
          <w:tcPr>
            <w:tcW w:w="15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Cash receipts from exercise of Warrants</w:t>
            </w:r>
          </w:p>
        </w:tc>
        <w:tc>
          <w:tcPr>
            <w:tcW w:w="15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5,836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Payment of preferred stock and Allianz &amp; Constellation Warrants issuance costs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Payment of common stock issuance costs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Payment of preferred stock tranche right liability issuance costs</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Cash payment of earn-in liability</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Dividends paid to former owners of AWMS and ALWP</w:t>
            </w:r>
          </w:p>
        </w:tc>
        <w:tc>
          <w:tcPr>
            <w:tcW w:w="15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174,259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36,019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139"/>
        </w:trPr>
        <w:tc>
          <w:tcPr>
            <w:tcW w:w="49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1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2,793</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w:t>
            </w:r>
          </w:p>
        </w:tc>
        <w:tc>
          <w:tcPr>
            <w:tcW w:w="15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47,249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(175,841)</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0" w:type="dxa"/>
            <w:vAlign w:val="bottom"/>
          </w:tcPr>
          <w:p>
            <w:pPr>
              <w:spacing w:after="0"/>
              <w:rPr>
                <w:sz w:val="1"/>
                <w:szCs w:val="1"/>
                <w:color w:val="auto"/>
              </w:rPr>
            </w:pPr>
          </w:p>
        </w:tc>
      </w:tr>
      <w:tr>
        <w:trPr>
          <w:trHeight w:val="139"/>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the period</w:t>
            </w:r>
          </w:p>
        </w:tc>
        <w:tc>
          <w:tcPr>
            <w:tcW w:w="1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18,245</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194,086</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8,040</w:t>
            </w: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the period</w:t>
            </w:r>
          </w:p>
        </w:tc>
        <w:tc>
          <w:tcPr>
            <w:tcW w:w="1520" w:type="dxa"/>
            <w:vAlign w:val="bottom"/>
            <w:tcBorders>
              <w:bottom w:val="single" w:sz="8" w:color="auto"/>
            </w:tcBorders>
            <w:shd w:val="clear" w:color="auto" w:fill="CCEEFF"/>
          </w:tcPr>
          <w:p>
            <w:pPr>
              <w:jc w:val="right"/>
              <w:ind w:right="140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65,494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18,245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07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(Continued on the following page)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(Continued from the previous page)</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3"/>
              </w:rPr>
              <w:t>For the Year Ended</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142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December 31, 2023</w:t>
            </w:r>
          </w:p>
        </w:tc>
        <w:tc>
          <w:tcPr>
            <w:tcW w:w="260" w:type="dxa"/>
            <w:vAlign w:val="bottom"/>
          </w:tcPr>
          <w:p>
            <w:pPr>
              <w:spacing w:after="0"/>
              <w:rPr>
                <w:sz w:val="10"/>
                <w:szCs w:val="10"/>
                <w:color w:val="auto"/>
              </w:rPr>
            </w:pPr>
          </w:p>
        </w:tc>
        <w:tc>
          <w:tcPr>
            <w:tcW w:w="1560" w:type="dxa"/>
            <w:vAlign w:val="bottom"/>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77"/>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vMerge w:val="restart"/>
          </w:tcPr>
          <w:p>
            <w:pPr>
              <w:jc w:val="right"/>
              <w:ind w:right="547"/>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64"/>
        </w:trPr>
        <w:tc>
          <w:tcPr>
            <w:tcW w:w="564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56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balance sheet cash and cash equivalents to cash flows:</w:t>
            </w:r>
          </w:p>
        </w:tc>
        <w:tc>
          <w:tcPr>
            <w:tcW w:w="14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on balance sheet</w:t>
            </w:r>
          </w:p>
        </w:tc>
        <w:tc>
          <w:tcPr>
            <w:tcW w:w="1420" w:type="dxa"/>
            <w:vAlign w:val="bottom"/>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65,494</w:t>
            </w:r>
          </w:p>
        </w:tc>
        <w:tc>
          <w:tcPr>
            <w:tcW w:w="80" w:type="dxa"/>
            <w:vAlign w:val="bottom"/>
          </w:tcPr>
          <w:p>
            <w:pPr>
              <w:spacing w:after="0"/>
              <w:rPr>
                <w:sz w:val="12"/>
                <w:szCs w:val="12"/>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15,348</w:t>
            </w:r>
          </w:p>
        </w:tc>
        <w:tc>
          <w:tcPr>
            <w:tcW w:w="8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7,131</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included in Assets held for sale (Note 3)</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2,897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including cash in Assets held for sale</w:t>
            </w:r>
          </w:p>
        </w:tc>
        <w:tc>
          <w:tcPr>
            <w:tcW w:w="1420" w:type="dxa"/>
            <w:vAlign w:val="bottom"/>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65,494</w:t>
            </w:r>
          </w:p>
        </w:tc>
        <w:tc>
          <w:tcPr>
            <w:tcW w:w="80" w:type="dxa"/>
            <w:vAlign w:val="bottom"/>
          </w:tcPr>
          <w:p>
            <w:pPr>
              <w:spacing w:after="0"/>
              <w:rPr>
                <w:sz w:val="12"/>
                <w:szCs w:val="12"/>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18,245</w:t>
            </w:r>
          </w:p>
        </w:tc>
        <w:tc>
          <w:tcPr>
            <w:tcW w:w="8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7,131</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Paid During the Period for:</w:t>
            </w:r>
          </w:p>
        </w:tc>
        <w:tc>
          <w:tcPr>
            <w:tcW w:w="14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Income taxes</w:t>
            </w:r>
          </w:p>
        </w:tc>
        <w:tc>
          <w:tcPr>
            <w:tcW w:w="1420" w:type="dxa"/>
            <w:vAlign w:val="bottom"/>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80" w:type="dxa"/>
            <w:vAlign w:val="bottom"/>
          </w:tcPr>
          <w:p>
            <w:pPr>
              <w:spacing w:after="0"/>
              <w:rPr>
                <w:sz w:val="12"/>
                <w:szCs w:val="12"/>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848</w:t>
            </w:r>
          </w:p>
        </w:tc>
        <w:tc>
          <w:tcPr>
            <w:tcW w:w="8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Interest payments on term notes and lines of credit</w:t>
            </w:r>
          </w:p>
        </w:tc>
        <w:tc>
          <w:tcPr>
            <w:tcW w:w="1420" w:type="dxa"/>
            <w:vAlign w:val="bottom"/>
            <w:tcBorders>
              <w:bottom w:val="single" w:sz="8" w:color="CCEEFF"/>
            </w:tcBorders>
            <w:shd w:val="clear" w:color="auto" w:fill="CCEEFF"/>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16,712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14,079</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activities:</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Non-cash delayed share purchase agreement</w:t>
            </w:r>
          </w:p>
        </w:tc>
        <w:tc>
          <w:tcPr>
            <w:tcW w:w="1420" w:type="dxa"/>
            <w:vAlign w:val="bottom"/>
            <w:tcBorders>
              <w:bottom w:val="single" w:sz="8" w:color="CCEEFF"/>
            </w:tcBorders>
            <w:shd w:val="clear" w:color="auto" w:fill="CCEEFF"/>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1,818</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financing activities:</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Non-cash repayment of notes receivable in lieu of cash member distribution</w:t>
            </w:r>
          </w:p>
        </w:tc>
        <w:tc>
          <w:tcPr>
            <w:tcW w:w="1420" w:type="dxa"/>
            <w:vAlign w:val="bottom"/>
            <w:shd w:val="clear" w:color="auto" w:fill="CCEEFF"/>
          </w:tcPr>
          <w:p>
            <w:pPr>
              <w:jc w:val="right"/>
              <w:ind w:right="130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21"/>
        </w:trPr>
        <w:tc>
          <w:tcPr>
            <w:tcW w:w="56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hanging="375"/>
        <w:spacing w:after="0"/>
        <w:tabs>
          <w:tab w:leader="none" w:pos="3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the Business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AlTi is a leading independent global wealth manager providing entrepreneurs, multi-generational families, institutions, and emerging next-generation leaders with fiduciary capabilities as well as alternative investment strategies and advisory services. AlTi’s comprehensive offering is underscored by a commitment to impact or values-aligned investing. We manage or advise approximately $75.7 billion in combined assets as of December 31, 2024. Our business is organized into two operating segments - Wealth &amp; Capital Solutions and International Real Estate:</w:t>
      </w:r>
    </w:p>
    <w:p>
      <w:pPr>
        <w:spacing w:after="0" w:line="118" w:lineRule="exact"/>
        <w:rPr>
          <w:sz w:val="20"/>
          <w:szCs w:val="20"/>
          <w:color w:val="auto"/>
        </w:rPr>
      </w:pPr>
    </w:p>
    <w:p>
      <w:pPr>
        <w:jc w:val="both"/>
        <w:ind w:left="520" w:hanging="260"/>
        <w:spacing w:after="0" w:line="247" w:lineRule="auto"/>
        <w:tabs>
          <w:tab w:leader="none" w:pos="51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Wealth &amp; Capital Solutions segment, we provide holistic solutions for our wealth management and OCIO clients through a comprehensive array of wealth management services, including discretionary investment management services, non-discretionary investment advisory services, trust services, administration services, and family office services. The segment also reflects the results of our internally managed event-driven strategy and our stakes in three externally managed alternative investment strategies;</w:t>
      </w:r>
    </w:p>
    <w:p>
      <w:pPr>
        <w:spacing w:after="0" w:line="70"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International Real Estate segment, we assist our investors with real estate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38" w:lineRule="exact"/>
        <w:rPr>
          <w:sz w:val="20"/>
          <w:szCs w:val="20"/>
          <w:color w:val="auto"/>
        </w:rPr>
      </w:pPr>
    </w:p>
    <w:p>
      <w:pPr>
        <w:ind w:right="4360"/>
        <w:spacing w:after="0" w:line="252" w:lineRule="auto"/>
        <w:rPr>
          <w:sz w:val="20"/>
          <w:szCs w:val="20"/>
          <w:color w:val="auto"/>
        </w:rPr>
      </w:pPr>
      <w:r>
        <w:rPr>
          <w:rFonts w:ascii="Times New Roman" w:cs="Times New Roman" w:eastAsia="Times New Roman" w:hAnsi="Times New Roman"/>
          <w:sz w:val="16"/>
          <w:szCs w:val="16"/>
          <w:color w:val="auto"/>
        </w:rPr>
        <w:t>Consistent with management’s overall view of the core business, and following a strategic review conducted in the third quarter of 2024, it was determined that the businesses reflected in the International Real Estate segment are not additive to our long-term strategy. Several strategic options are currently under consideration, and our objective is to finalize a course of action in the near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initially incorporated in the Cayman Islands as Cartesian Growth Capital, a special purpose acquisition company. In anticipation of the Business Combination:</w:t>
      </w:r>
    </w:p>
    <w:p>
      <w:pPr>
        <w:spacing w:after="0" w:line="221" w:lineRule="exact"/>
        <w:rPr>
          <w:sz w:val="20"/>
          <w:szCs w:val="20"/>
          <w:color w:val="auto"/>
        </w:rPr>
      </w:pPr>
    </w:p>
    <w:p>
      <w:pPr>
        <w:ind w:left="520" w:right="560" w:hanging="260"/>
        <w:spacing w:after="0" w:line="273" w:lineRule="auto"/>
        <w:tabs>
          <w:tab w:leader="none" w:pos="51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equity of TWMH and the TIG Entities contributed their TWMH and TIG equity to Umbrella making TWMH and the TIG Entities wholly owned subsidiaries of Umbrella.</w:t>
      </w:r>
    </w:p>
    <w:p>
      <w:pPr>
        <w:spacing w:after="0" w:line="16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Alvarium reorganized such that it became the wholly owned indirect subsidiary of AlTi Global Topco.</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SPAC formed Umbrella Merger Sub.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Business Combination on January 3, 2023:</w:t>
      </w:r>
    </w:p>
    <w:p>
      <w:pPr>
        <w:spacing w:after="0" w:line="187" w:lineRule="exact"/>
        <w:rPr>
          <w:sz w:val="20"/>
          <w:szCs w:val="20"/>
          <w:color w:val="auto"/>
        </w:rPr>
      </w:pPr>
    </w:p>
    <w:p>
      <w:pPr>
        <w:ind w:left="520" w:hanging="260"/>
        <w:spacing w:after="0" w:line="259" w:lineRule="auto"/>
        <w:tabs>
          <w:tab w:leader="none" w:pos="51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redomiciled as a Delaware corporation and changed its name to Alvarium Tiedemann Holdings, Inc. Effective April 19, 2023, Alvarium Tiedemann Holdings, Inc. changed its name to AlTi Global, Inc.</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acquired all the outstanding share capital of AlTi Global Topco.</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LLC merged into Umbrella with AlTi Global Capital, LLC, formerly known as Alvarium Tiedemann Capital, LLC, as the surviving entity.</w:t>
      </w:r>
    </w:p>
    <w:p>
      <w:pPr>
        <w:spacing w:after="0" w:line="197"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51% of the equity interests of Umbrella, while the existing TWMH and TIG rollover shareholders hold a 49% economic interest in Umbrella. Umbrella holds 100% of the equity interests of TWMH, TIG, and Alvarium.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Structure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the following classes of shares and other instruments outstanding:</w:t>
      </w:r>
    </w:p>
    <w:p>
      <w:pPr>
        <w:spacing w:after="0" w:line="145" w:lineRule="exact"/>
        <w:rPr>
          <w:sz w:val="20"/>
          <w:szCs w:val="20"/>
          <w:color w:val="auto"/>
        </w:rPr>
      </w:pPr>
    </w:p>
    <w:p>
      <w:pPr>
        <w:jc w:val="both"/>
        <w:ind w:left="520" w:hanging="260"/>
        <w:spacing w:after="0" w:line="254" w:lineRule="auto"/>
        <w:tabs>
          <w:tab w:leader="none" w:pos="51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 Shares of Class A Common Stock that are publicly traded. Class A shareholders are entitled to dividends on shares of Class A Common Stock declared by the Company’s board of directors. As of December 31, 2024, the shares of Class A Common Stock represent 62.0% of the total voting power of all shares of Common Stock.</w:t>
      </w:r>
    </w:p>
    <w:p>
      <w:pPr>
        <w:spacing w:after="0" w:line="116" w:lineRule="exact"/>
        <w:rPr>
          <w:rFonts w:ascii="Times New Roman" w:cs="Times New Roman" w:eastAsia="Times New Roman" w:hAnsi="Times New Roman"/>
          <w:sz w:val="16"/>
          <w:szCs w:val="16"/>
          <w:color w:val="auto"/>
        </w:rPr>
      </w:pPr>
    </w:p>
    <w:p>
      <w:pPr>
        <w:jc w:val="both"/>
        <w:ind w:left="520" w:hanging="260"/>
        <w:spacing w:after="0" w:line="254" w:lineRule="auto"/>
        <w:tabs>
          <w:tab w:leader="none" w:pos="51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Stock – Shares of Class B Common Stock that are not publicly traded. Class B shareholders are entitled to distributions declared by the Company’s board of directors. The distributions are paid by Umbrella. As of December 31, 2024, the shares of Class B Common Stock represent 30.5% of the total voting power of all shares of Common Stock.</w:t>
      </w:r>
    </w:p>
    <w:p>
      <w:pPr>
        <w:spacing w:after="0" w:line="169" w:lineRule="exact"/>
        <w:rPr>
          <w:rFonts w:ascii="Times New Roman" w:cs="Times New Roman" w:eastAsia="Times New Roman" w:hAnsi="Times New Roman"/>
          <w:sz w:val="16"/>
          <w:szCs w:val="16"/>
          <w:color w:val="auto"/>
        </w:rPr>
      </w:pPr>
    </w:p>
    <w:p>
      <w:pPr>
        <w:jc w:val="both"/>
        <w:ind w:left="520" w:hanging="260"/>
        <w:spacing w:after="0" w:line="248" w:lineRule="auto"/>
        <w:tabs>
          <w:tab w:leader="none" w:pos="51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As of December 31, 2024, none of such Warrants were outstanding.</w:t>
      </w:r>
    </w:p>
    <w:p>
      <w:pPr>
        <w:spacing w:after="0" w:line="195" w:lineRule="exact"/>
        <w:rPr>
          <w:rFonts w:ascii="Times New Roman" w:cs="Times New Roman" w:eastAsia="Times New Roman" w:hAnsi="Times New Roman"/>
          <w:sz w:val="16"/>
          <w:szCs w:val="16"/>
          <w:color w:val="auto"/>
        </w:rPr>
      </w:pPr>
    </w:p>
    <w:p>
      <w:pPr>
        <w:jc w:val="both"/>
        <w:ind w:left="520" w:hanging="260"/>
        <w:spacing w:after="0" w:line="244" w:lineRule="auto"/>
        <w:tabs>
          <w:tab w:leader="none" w:pos="5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Series A Cumulative Convertible Preferred Stock – On July 31, 2024, the Company completed the sale (the “Investment”) to Allianz Strategic Investments S.à.r.l., a Luxembourg private limited liability company (“Allianz”) (combined with the Investment, the “Allianz Transaction”) of (i) 140,000 shares of a newly created class of preferred stock designated Series A Cumulative Convertible Preferred Stock (the “Series A Preferred Stock”) and (ii) 19,318,580.96 shares of Class A Common Stock for an aggregate purchase price equal to $250 million (the “Allianz Closing”) and issued to Allianz warrants (the “Allianz Warrants”) to purchase 5,000,000 shares of Class A Common Stock at an exercise price of $7.40 per share. The Series A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50% in shares of Series A Preferred Stock, which will increase the stated value of the issued shares of Series A Preferred Stock, and 50% in shares of Class A Common Stock. The Series A Preferred Stock will also participate with any dividends or distributions declared on the Class A Common Stock. The Series A Preferred Stock has no voting rights and is subject to an ownership cap of 24.9% of the aggregate issued and outstanding shares of Class A Common Stock and Class B Common Stock.</w:t>
      </w:r>
    </w:p>
    <w:p>
      <w:pPr>
        <w:spacing w:after="0" w:line="169" w:lineRule="exact"/>
        <w:rPr>
          <w:rFonts w:ascii="Times New Roman" w:cs="Times New Roman" w:eastAsia="Times New Roman" w:hAnsi="Times New Roman"/>
          <w:sz w:val="17"/>
          <w:szCs w:val="17"/>
          <w:color w:val="auto"/>
        </w:rPr>
      </w:pPr>
    </w:p>
    <w:p>
      <w:pPr>
        <w:jc w:val="both"/>
        <w:ind w:left="5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addition, on February 22, 2024, the Company entered into a Supplemental Series A Preferred Stock Investment Agreement with Allianz (the “Supplemental Investment Agreement”), pursuant to which, for purposes of funding one or more strategic international acquisitions by the Company or its subsidiaries, Allianz is permitted, at its option, to purchase up to 50,000 additional shares of Series A Preferred Stock up to an aggregate amount equal to $50 million (the “Allianz Tranche Right”). Additional Series A Preferred Stock issued upon exercise of the Allianz Tranche Right will abide by the same terms and conditions in the Investment Agreement at a price of $1,000 per share.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07" w:name="page108"/>
    <w:bookmarkEnd w:id="107"/>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60"/>
        <w:spacing w:after="0" w:line="290" w:lineRule="auto"/>
        <w:rPr>
          <w:sz w:val="20"/>
          <w:szCs w:val="20"/>
          <w:color w:val="auto"/>
        </w:rPr>
      </w:pPr>
      <w:r>
        <w:rPr>
          <w:rFonts w:ascii="Times New Roman" w:cs="Times New Roman" w:eastAsia="Times New Roman" w:hAnsi="Times New Roman"/>
          <w:sz w:val="14"/>
          <w:szCs w:val="14"/>
          <w:color w:val="auto"/>
        </w:rPr>
        <w:t>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shareholders, and (ii) entered into an Investor Rights Agreement with Allianz pursuant to which, among other items, Allianz will have the right to nominate two directors to the Company’s Board until such time as Allianz ceases to own at least 50% of the initial shares of Class A Common Stock acquired at the Allianz Closing. The Non-Voting Common Stock will be issued to Allianz if the 24.9% ownership cap is triggered.</w:t>
      </w:r>
    </w:p>
    <w:p>
      <w:pPr>
        <w:spacing w:after="0" w:line="148" w:lineRule="exact"/>
        <w:rPr>
          <w:sz w:val="20"/>
          <w:szCs w:val="20"/>
          <w:color w:val="auto"/>
        </w:rPr>
      </w:pPr>
    </w:p>
    <w:p>
      <w:pPr>
        <w:jc w:val="both"/>
        <w:ind w:left="260"/>
        <w:spacing w:after="0" w:line="269" w:lineRule="auto"/>
        <w:rPr>
          <w:sz w:val="20"/>
          <w:szCs w:val="20"/>
          <w:color w:val="auto"/>
        </w:rPr>
      </w:pPr>
      <w:r>
        <w:rPr>
          <w:rFonts w:ascii="Times New Roman" w:cs="Times New Roman" w:eastAsia="Times New Roman" w:hAnsi="Times New Roman"/>
          <w:sz w:val="14"/>
          <w:szCs w:val="14"/>
          <w:color w:val="auto"/>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w:t>
      </w:r>
    </w:p>
    <w:p>
      <w:pPr>
        <w:spacing w:after="0" w:line="1" w:lineRule="exact"/>
        <w:rPr>
          <w:sz w:val="20"/>
          <w:szCs w:val="20"/>
          <w:color w:val="auto"/>
        </w:rPr>
      </w:pPr>
    </w:p>
    <w:p>
      <w:pPr>
        <w:jc w:val="both"/>
        <w:ind w:left="260"/>
        <w:spacing w:after="0" w:line="313" w:lineRule="auto"/>
        <w:rPr>
          <w:sz w:val="20"/>
          <w:szCs w:val="20"/>
          <w:color w:val="auto"/>
        </w:rPr>
      </w:pPr>
      <w:r>
        <w:rPr>
          <w:rFonts w:ascii="Times New Roman" w:cs="Times New Roman" w:eastAsia="Times New Roman" w:hAnsi="Times New Roman"/>
          <w:sz w:val="14"/>
          <w:szCs w:val="14"/>
          <w:color w:val="auto"/>
        </w:rPr>
        <w:t>Company’s Non-Voting Common Stock, which may be issued in the future to Allianz. The Umbrella LLC Agreement was also amended to reflect the creation of preferred units of AlTi Global Capital, LLC that mirror the rights, preferences, privileges and restrictions applicable to the Series C Preferred Stock previously issued to Constellation.</w:t>
      </w:r>
    </w:p>
    <w:p>
      <w:pPr>
        <w:spacing w:after="0" w:line="110" w:lineRule="exact"/>
        <w:rPr>
          <w:sz w:val="20"/>
          <w:szCs w:val="20"/>
          <w:color w:val="auto"/>
        </w:rPr>
      </w:pPr>
    </w:p>
    <w:p>
      <w:pPr>
        <w:jc w:val="both"/>
        <w:ind w:left="260" w:hanging="260"/>
        <w:spacing w:after="0" w:line="245" w:lineRule="auto"/>
        <w:tabs>
          <w:tab w:leader="none" w:pos="25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C Cumulative Convertible Preferred Stock (the “Series C Preferred Stock”) – Shares of Series C Preferred Stock that are not publicly traded and issued in connection with the sale of 150,000 shares of Series C Preferred stock that occurred in two transactions (the “Transactions”) to Constellation AlTi Investor LLC, an affiliate of Constellation Wealth Capital, LLC (“Constellation”) (combined with the Transaction, the “Constellation Transaction”),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payment in kind increase in the stated value of the issued shares of Series C Preferred Stock or in cash. The Series C Preferred Stock will also participate with any dividends or distributions declared on the Class A Common Stock. As of December 31, 2024, the 150,000 outstanding shares of Series C Preferred Stock represent 7.5% of the total voting power of all shares.</w:t>
      </w:r>
    </w:p>
    <w:p>
      <w:pPr>
        <w:spacing w:after="0" w:line="180" w:lineRule="exact"/>
        <w:rPr>
          <w:rFonts w:ascii="Times New Roman" w:cs="Times New Roman" w:eastAsia="Times New Roman" w:hAnsi="Times New Roman"/>
          <w:sz w:val="16"/>
          <w:szCs w:val="16"/>
          <w:color w:val="auto"/>
        </w:rPr>
      </w:pPr>
    </w:p>
    <w:p>
      <w:pPr>
        <w:jc w:val="both"/>
        <w:ind w:left="2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Constellation Transactions, the Company issued warrants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These warrants have been classified as a liability as of December 31, 2024. No Constellation Warrants were exercised during the current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50800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203"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AlTi’s capital structure as of December 31, 2024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4911725" cy="3806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11725" cy="380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number of shares of the Company that were issued and outstanding as of December 31,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6720" w:type="dxa"/>
            <w:vAlign w:val="bottom"/>
          </w:tcPr>
          <w:p>
            <w:pPr>
              <w:spacing w:after="0"/>
              <w:rPr>
                <w:sz w:val="16"/>
                <w:szCs w:val="16"/>
                <w:color w:val="auto"/>
              </w:rPr>
            </w:pPr>
          </w:p>
        </w:tc>
        <w:tc>
          <w:tcPr>
            <w:tcW w:w="224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4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7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93,686,980</w:t>
            </w:r>
          </w:p>
        </w:tc>
        <w:tc>
          <w:tcPr>
            <w:tcW w:w="8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65,110,875</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46,138,876</w:t>
            </w:r>
          </w:p>
        </w:tc>
        <w:tc>
          <w:tcPr>
            <w:tcW w:w="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53,219,713</w:t>
            </w:r>
          </w:p>
        </w:tc>
      </w:tr>
      <w:tr>
        <w:trPr>
          <w:trHeight w:val="22"/>
        </w:trPr>
        <w:tc>
          <w:tcPr>
            <w:tcW w:w="6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8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organized into two operating segments: Wealth &amp; Capital Solutions and International Real Estate. Described below are the segments and the revenue generated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which broadly fall into four categories: (i) recurring management, advisory, or administration fees; (ii) performance or incentive fees; (iii) distributions from investments and</w:t>
      </w:r>
    </w:p>
    <w:p>
      <w:pPr>
        <w:spacing w:after="0" w:line="19" w:lineRule="exact"/>
        <w:rPr>
          <w:sz w:val="20"/>
          <w:szCs w:val="20"/>
          <w:color w:val="auto"/>
        </w:rPr>
      </w:pPr>
    </w:p>
    <w:p>
      <w:pPr>
        <w:ind w:left="260" w:hanging="255"/>
        <w:spacing w:after="0"/>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or fees. During the third quarter ended September 30, 2024, management commenced a strategic review of the Company’s Real Estate Co-Investment and Fund</w:t>
      </w: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Management Businesses (the “Real Estate Businesses”). In addition to evaluating future strategic options for these businesses, management has reviewed how these business should be reported, including whether any changes were needed to the components of our operating segments. One conclusion from the review to date is that the Real Estate Businesses are no longer considered a core part of our forward looking strategy. Consequently, during 2024 we combined the results of these business and presented them in a standalone operating segment, separately from our core businesses. Management, in conjunction with our Board, continues to evaluate options related to Real Estate Businesses going forward. Several options are currently under consideration, and we aim to complete the review and finalize a course of action pending regulatory approval. Due to the change in the composition of our segments, prior period data has been recast for comparative purposes.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&amp; Capital Solutions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Results generated by our Wealth &amp; Capital Solutions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ultra high-net-worth individuals, families, single-family offices, foundations, and endowments globally, while Alternatives Platform clients are typically institutional. Investment management or advisory fees, incentive fees, and distributions from investments are the primary sources of revenue in our Wealth &amp; Capital Solutions segment. Management fees are generally calculated based on a percentage of the value of billable AUM or AUA (as applicable), while incentive fees are driven by the underlying performance of managed portfolios. As of December 31, 2024 and December 31, 2023, this segment had $67.3 billion and $58.7 billion, respectively, in AUA.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Management and Advisory Services</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As of December 31, 2024, the average allocation of client portfolios to alternatives was approximately 27%. In building portfolios, we also consider the need to access funds for unexpected living or funding expenses, thereby seeking to avoid forced selling of assets at inopportune times, and for clients in certain jurisdictions, such as the U.S., we are focused on understanding tax considerations and optimizing for after tax returns. In addition, we offer robust impact investing services that can be delivered across a broad range of asset classes and with investors from all asset levels.</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With regard to the unique opportunities that we offer access to, we have established a platform through which we are able to provide clients of our wealth management services access to investments in strategies and asset classes to which they would otherwise likely not be able to gain exposure (for example, because of very high minimum investment thresholds in the underlying funds). We operate a number of such vehicles focused on vintage private equity, credit, real estate, active global managers and hedge fund strategies. The vehicles, by way of example, invest in either a single underlying private equity fund or a portfolio of private equity or other alternative assets funds, in each case, which are managed by access constrained managers we believe, based upon our thorough manager selection processes, will deliver strong risk adjusted performance, in line with their strategy, for our clients. We intend to launch further vintages of such private market vehicles over time to enable our investment management and advisory clients to include an allocation to these alternative funds in their portfolios on a running basis. These private strategies are expected to include traditional as well 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innovative and impact investing offerings. In 2024, we welcomed Allianz and Constellation as strategic partners. See discussion in Item 1. Business -- Our History and Presence to Date regarding these partnerships.</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independence of our investment management and advisory services is important to us and our wealth management clients. By independent, we mean that our investment management and advisory services operate independently of any managers or investment product manufacturers (including our own) to which we may allocate or recommend allocating capital. Our clients may opt in to be informed of investment opportunities we are working on in our other business lines, (and some choose to do so). In all cases, each client’s individual objectives and expectations are our primary concern, and we employ an open architecture approach, whereby we seek to find the best investment solutions for our clients in the marketplace. More specifically,</w:t>
      </w:r>
    </w:p>
    <w:p>
      <w:pPr>
        <w:spacing w:after="0" w:line="68" w:lineRule="exact"/>
        <w:rPr>
          <w:sz w:val="20"/>
          <w:szCs w:val="20"/>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receive undisclosed forms of compensation;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our investment decisions and recommendations are made with each client’s individual best interests in mind.</w:t>
      </w:r>
    </w:p>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provide clients with performance reports, detailing the clients’ portfolio performance and comparing such performance to relevant benchmarks or indices. If requested by a client, the reporting can include information encompassing assets that are not in the portfolio managed by AlTi to give a total consolidated view. In addition to financial performance, we are also able to discuss a client’s impact performance for those interested in tracking impact specific metrics, in addition to their financial goals. We choose to use third-party software for record-keeping, performance calculation, and reporting, using Addepar’s SaaS platform, and we prepare performance reports by using data provided by custodians, investment managers, and independent pricing services. We then interpret and analyze how portfolio performance aligns with clients’ financial, non-financial and, where relevant, impact goals and values.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 Services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trust services that we provide within our U.S. wealth service offering aim to ensure our clients’ wealth is preserved, protected, and distributed as intended. As of December 31, 2024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family office services are tailored outsourced family office solutions and administrative services which we provide primarily to our larger clients. Our family office services cover:</w:t>
      </w:r>
    </w:p>
    <w:p>
      <w:pPr>
        <w:spacing w:after="0" w:line="187" w:lineRule="exact"/>
        <w:rPr>
          <w:sz w:val="20"/>
          <w:szCs w:val="20"/>
          <w:color w:val="auto"/>
        </w:rPr>
      </w:pPr>
    </w:p>
    <w:p>
      <w:pPr>
        <w:ind w:left="500" w:hanging="240"/>
        <w:spacing w:after="0"/>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bookkeeping and back office services;</w:t>
      </w:r>
    </w:p>
    <w:p>
      <w:pPr>
        <w:spacing w:after="0" w:line="15"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private foundation management and grant making;</w:t>
      </w:r>
    </w:p>
    <w:p>
      <w:pPr>
        <w:spacing w:after="0" w:line="10" w:lineRule="exact"/>
        <w:rPr>
          <w:rFonts w:ascii="Arial" w:cs="Arial" w:eastAsia="Arial" w:hAnsi="Arial"/>
          <w:sz w:val="17"/>
          <w:szCs w:val="17"/>
          <w:color w:val="auto"/>
        </w:rPr>
      </w:pPr>
    </w:p>
    <w:p>
      <w:pPr>
        <w:ind w:left="500" w:hanging="240"/>
        <w:spacing w:after="0"/>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oversight of trust administration;</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financial tracking and reporting;</w:t>
      </w:r>
    </w:p>
    <w:p>
      <w:pPr>
        <w:spacing w:after="0" w:line="15"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cash flow management &amp; bill pay; and</w:t>
      </w:r>
    </w:p>
    <w:p>
      <w:pPr>
        <w:spacing w:after="0" w:line="10" w:lineRule="exact"/>
        <w:rPr>
          <w:rFonts w:ascii="Arial" w:cs="Arial" w:eastAsia="Arial" w:hAnsi="Arial"/>
          <w:sz w:val="17"/>
          <w:szCs w:val="17"/>
          <w:color w:val="auto"/>
        </w:rPr>
      </w:pPr>
    </w:p>
    <w:p>
      <w:pPr>
        <w:ind w:left="500" w:hanging="240"/>
        <w:spacing w:after="0"/>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6"/>
          <w:szCs w:val="16"/>
          <w:color w:val="auto"/>
        </w:rPr>
        <w:t>other financial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offer clients estate and wealth planning, family governance and education, and philanthropic and strategic services.</w:t>
      </w:r>
    </w:p>
    <w:p>
      <w:pPr>
        <w:spacing w:after="0" w:line="10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For part of 2024, the Company also had a European trust and private office services business which was deemed non-strategic to the business and was sold on May 8, 2024. See Note 3 to our financial statements (Business Combinations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alternatives platform assists money managers in building their fund management businesses. We have one internally managed fund and stakes in three externally-managed funds. Our internally- managed fund, TIG Arbitrage strategy, is an event-driven fund which has $1.7 billion of AUM as of December 31, 2024. It is managed by our subsidiary TIG Advisors, LLC, an SEC-registered investment advisor. In addition, we have made strategic investments with External Strategic Managers, who manage approximately $5.1 billion of AUM in the aggregate as of December 31, 2024.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Internally Managed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Event-Driven Global Merger Arbitrage</w:t>
      </w:r>
    </w:p>
    <w:p>
      <w:pPr>
        <w:spacing w:after="0" w:line="12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TIG Arbitrage strategy is our event-driven strategy based in New York. This strategy, which has approximately $1.7 billion of AUM as of December 31, 2024, focuses on 0-to-30-day events within the merger process. The investment team employs deep research on each situation in the portfolio with a focus on complex, hostile, up-for-sale situations where our primary research work can drive uncorrelated alpha. Our research and investment process is focused on hard catalyst events and is not dependent on deal flow.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Externally Managed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Romspen—Real Estate Bridge Lending Strategy</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This manager is based in Toronto and focuses on complex construction, term, and pre-development bridge loans throughout North America. The strategy has approximately $2.0 billion of AUA as of December 31, 2024. Their experience with mortgages dates back to the 1950s when the firm operated as a real estate law firm and entered the mortgage lending business in the 1960s. The manager converted its individual mortgage syndication business to a commingled fund in early 2006. The strategy’s diversified portfolio primarily consists of first lien mortgages with little to no structural leverage.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Zebedee—European Equities (External Strategic Manager)</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manager focused on European equities is based in London. The strategy has approximately $1.8 billion of AUA as of December 31, 2024. Founded in 2001, the manager trades the portfolio actively with absolute return-oriented focus on financials, cyclicals, and mining and minerals. The strategy is market agnostic and runs with a variable net exposure, equally comfortable net long or net short.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Arkkan—Asian Credit and Special Situations (External Strategic Manager)</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This manager has operated an Asia credit and special situations strategy based in Hong Kong since 2013. The strategy has approximately $1.3 billion of AUA as of December 31, 2024. They have more than 25 years of experience investing in performing, stressed, and distressed bonds and loans throughout the Asia Pacific region. We believe its on-the-ground expertise and deep local network makes them well-positioned to capitalize on an under-researched and inefficient market with limited competition and attractive levels of stressed and distressed activity.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Ancillary Fund Management Services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offer both our manager and the External Strategic Managers in which we have made strategic investments solutions to enhance their growth. This includes the sales and marketing services set out below.</w:t>
      </w:r>
    </w:p>
    <w:p>
      <w:pPr>
        <w:spacing w:after="0" w:line="176" w:lineRule="exact"/>
        <w:rPr>
          <w:sz w:val="20"/>
          <w:szCs w:val="20"/>
          <w:color w:val="auto"/>
        </w:rPr>
      </w:pPr>
    </w:p>
    <w:p>
      <w:pPr>
        <w:ind w:left="500" w:hanging="240"/>
        <w:spacing w:after="0"/>
        <w:tabs>
          <w:tab w:leader="none" w:pos="50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6"/>
          <w:szCs w:val="16"/>
          <w:color w:val="auto"/>
        </w:rPr>
        <w:t>Sales and Marketing:</w:t>
      </w:r>
    </w:p>
    <w:p>
      <w:pPr>
        <w:spacing w:after="0" w:line="13" w:lineRule="exact"/>
        <w:rPr>
          <w:rFonts w:ascii="Arial" w:cs="Arial" w:eastAsia="Arial" w:hAnsi="Arial"/>
          <w:sz w:val="17"/>
          <w:szCs w:val="17"/>
          <w:color w:val="auto"/>
        </w:rPr>
      </w:pPr>
    </w:p>
    <w:p>
      <w:pPr>
        <w:ind w:left="1020" w:hanging="251"/>
        <w:spacing w:after="0" w:line="226" w:lineRule="auto"/>
        <w:tabs>
          <w:tab w:leader="none" w:pos="1020" w:val="left"/>
        </w:tabs>
        <w:numPr>
          <w:ilvl w:val="1"/>
          <w:numId w:val="59"/>
        </w:numPr>
        <w:rPr>
          <w:rFonts w:ascii="Arial" w:cs="Arial" w:eastAsia="Arial" w:hAnsi="Arial"/>
          <w:sz w:val="17"/>
          <w:szCs w:val="17"/>
          <w:color w:val="auto"/>
        </w:rPr>
      </w:pPr>
      <w:r>
        <w:rPr>
          <w:rFonts w:ascii="Times New Roman" w:cs="Times New Roman" w:eastAsia="Times New Roman" w:hAnsi="Times New Roman"/>
          <w:sz w:val="16"/>
          <w:szCs w:val="16"/>
          <w:color w:val="auto"/>
        </w:rPr>
        <w:t>centralized marketing;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hanging="251"/>
        <w:spacing w:after="0"/>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strategic positioning;</w:t>
      </w:r>
    </w:p>
    <w:p>
      <w:pPr>
        <w:spacing w:after="0" w:line="13" w:lineRule="exact"/>
        <w:rPr>
          <w:rFonts w:ascii="Arial" w:cs="Arial" w:eastAsia="Arial" w:hAnsi="Arial"/>
          <w:sz w:val="17"/>
          <w:szCs w:val="17"/>
          <w:color w:val="auto"/>
        </w:rPr>
      </w:pPr>
    </w:p>
    <w:p>
      <w:pPr>
        <w:ind w:left="1020" w:hanging="251"/>
        <w:spacing w:after="0" w:line="226"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product development;</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sales planning and execution;</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investor relations;</w:t>
      </w:r>
    </w:p>
    <w:p>
      <w:pPr>
        <w:spacing w:after="0" w:line="6" w:lineRule="exact"/>
        <w:rPr>
          <w:rFonts w:ascii="Arial" w:cs="Arial" w:eastAsia="Arial" w:hAnsi="Arial"/>
          <w:sz w:val="17"/>
          <w:szCs w:val="17"/>
          <w:color w:val="auto"/>
        </w:rPr>
      </w:pPr>
    </w:p>
    <w:p>
      <w:pPr>
        <w:ind w:left="1020" w:hanging="251"/>
        <w:spacing w:after="0" w:line="221"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materials oversight;</w:t>
      </w:r>
    </w:p>
    <w:p>
      <w:pPr>
        <w:ind w:left="1020" w:hanging="251"/>
        <w:spacing w:after="0" w:line="226"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branding; and</w:t>
      </w:r>
    </w:p>
    <w:p>
      <w:pPr>
        <w:spacing w:after="0" w:line="6" w:lineRule="exact"/>
        <w:rPr>
          <w:rFonts w:ascii="Arial" w:cs="Arial" w:eastAsia="Arial" w:hAnsi="Arial"/>
          <w:sz w:val="17"/>
          <w:szCs w:val="17"/>
          <w:color w:val="auto"/>
        </w:rPr>
      </w:pPr>
    </w:p>
    <w:p>
      <w:pPr>
        <w:ind w:left="1020" w:hanging="251"/>
        <w:spacing w:after="0" w:line="226" w:lineRule="auto"/>
        <w:tabs>
          <w:tab w:leader="none" w:pos="102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6"/>
          <w:szCs w:val="16"/>
          <w:color w:val="auto"/>
        </w:rPr>
        <w:t>sales channel expertise covering North America, Europe, Middle East, Asia Pacific and Latin America.</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2024 our services also included back and middle office solutions for the funds. These services were spun out on November 15, 2025 under the name Altaira Strategic Partners which continues to provide services to the TIG Arbitrage strategy, in addition to other funds.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Real Estate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International Real Estate segment includes our Real Estate Co-Investment and Real Estate Fund Management businesses. As of December 31, 2024, our AUM/AUA in this segment was $8.4 billion.</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Consistent with management’s overall view of the core business, and following a strategic review conducted in the third quarter of 2024, it was determined that the businesses reflected in the International Real Estate segment are not additive to our long-term strategy. Several strategic options are currently under consideration, and our objective is to finalize a course of action in the near future.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 Management</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Prior to the first quarter of 2024, our real estate fund management business managed two funds based in the United Kingdom: LXi, and HLIF, a private fund. As described further below, during 2024 we exited the management of LXi.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Home Long Income Fund</w:t>
      </w:r>
    </w:p>
    <w:p>
      <w:pPr>
        <w:spacing w:after="0" w:line="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Home Long Income Fund is an English open-ended investment company launched in October 2018. Its investment objective is to deliver secure inflation-protected income and capital growth by investing in a portfolio of UK homeless shelters. HLIF is advised by SHIA and AFM UK acts as its alternative investment fund manager. Both SHIA and AFM UK are wholly owned subsidiaries of the Company. As of December 31, 2024, HLIF had assets under management of approximately $0.3 billion. We are in discussions with a third-party manager to take over the management of HLIF and AFM UK’s and SHIA’s services to HLIF will terminate if the transition completes.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LXi REIT plc</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LXi is an English real estate investment trust company, launched in February 2017, whose shares are traded on the premium segment of the London Stock Exchange’s Main Market. LXi was advised by LRA, and its investment objective is to deliver inflation-protected income and capital growth over the medium-term for 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through investing in a diversified portfolio of UK property that benefits from long-term index-linked leases with institutional-grade tenants.</w:t>
      </w:r>
    </w:p>
    <w:p>
      <w:pPr>
        <w:spacing w:after="0" w:line="1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January 9, 2024, AlTi RE Public Markets Limited entered into heads of terms to sell 100% of the equity of LRA, the advisor to the publicly-traded fund LXi, to LondonMetric Property Plc (“LondonMetric”). This disposal was completed on March 6, 2024. See Note 3 (Business Combinations and Divestitures)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Alvarium Home REIT Advisors Limited</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Prior to the Business Combination, ARE, an indirect wholly owned subsidiary of Alvarium, entered into an agreement to sell 100% of the equity of AHRA, the investment advisor to the publicly-traded fund Home REIT, to a newly formed entity (“NewCo”) owned by the management of AHRA, for aggregate consideration approximately equal to $29 million. Consequently, AHRA has never been part of AlTi. The consideration was comprised of a promissory note that matured on December 31, 2023. Additionally, ARE was granted a call option pursuant to which ARE had the right to repurchase AHRA prior to the repayment of the note for a purchase price equal to the note balance then outstanding thereunder.</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Subsidiaries are companies over which a company has the power indirectly and/or directly to control the financial and operating policies to obtain benefits. In assessing control for accounting purposes, potential voting rights that are presently exercisable or convertible (including rights that may arise on the exercise of an option) are taken into account. With respect to the AHRA, the above arrangements resulted in AHRA continuing to be consolidated by AlTi after its legal disposal to NewCo. Due to this consolidation, after the Business Combination, an intangible asset was recognized related to the investment advisory agreement between AHRA and Home REIT.</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AlTi was formed on January 3, 2023, through a business combination transaction that included certain legacy Alvarium companies. While the sale of AHRA occurred prior to the Business Combination, under GAAP, its results were required to be consolidated in our financial statements until June 30, 2023, when it was deconsolidated. On June 30, 2023, the Company entered into a series of agreements that resulted in the deconsolidation of AHRA from the International Real Estate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Consolidated Statement of Operations for the period from January 1, 2023 to June 30, 2023, and it was removed from the Consolidated Statement of Financial Position as of June 30, 2023. The deconsolidation resulted in an intangible asset impairment charge of $29.4 million, which was recorded in Impairment loss on goodwill and intangible assets in the Consolidated Statement of Operations during the year ended December 31, 2023. Assets managed by AHRA, however, have been excluded from the Company’s AUM/AUA metrics since January 1, 2023.</w:t>
      </w:r>
    </w:p>
    <w:p>
      <w:pPr>
        <w:spacing w:after="0" w:line="200" w:lineRule="exact"/>
        <w:rPr>
          <w:sz w:val="20"/>
          <w:szCs w:val="20"/>
          <w:color w:val="auto"/>
        </w:rPr>
      </w:pPr>
    </w:p>
    <w:p>
      <w:pPr>
        <w:spacing w:after="0" w:line="213" w:lineRule="exact"/>
        <w:rPr>
          <w:sz w:val="20"/>
          <w:szCs w:val="20"/>
          <w:color w:val="auto"/>
        </w:rPr>
      </w:pPr>
    </w:p>
    <w:p>
      <w:pPr>
        <w:ind w:left="380" w:hanging="375"/>
        <w:spacing w:after="0"/>
        <w:tabs>
          <w:tab w:leader="none" w:pos="3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44" w:lineRule="exact"/>
        <w:rPr>
          <w:rFonts w:ascii="Times New Roman" w:cs="Times New Roman" w:eastAsia="Times New Roman" w:hAnsi="Times New Roman"/>
          <w:sz w:val="16"/>
          <w:szCs w:val="16"/>
          <w:b w:val="1"/>
          <w:bCs w:val="1"/>
          <w:color w:val="auto"/>
        </w:rPr>
      </w:pPr>
    </w:p>
    <w:p>
      <w:pPr>
        <w:ind w:left="760" w:hanging="373"/>
        <w:spacing w:after="0"/>
        <w:tabs>
          <w:tab w:leader="none" w:pos="760" w:val="left"/>
        </w:tabs>
        <w:numPr>
          <w:ilvl w:val="1"/>
          <w:numId w:val="6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0"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comprise the financial statements of the Company and its subsidiaries. These consolidated financial statements have been prepared under the accrual basis of accounting in accordance with U.S. GAAP and conform to prevailing practices within the financial services industry, as applicable to the Company. The notes are an integral part of the Company’s consolidated financial statements. In the opinion of management, all adjustments necessary for a fair presentation of the Company’s consolidated financial statements have been included and are of a normal and recurring nature.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4" w:name="page115"/>
    <w:bookmarkEnd w:id="114"/>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w:t>
      </w:r>
    </w:p>
    <w:p>
      <w:pPr>
        <w:spacing w:after="0" w:line="114" w:lineRule="exact"/>
        <w:rPr>
          <w:sz w:val="20"/>
          <w:szCs w:val="20"/>
          <w:color w:val="auto"/>
        </w:rPr>
      </w:pPr>
    </w:p>
    <w:p>
      <w:pPr>
        <w:ind w:left="380" w:hanging="373"/>
        <w:spacing w:after="0"/>
        <w:tabs>
          <w:tab w:leader="none" w:pos="380" w:val="left"/>
        </w:tabs>
        <w:numPr>
          <w:ilvl w:val="0"/>
          <w:numId w:val="6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Prior Period Immaterial Corrections</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 xml:space="preserve">Following an analysis of quantitative and qualitative factors in accordance with SEC Staff Accounting Bulletin 99, </w:t>
      </w:r>
      <w:r>
        <w:rPr>
          <w:rFonts w:ascii="Times New Roman" w:cs="Times New Roman" w:eastAsia="Times New Roman" w:hAnsi="Times New Roman"/>
          <w:sz w:val="16"/>
          <w:szCs w:val="16"/>
          <w:i w:val="1"/>
          <w:iCs w:val="1"/>
          <w:color w:val="auto"/>
        </w:rPr>
        <w:t>Materiality</w:t>
      </w:r>
      <w:r>
        <w:rPr>
          <w:rFonts w:ascii="Times New Roman" w:cs="Times New Roman" w:eastAsia="Times New Roman" w:hAnsi="Times New Roman"/>
          <w:sz w:val="16"/>
          <w:szCs w:val="16"/>
          <w:color w:val="auto"/>
        </w:rPr>
        <w:t>, the Company concluded that the errors below were immaterial to the previously issued consolidated financial statements, and thus, no restatement of any of the Company’s previously issued financial statements is necessary. The Company revised the reported balances to correct for the immaterial errors accordingly.</w:t>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first quarter of 2024, the Company identified and corrected immaterial errors impacting the December 31, 2023 balances previously reported related to Accrued compensation and profit sharing, Goodwill, Accounts payable and accrued expenses and certain other balances reported within Other liabilities, net. These revisions resulted in an adjustment to the opening retained earnings balance for the current reporting period of $(3.0) million, a $4.2 million increase in Accrued compensation and profit sharing, a $0.3 million decrease in Goodwill, a $0.6 million increase in Other liabilities, net, and a $0.3 million increase in Accounts payable and accrued expenses.</w:t>
      </w:r>
    </w:p>
    <w:p>
      <w:pPr>
        <w:spacing w:after="0" w:line="13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In conjunction with the prior period immaterial error correction, certain reclassifications have been made to prior period amounts between our Non-controlling interest in subsidiaries and Additional paid-in capital which relate to the TRA Exchange of our Class B Units for shares of Class A Common Stock. These reclassifications resulted in an adjustment of $13.3 million and are reflected in our Consolidated Statement of Changes in Mezzanine Equity and Shareholders’ Equity. Additionally, a prior period reclassification of $0.6 million has been made between General, administrative and other expense and Management/advisory fees. These prior period reclassifications have no impact on the Company’s cash flows, net income, or total shareholders’ equity.</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Additionally, in the current reporting period, the Company reclassified the balances in its Consolidated Statement of Operations as of December 31, 2023 of the previously reported amounts for the line items Management/advisory fees and Professional fees, decreasing both balances by $3.4 million.</w:t>
      </w:r>
    </w:p>
    <w:p>
      <w:pPr>
        <w:spacing w:after="0" w:line="153" w:lineRule="exact"/>
        <w:rPr>
          <w:sz w:val="20"/>
          <w:szCs w:val="20"/>
          <w:color w:val="auto"/>
        </w:rPr>
      </w:pPr>
    </w:p>
    <w:p>
      <w:pPr>
        <w:ind w:left="380" w:hanging="373"/>
        <w:spacing w:after="0"/>
        <w:tabs>
          <w:tab w:leader="none" w:pos="380" w:val="left"/>
        </w:tabs>
        <w:numPr>
          <w:ilvl w:val="0"/>
          <w:numId w:val="6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Reclassifications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Due to presentation changes that occurred during the first quarter ended March 31, 2024, we made certain reclassifications in our Consolidated Financial Position on a prospective basis. These reclassifications are not directly comparable to the year ended December 31, 2023 and include a $4.8 million adjustment to decrease Accounts payable and accrued expenses and increase Accrued compensation and profit sharing as well as a $3.2 million adjustment to decrease Other liabilities, net and increase Accrued compensation and profit sharing.</w:t>
      </w:r>
    </w:p>
    <w:p>
      <w:pPr>
        <w:spacing w:after="0" w:line="158" w:lineRule="exact"/>
        <w:rPr>
          <w:sz w:val="20"/>
          <w:szCs w:val="20"/>
          <w:color w:val="auto"/>
        </w:rPr>
      </w:pPr>
    </w:p>
    <w:p>
      <w:pPr>
        <w:ind w:left="380" w:hanging="373"/>
        <w:spacing w:after="0"/>
        <w:tabs>
          <w:tab w:leader="none" w:pos="380" w:val="left"/>
        </w:tabs>
        <w:numPr>
          <w:ilvl w:val="0"/>
          <w:numId w:val="6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Change in Accounting Principle</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 xml:space="preserve">During the three months ended December 31, 2024, the Company changed its classification related to the Allianz and Constellation Warrants from liability-classified to equity-classified within the Statement of Financial Position. The Company changed its accounting principle relating to our interpretation of certain contingent settlement provisions within the Allianz and Constellation Warrants and permissibility of related settlement adjustments under ASC 815-40, </w:t>
      </w:r>
      <w:r>
        <w:rPr>
          <w:rFonts w:ascii="Times New Roman" w:cs="Times New Roman" w:eastAsia="Times New Roman" w:hAnsi="Times New Roman"/>
          <w:sz w:val="16"/>
          <w:szCs w:val="16"/>
          <w:i w:val="1"/>
          <w:iCs w:val="1"/>
          <w:color w:val="auto"/>
        </w:rPr>
        <w:t>Contracts in an Entity’s Own Equity.</w:t>
      </w:r>
      <w:r>
        <w:rPr>
          <w:rFonts w:ascii="Times New Roman" w:cs="Times New Roman" w:eastAsia="Times New Roman" w:hAnsi="Times New Roman"/>
          <w:sz w:val="16"/>
          <w:szCs w:val="16"/>
          <w:color w:val="auto"/>
        </w:rPr>
        <w:t xml:space="preserve"> The Company believes this change in accounting principle is preferable as the Allianz and Constellation Warrants meet the equity scope exception under ASC 815-40, </w:t>
      </w:r>
      <w:r>
        <w:rPr>
          <w:rFonts w:ascii="Times New Roman" w:cs="Times New Roman" w:eastAsia="Times New Roman" w:hAnsi="Times New Roman"/>
          <w:sz w:val="16"/>
          <w:szCs w:val="16"/>
          <w:i w:val="1"/>
          <w:iCs w:val="1"/>
          <w:color w:val="auto"/>
        </w:rPr>
        <w:t>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an Entity’s Own Equity</w:t>
      </w:r>
      <w:r>
        <w:rPr>
          <w:rFonts w:ascii="Times New Roman" w:cs="Times New Roman" w:eastAsia="Times New Roman" w:hAnsi="Times New Roman"/>
          <w:sz w:val="16"/>
          <w:szCs w:val="16"/>
          <w:color w:val="auto"/>
        </w:rPr>
        <w:t>, and the economic</w:t>
      </w:r>
    </w:p>
    <w:p>
      <w:pPr>
        <w:spacing w:after="0" w:line="200" w:lineRule="exact"/>
        <w:rPr>
          <w:sz w:val="20"/>
          <w:szCs w:val="20"/>
          <w:color w:val="auto"/>
        </w:rPr>
      </w:pP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15" w:name="page116"/>
    <w:bookmarkEnd w:id="115"/>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substance of the Allianz and Constellation Warrants more closely aligns with that of an equity instrument, and how we measure the operating performance of the Company.</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This change in accounting policy has been applied retrospectively to the year-ended December 31, 2024. As a result of the accounting change, the Company reclassified the $9.6 million liability for the Allianz and Constellation Warrants as a component of equity within Additional paid-in capital on the Consolidated Statement of Financial Position. The Company adjusted net income (loss) and Additional paid-in capital to reverse previously recorded mark-to-market fair value changes of the liability-classified warrants recorded as of the first quarter ended March 31, 2024 of $(0.3) million, as of the second quarter ended June 30, 2024 of $0.4 million, and as of the third quarter ended September 30, 2024 of $3.9 million. There was no impact to any other prior periods as the Allianz and Constellation Warrants were issued during 2024. Further, there is no material impact to the initial carrying values of other equity instruments issued in the Allianz and Constellation Transactions as a result of the change in the classification of the Allianz and Constellation Warrants.</w:t>
      </w:r>
    </w:p>
    <w:p>
      <w:pPr>
        <w:spacing w:after="0" w:line="159" w:lineRule="exact"/>
        <w:rPr>
          <w:sz w:val="20"/>
          <w:szCs w:val="20"/>
          <w:color w:val="auto"/>
        </w:rPr>
      </w:pPr>
    </w:p>
    <w:p>
      <w:pPr>
        <w:ind w:left="380" w:hanging="373"/>
        <w:spacing w:after="0"/>
        <w:tabs>
          <w:tab w:leader="none" w:pos="380" w:val="left"/>
        </w:tabs>
        <w:numPr>
          <w:ilvl w:val="0"/>
          <w:numId w:val="6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 of Estimates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assumptions and estimates that affect the amounts reported in the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consolidated financial statements are reasonable and prudent, actual results could differ materially from those estimates.</w:t>
      </w:r>
    </w:p>
    <w:p>
      <w:pPr>
        <w:spacing w:after="0" w:line="263" w:lineRule="exact"/>
        <w:rPr>
          <w:sz w:val="20"/>
          <w:szCs w:val="20"/>
          <w:color w:val="auto"/>
        </w:rPr>
      </w:pPr>
    </w:p>
    <w:p>
      <w:pPr>
        <w:ind w:left="380" w:hanging="373"/>
        <w:spacing w:after="0"/>
        <w:tabs>
          <w:tab w:leader="none" w:pos="380" w:val="left"/>
        </w:tabs>
        <w:numPr>
          <w:ilvl w:val="0"/>
          <w:numId w:val="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Consolidation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spacing w:after="0" w:line="3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16" w:name="page117"/>
    <w:bookmarkEnd w:id="116"/>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spacing w:after="0" w:line="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25"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spacing w:after="0" w:line="54" w:lineRule="exact"/>
        <w:rPr>
          <w:sz w:val="20"/>
          <w:szCs w:val="20"/>
          <w:color w:val="auto"/>
        </w:rPr>
      </w:pPr>
    </w:p>
    <w:p>
      <w:pPr>
        <w:ind w:left="380" w:hanging="373"/>
        <w:spacing w:after="0"/>
        <w:tabs>
          <w:tab w:leader="none" w:pos="380" w:val="left"/>
        </w:tabs>
        <w:numPr>
          <w:ilvl w:val="0"/>
          <w:numId w:val="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47"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16"/>
          <w:szCs w:val="16"/>
          <w:color w:val="auto"/>
        </w:rPr>
        <w:t>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17" w:name="page118"/>
    <w:bookmarkEnd w:id="117"/>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58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w:t>
      </w:r>
    </w:p>
    <w:p>
      <w:pPr>
        <w:spacing w:after="0" w:line="11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Consolidated Statement of Financial Position.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Fees/Income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generates arrangement fees from Real Estate Co-Investment transactions by arranging private debt or equity financing, generally in connection with an acquisition or an investment. Arrangement fees are typically 50 to 100 basis points of equity value contributed to a transaction, and are payable upon closing of the transaction. Acquisition fees are typically payable where there are no agency fees or where an off-market transaction was sourced.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w:t>
      </w:r>
    </w:p>
    <w:p>
      <w:pPr>
        <w:spacing w:after="0" w:line="200" w:lineRule="exact"/>
        <w:rPr>
          <w:sz w:val="20"/>
          <w:szCs w:val="20"/>
          <w:color w:val="auto"/>
        </w:rPr>
      </w:pP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57785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1060" w:top="203" w:right="319" w:bottom="1440" w:gutter="0" w:footer="0" w:header="0"/>
        </w:sectPr>
      </w:pPr>
    </w:p>
    <w:bookmarkStart w:id="118" w:name="page119"/>
    <w:bookmarkEnd w:id="118"/>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16"/>
          <w:szCs w:val="16"/>
          <w:color w:val="auto"/>
        </w:rPr>
        <w:t>debt structure terms are generally between 12 and 36 months. The investment adviser, general partner or other entity entitled to fees in respect of each of our co-investments receives such fees either monthly, quarterly or annually.</w:t>
      </w:r>
    </w:p>
    <w:p>
      <w:pPr>
        <w:spacing w:after="0" w:line="99" w:lineRule="exact"/>
        <w:rPr>
          <w:sz w:val="20"/>
          <w:szCs w:val="20"/>
          <w:color w:val="auto"/>
        </w:rPr>
      </w:pPr>
    </w:p>
    <w:p>
      <w:pPr>
        <w:ind w:left="380" w:hanging="373"/>
        <w:spacing w:after="0"/>
        <w:tabs>
          <w:tab w:leader="none" w:pos="380"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Distributions from Investments</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has equity interests in External Strategic Managers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spacing w:after="0" w:line="114" w:lineRule="exact"/>
        <w:rPr>
          <w:sz w:val="20"/>
          <w:szCs w:val="20"/>
          <w:color w:val="auto"/>
        </w:rPr>
      </w:pPr>
    </w:p>
    <w:p>
      <w:pPr>
        <w:ind w:left="380" w:hanging="373"/>
        <w:spacing w:after="0"/>
        <w:tabs>
          <w:tab w:leader="none" w:pos="380" w:val="left"/>
        </w:tabs>
        <w:numPr>
          <w:ilvl w:val="0"/>
          <w:numId w:val="6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Cash and cash equivalents primarily consist of cash and money market funds. Cash balances maintained by consolidated VIEs are not considered legally restricted and are included in cash and cash equivalents on the Consolidated Statement of Financial Position.</w:t>
      </w:r>
    </w:p>
    <w:p>
      <w:pPr>
        <w:spacing w:after="0" w:line="1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Cash was held across our U.S. and international markets. A majority of cash in the U.S. was held in checking accounts within the credit facility bank group, including at a major global financial institution which management believes is creditworthy.</w:t>
      </w:r>
    </w:p>
    <w:p>
      <w:pPr>
        <w:spacing w:after="0" w:line="142" w:lineRule="exact"/>
        <w:rPr>
          <w:sz w:val="20"/>
          <w:szCs w:val="20"/>
          <w:color w:val="auto"/>
        </w:rPr>
      </w:pPr>
    </w:p>
    <w:p>
      <w:pPr>
        <w:ind w:left="380" w:hanging="373"/>
        <w:spacing w:after="0"/>
        <w:tabs>
          <w:tab w:leader="none" w:pos="380" w:val="left"/>
        </w:tabs>
        <w:numPr>
          <w:ilvl w:val="0"/>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Restricted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 and cash equivalents consist of balances that are restricted as to withdrawal or usage.</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of December 31, 2024 and December 31, 2023, restricted cash and cash equivalents amounted to $9.9 million and $5.4 million, respectively, and are included in the line item Cash and cash equivalents on the Consolidated Statement of Financial Position as of such dates. These amounts represent the level of liquidity to be maintained by the Company’s certain subsidiaries to meet regulatory requirements. Failing to meet the requirement could lead to censure, fines, and ultimately a loss of license.</w:t>
      </w:r>
    </w:p>
    <w:p>
      <w:pPr>
        <w:spacing w:after="0" w:line="114" w:lineRule="exact"/>
        <w:rPr>
          <w:sz w:val="20"/>
          <w:szCs w:val="20"/>
          <w:color w:val="auto"/>
        </w:rPr>
      </w:pPr>
    </w:p>
    <w:p>
      <w:pPr>
        <w:ind w:left="380" w:hanging="373"/>
        <w:spacing w:after="0"/>
        <w:tabs>
          <w:tab w:leader="none" w:pos="380" w:val="left"/>
        </w:tabs>
        <w:numPr>
          <w:ilvl w:val="0"/>
          <w:numId w:val="7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Compensation and Employee Benefits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Cash-Based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and benefits consist of salaries, bonuses, commissions, benefits and payroll taxes. Compensation is accrued over the related service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Equity-Based Compensation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19" w:name="page120"/>
    <w:bookmarkEnd w:id="119"/>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benefits and deficiencies as income tax benefits or expenses in the Consolidated Statement of Operations.</w:t>
      </w:r>
    </w:p>
    <w:p>
      <w:pPr>
        <w:spacing w:after="0" w:line="143" w:lineRule="exact"/>
        <w:rPr>
          <w:sz w:val="20"/>
          <w:szCs w:val="20"/>
          <w:color w:val="auto"/>
        </w:rPr>
      </w:pPr>
    </w:p>
    <w:p>
      <w:pPr>
        <w:ind w:left="380" w:hanging="373"/>
        <w:spacing w:after="0"/>
        <w:tabs>
          <w:tab w:leader="none" w:pos="380" w:val="left"/>
        </w:tabs>
        <w:numPr>
          <w:ilvl w:val="0"/>
          <w:numId w:val="7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Foreign Currency and Transactions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that the Company intends to repay in the foreseeable future are recorded in net income.</w:t>
      </w:r>
    </w:p>
    <w:p>
      <w:pPr>
        <w:spacing w:after="0" w:line="1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(m)</w:t>
      </w:r>
      <w:r>
        <w:rPr>
          <w:sz w:val="20"/>
          <w:szCs w:val="20"/>
          <w:color w:val="auto"/>
        </w:rPr>
        <w:tab/>
      </w:r>
      <w:r>
        <w:rPr>
          <w:rFonts w:ascii="Times New Roman" w:cs="Times New Roman" w:eastAsia="Times New Roman" w:hAnsi="Times New Roman"/>
          <w:sz w:val="14"/>
          <w:szCs w:val="14"/>
          <w:b w:val="1"/>
          <w:bCs w:val="1"/>
          <w:i w:val="1"/>
          <w:iCs w:val="1"/>
          <w:color w:val="auto"/>
        </w:rPr>
        <w:t>Income Taxes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income taxes under the asset and liability method in accordance with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Consolidated Statement of Operations in the period that includes the enactment date. Valuation allowances are established when necessary to reduce deferred tax assets to an amount that, in the opinion of management, is more likely than not to not be realized, meaning the likelihood of realization is less than 50%.</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10" w:lineRule="exact"/>
        <w:rPr>
          <w:sz w:val="20"/>
          <w:szCs w:val="20"/>
          <w:color w:val="auto"/>
        </w:rPr>
      </w:pPr>
    </w:p>
    <w:p>
      <w:pPr>
        <w:ind w:left="380" w:hanging="373"/>
        <w:spacing w:after="0"/>
        <w:tabs>
          <w:tab w:leader="none" w:pos="380" w:val="left"/>
        </w:tabs>
        <w:numPr>
          <w:ilvl w:val="0"/>
          <w:numId w:val="7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Other Assets, Net and Other Liabilities, Net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Other assets, net include prepaid expenses, miscellaneous receivables, current income taxes receivable, fixed assets, and software licenses. The Company amortizes assets over their respective useful lives, as applicable.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Other liabilities, net include the AlTi Wealth Management (Switzerland) SA, formerly known as Alvarium Investment Managers (Suisse) SA, (“AWMS”) deferred cash consideration (see Note 3 (Business Combinations and Divestitures)), Pointwise Partners Limited (“PW”) deferred consideration, accrued payroll and payroll related taxes, accrued legal fees, and corporate taxes payable, among other miscellaneous payables.</w:t>
      </w:r>
    </w:p>
    <w:p>
      <w:pPr>
        <w:spacing w:after="0" w:line="109" w:lineRule="exact"/>
        <w:rPr>
          <w:sz w:val="20"/>
          <w:szCs w:val="20"/>
          <w:color w:val="auto"/>
        </w:rPr>
      </w:pPr>
    </w:p>
    <w:p>
      <w:pPr>
        <w:ind w:left="380" w:hanging="373"/>
        <w:spacing w:after="0"/>
        <w:tabs>
          <w:tab w:leader="none" w:pos="380"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Investments</w:t>
      </w:r>
    </w:p>
    <w:p>
      <w:pPr>
        <w:spacing w:after="0" w:line="1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Investments in Debt Securities. </w:t>
      </w:r>
      <w:r>
        <w:rPr>
          <w:rFonts w:ascii="Times New Roman" w:cs="Times New Roman" w:eastAsia="Times New Roman" w:hAnsi="Times New Roman"/>
          <w:sz w:val="16"/>
          <w:szCs w:val="16"/>
          <w:color w:val="auto"/>
        </w:rPr>
        <w:t>The Company classifies debt investments as held-to-maturity or trading based on the Company’s intent and ability to hold the debt security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or its intent to sell the security. The Company does not have any held-to-maturity debt investments.</w:t>
      </w:r>
    </w:p>
    <w:p>
      <w:pPr>
        <w:spacing w:after="0" w:line="1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Trading securities are those investments that are purchased principally for the purpose of selling them in the near term. Trading securities are carried at fair value on the Consolidated Statement of Financial</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0" w:name="page121"/>
    <w:bookmarkEnd w:id="120"/>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Position with changes in fair value recorded in Loss on investments on the Consolidated Statement of Operations.</w:t>
      </w:r>
    </w:p>
    <w:p>
      <w:pPr>
        <w:spacing w:after="0" w:line="1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Investments in Equity Securities</w:t>
      </w:r>
      <w:r>
        <w:rPr>
          <w:rFonts w:ascii="Times New Roman" w:cs="Times New Roman" w:eastAsia="Times New Roman" w:hAnsi="Times New Roman"/>
          <w:sz w:val="16"/>
          <w:szCs w:val="16"/>
          <w:color w:val="auto"/>
        </w:rPr>
        <w:t>. Equity securities are generally carried at fair value on the Consolidated Statement of Financial Position in accordance with ASC 321,</w:t>
      </w:r>
      <w:r>
        <w:rPr>
          <w:rFonts w:ascii="Times New Roman" w:cs="Times New Roman" w:eastAsia="Times New Roman" w:hAnsi="Times New Roman"/>
          <w:sz w:val="16"/>
          <w:szCs w:val="16"/>
          <w:i w:val="1"/>
          <w:iCs w:val="1"/>
          <w:color w:val="auto"/>
        </w:rPr>
        <w:t xml:space="preserve"> Investments – Equity Securities</w:t>
      </w:r>
      <w:r>
        <w:rPr>
          <w:rFonts w:ascii="Times New Roman" w:cs="Times New Roman" w:eastAsia="Times New Roman" w:hAnsi="Times New Roman"/>
          <w:sz w:val="16"/>
          <w:szCs w:val="16"/>
          <w:color w:val="auto"/>
        </w:rPr>
        <w:t>. Changes in fair value are recorded in Loss on investments on the Consolidated Statement of Operations.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i w:val="1"/>
          <w:iCs w:val="1"/>
          <w:color w:val="auto"/>
        </w:rPr>
        <w:t>Equity Method</w:t>
      </w:r>
      <w:r>
        <w:rPr>
          <w:rFonts w:ascii="Times New Roman" w:cs="Times New Roman" w:eastAsia="Times New Roman" w:hAnsi="Times New Roman"/>
          <w:sz w:val="16"/>
          <w:szCs w:val="16"/>
          <w:color w:val="auto"/>
        </w:rPr>
        <w:t>. The Company applies the equity method of accounting for equity investments where the Company does not consolidate the investee but can exert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spacing w:after="0" w:line="109" w:lineRule="exact"/>
        <w:rPr>
          <w:sz w:val="20"/>
          <w:szCs w:val="20"/>
          <w:color w:val="auto"/>
        </w:rPr>
      </w:pPr>
    </w:p>
    <w:p>
      <w:pPr>
        <w:ind w:left="380" w:hanging="373"/>
        <w:spacing w:after="0"/>
        <w:tabs>
          <w:tab w:leader="none" w:pos="380" w:val="left"/>
        </w:tabs>
        <w:numPr>
          <w:ilvl w:val="0"/>
          <w:numId w:val="7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Leases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and recognizes a lease liability and right-of-use asset in the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w:t>
      </w:r>
    </w:p>
    <w:p>
      <w:pPr>
        <w:spacing w:after="0" w:line="200" w:lineRule="exact"/>
        <w:rPr>
          <w:sz w:val="20"/>
          <w:szCs w:val="20"/>
          <w:color w:val="auto"/>
        </w:rPr>
      </w:pPr>
    </w:p>
    <w:p>
      <w:pPr>
        <w:spacing w:after="0" w:line="3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3" w:right="319" w:bottom="1440" w:gutter="0" w:footer="0" w:header="0"/>
        </w:sectPr>
      </w:pPr>
    </w:p>
    <w:bookmarkStart w:id="121" w:name="page122"/>
    <w:bookmarkEnd w:id="121"/>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16" w:lineRule="exact"/>
        <w:rPr>
          <w:sz w:val="20"/>
          <w:szCs w:val="20"/>
          <w:color w:val="auto"/>
        </w:rPr>
      </w:pPr>
    </w:p>
    <w:p>
      <w:pPr>
        <w:ind w:left="380" w:hanging="373"/>
        <w:spacing w:after="0"/>
        <w:tabs>
          <w:tab w:leader="none" w:pos="380"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Intangible Assets Other Than Goodwill, Net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recognized certain finite-lived intangible assets as a result of the Business Combination. The Company’s finite-lived intangible assets consist of Customer Relationships, Trade Names, Investment Management Agreements, Internally Developed Software and Backlog. Finite-lived intangible assets are amortized on a straight-line basis over their estimated useful lives.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See Note 11 (Intangible Assets, net) for details on impairments.</w:t>
      </w:r>
    </w:p>
    <w:p>
      <w:pPr>
        <w:spacing w:after="0" w:line="146" w:lineRule="exact"/>
        <w:rPr>
          <w:sz w:val="20"/>
          <w:szCs w:val="20"/>
          <w:color w:val="auto"/>
        </w:rPr>
      </w:pPr>
    </w:p>
    <w:p>
      <w:pPr>
        <w:ind w:left="380" w:hanging="373"/>
        <w:spacing w:after="0"/>
        <w:tabs>
          <w:tab w:leader="none" w:pos="380" w:val="left"/>
        </w:tabs>
        <w:numPr>
          <w:ilvl w:val="0"/>
          <w:numId w:val="7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b w:val="1"/>
          <w:bCs w:val="1"/>
          <w:i w:val="1"/>
          <w:iCs w:val="1"/>
          <w:color w:val="auto"/>
        </w:rPr>
        <w:t>Goodwill</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Goodwill represents the excess of the purchase price in a business combination over the fair value of the tangible and intangible assets acquired and the liabilities assumed. Under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goodwill is not amortized, but rather is subject to an annual impairment test. Goodwill represents the excess of consideration over identifiable net assets of an acquired business.</w:t>
      </w:r>
    </w:p>
    <w:p>
      <w:pPr>
        <w:spacing w:after="0" w:line="200" w:lineRule="exact"/>
        <w:rPr>
          <w:sz w:val="20"/>
          <w:szCs w:val="20"/>
          <w:color w:val="auto"/>
        </w:rPr>
      </w:pPr>
    </w:p>
    <w:p>
      <w:pPr>
        <w:spacing w:after="0" w:line="2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2" w:name="page123"/>
    <w:bookmarkEnd w:id="122"/>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Goodwill is allocated at a reporting unit level. The Company has two reporting units, Wealth &amp; Capital Solutions and International Real Estate, and tests goodwill annually for impairment at each reporting unit.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See Note 14 (Goodwill, net) for details on impairments.</w:t>
      </w:r>
    </w:p>
    <w:p>
      <w:pPr>
        <w:spacing w:after="0" w:line="120" w:lineRule="exact"/>
        <w:rPr>
          <w:sz w:val="20"/>
          <w:szCs w:val="20"/>
          <w:color w:val="auto"/>
        </w:rPr>
      </w:pPr>
    </w:p>
    <w:p>
      <w:pPr>
        <w:ind w:left="380" w:hanging="373"/>
        <w:spacing w:after="0"/>
        <w:tabs>
          <w:tab w:leader="none" w:pos="380"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Fixed Assets, Net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Fixed assets are recorded at cost, less accumulated depreciation and amortization, and are included in the “Other assets” line item in the Company’s Consolidated Statement of Financial Position. Fixed assets are depreciated or amortized on a straight-line basis, with the corresponding depreciation and amortization expense included within general, administrative and other expenses in the Company’s Consolidated Statement of Operations. The estimated useful life for leasehold improvements is the lesser of the remaining lease term and the life of the asset, while other fixed assets are generally depreciated over a period of one to ten years. Fixed assets are reviewed for impairment whenever events or changes in circumstances indicate that the carrying amount of an asset may not be recoverable.</w:t>
      </w:r>
    </w:p>
    <w:p>
      <w:pPr>
        <w:spacing w:after="0" w:line="119" w:lineRule="exact"/>
        <w:rPr>
          <w:sz w:val="20"/>
          <w:szCs w:val="20"/>
          <w:color w:val="auto"/>
        </w:rPr>
      </w:pPr>
    </w:p>
    <w:p>
      <w:pPr>
        <w:ind w:left="380" w:hanging="373"/>
        <w:spacing w:after="0"/>
        <w:tabs>
          <w:tab w:leader="none" w:pos="380" w:val="left"/>
        </w:tabs>
        <w:numPr>
          <w:ilvl w:val="0"/>
          <w:numId w:val="7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Debt Obligations, Net</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Company’s debt obligations are recorded at amortized cost, net of any debt issuance costs, discounts and premiums. Debt issuance costs are deferred and along with discounts and premiums are amortized to interest expense in the Consolidated Statement of Operations over the life of the related debt instrument using the effective interest method. Unamortized debt issuance costs, discounts and premiums are written off to net losses on retirement of debt in the Consolidated Statement of Operations when the Company prepays borrowings prior to maturity.</w:t>
      </w:r>
    </w:p>
    <w:p>
      <w:pPr>
        <w:spacing w:after="0" w:line="116" w:lineRule="exact"/>
        <w:rPr>
          <w:sz w:val="20"/>
          <w:szCs w:val="20"/>
          <w:color w:val="auto"/>
        </w:rPr>
      </w:pPr>
    </w:p>
    <w:p>
      <w:pPr>
        <w:ind w:left="380" w:hanging="373"/>
        <w:spacing w:after="0"/>
        <w:tabs>
          <w:tab w:leader="none" w:pos="380"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Consolidated Statement of Operations. Future exchanges of Class B Units for shares of Class A Common Stock may increase the TRA liability. Those increases will be carried at a value equal to the expected future payments due under the TRA. See Note 20 (Commitments and Contingencies) for a detailed discussion on TRA exchanges. For future changes in the TRA balance due to exchanges, the Company will record an initial estimate of future payments under the TRA portion as an adjustment to Additional paid-in capital in the Consolidated Statement of Financial Position. Subsequent adjustments to the liability for future payments under the TRA related to changes in estimated future tax rates or state income tax apportionment are recognized through current period earnings in the Consolidated Statement of Operations.</w:t>
      </w:r>
    </w:p>
    <w:p>
      <w:pPr>
        <w:spacing w:after="0" w:line="98" w:lineRule="exact"/>
        <w:rPr>
          <w:sz w:val="20"/>
          <w:szCs w:val="20"/>
          <w:color w:val="auto"/>
        </w:rPr>
      </w:pPr>
    </w:p>
    <w:p>
      <w:pPr>
        <w:ind w:left="380" w:hanging="373"/>
        <w:spacing w:after="0"/>
        <w:tabs>
          <w:tab w:leader="none" w:pos="380" w:val="left"/>
        </w:tabs>
        <w:numPr>
          <w:ilvl w:val="0"/>
          <w:numId w:val="8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Warrant Liabilities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The Company evaluated the Warrants issued in connection with the Business Combination in accordance with ASC 815-40, </w:t>
      </w:r>
      <w:r>
        <w:rPr>
          <w:rFonts w:ascii="Times New Roman" w:cs="Times New Roman" w:eastAsia="Times New Roman" w:hAnsi="Times New Roman"/>
          <w:sz w:val="16"/>
          <w:szCs w:val="16"/>
          <w:i w:val="1"/>
          <w:iCs w:val="1"/>
          <w:color w:val="auto"/>
        </w:rPr>
        <w:t>Contracts in an Entity’s Own Equity</w:t>
      </w:r>
      <w:r>
        <w:rPr>
          <w:rFonts w:ascii="Times New Roman" w:cs="Times New Roman" w:eastAsia="Times New Roman" w:hAnsi="Times New Roman"/>
          <w:sz w:val="16"/>
          <w:szCs w:val="16"/>
          <w:color w:val="auto"/>
        </w:rPr>
        <w:t>,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w:t>
      </w:r>
    </w:p>
    <w:p>
      <w:pPr>
        <w:spacing w:after="0" w:line="200" w:lineRule="exact"/>
        <w:rPr>
          <w:sz w:val="20"/>
          <w:szCs w:val="20"/>
          <w:color w:val="auto"/>
        </w:rPr>
      </w:pP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3" w:name="page124"/>
    <w:bookmarkEnd w:id="123"/>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 xml:space="preserve">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Loss on warrant liability in the Consolidated Statement of Operations in the period of change. Prior to the Business Combination the Sponsor held private warrants that were contributed to the Company and legally cancelled. The contribution and cancellation of these warrants resulted in derecognition of the private warrants and accounted for in Additional paid-in capital as of January 1, 2023. The Company subsequently issued new warrants with terms identical to those of the public warrants to the Target Companies’ selling shareholders classified as derivative liabilities. See Note 1 (Description of the Business) and Note 15 (Debt, net of unamortized deferred financing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detail on warrant transactions entered into by the Company.</w:t>
      </w:r>
    </w:p>
    <w:p>
      <w:pPr>
        <w:spacing w:after="0" w:line="128" w:lineRule="exact"/>
        <w:rPr>
          <w:sz w:val="20"/>
          <w:szCs w:val="20"/>
          <w:color w:val="auto"/>
        </w:rPr>
      </w:pPr>
    </w:p>
    <w:p>
      <w:pPr>
        <w:ind w:left="380" w:hanging="373"/>
        <w:spacing w:after="0"/>
        <w:tabs>
          <w:tab w:leader="none" w:pos="380" w:val="left"/>
        </w:tabs>
        <w:numPr>
          <w:ilvl w:val="0"/>
          <w:numId w:val="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Earn-out Liabilities, at Fair Value</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Earn-out liabilities, at fair value, represents contingent consideration payable related to the Business Combination and various acquisitions by the Company. Changes in fair value are recognized in Gain (loss) on earnout liabilities in the Consolidated Statement of Operations and in Fair value (gain) loss on earnout liability in the Consolidated Statement of Cash Flows in the period of change. See Note 3 (Business Combinations and Divestitures) and Note 20 (Commitments and Contingencies) for further information.</w:t>
      </w:r>
    </w:p>
    <w:p>
      <w:pPr>
        <w:spacing w:after="0" w:line="116" w:lineRule="exact"/>
        <w:rPr>
          <w:sz w:val="20"/>
          <w:szCs w:val="20"/>
          <w:color w:val="auto"/>
        </w:rPr>
      </w:pPr>
    </w:p>
    <w:p>
      <w:pPr>
        <w:ind w:left="380" w:hanging="373"/>
        <w:spacing w:after="0"/>
        <w:tabs>
          <w:tab w:leader="none" w:pos="380" w:val="left"/>
        </w:tabs>
        <w:numPr>
          <w:ilvl w:val="0"/>
          <w:numId w:val="8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Preferred Stock Tranche Liability, at Fair Value</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Preferred stock tranche liability, at fair value, represents the right, but not the obligation, of Allianz to purchase up to 50,000 additional shares of Series A Preferred Stock up to an aggregate amount equal to $50 million. Changes in fair value are recognized in Gain (loss) on on preferred stock tranche liability in the Consolidated Statement of Operations in the period of change. See Note 1 (Description of the Business), Note 7 (Fair Value Disclosures), and Note 15 (Debt, net of unamortized deferred financing cost) for additional detail related to the Preferred stock tranche liability.</w:t>
      </w:r>
    </w:p>
    <w:p>
      <w:pPr>
        <w:spacing w:after="0" w:line="116" w:lineRule="exact"/>
        <w:rPr>
          <w:sz w:val="20"/>
          <w:szCs w:val="20"/>
          <w:color w:val="auto"/>
        </w:rPr>
      </w:pPr>
    </w:p>
    <w:p>
      <w:pPr>
        <w:ind w:left="380" w:hanging="373"/>
        <w:spacing w:after="0"/>
        <w:tabs>
          <w:tab w:leader="none" w:pos="380" w:val="left"/>
        </w:tabs>
        <w:numPr>
          <w:ilvl w:val="0"/>
          <w:numId w:val="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Equity-Classified Warrants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 xml:space="preserve">In connection with the Allianz and Constellation Transactions, the Company issued warrants to purchase shares of the Company’s Class A Common Stock. The Company evaluated the Allianz and Constellation Warrants in accordance with ASC 815-40, </w:t>
      </w:r>
      <w:r>
        <w:rPr>
          <w:rFonts w:ascii="Times New Roman" w:cs="Times New Roman" w:eastAsia="Times New Roman" w:hAnsi="Times New Roman"/>
          <w:sz w:val="16"/>
          <w:szCs w:val="16"/>
          <w:i w:val="1"/>
          <w:iCs w:val="1"/>
          <w:color w:val="auto"/>
        </w:rPr>
        <w:t>Contracts in an Entity’s Own Equity</w:t>
      </w:r>
      <w:r>
        <w:rPr>
          <w:rFonts w:ascii="Times New Roman" w:cs="Times New Roman" w:eastAsia="Times New Roman" w:hAnsi="Times New Roman"/>
          <w:sz w:val="16"/>
          <w:szCs w:val="16"/>
          <w:color w:val="auto"/>
        </w:rPr>
        <w:t>, and determined that the warrants are derivatives that meet the fixed-for-fixed equity classification criteria. As such, the Allianz and Constellation Warrants are classified as a component of equity in the Consolidated Statement of Financial Position.</w:t>
      </w:r>
    </w:p>
    <w:p>
      <w:pPr>
        <w:spacing w:after="0" w:line="167" w:lineRule="exact"/>
        <w:rPr>
          <w:sz w:val="20"/>
          <w:szCs w:val="20"/>
          <w:color w:val="auto"/>
        </w:rPr>
      </w:pPr>
    </w:p>
    <w:p>
      <w:pPr>
        <w:ind w:left="380" w:hanging="373"/>
        <w:spacing w:after="0"/>
        <w:tabs>
          <w:tab w:leader="none" w:pos="380"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Prior to the Business Combination, TWMH entered into an agreement to purchase a remaining non-controlling interest in its consolidated subsidiary representing 51.1% of shares in TIH. This arrangement was agreed upon for consideration of $2.1 million in cash and $1.2 million in Class A Common Stock. On March 25, 2024, the TIH SPA was fully paid. As of December 31, 2023, the Delayed share purchase agreement liability was $1.8 million and the portion of the Delayed share purchase agreement reported in Accrued compensation and profit sharing was $0.3 million. The stock purchase price was recognized in the Consolidated Statement of Financial Condition as Additional paid-in capital. As of December 31, 2023, the portion of the delayed share purchase agreement reported in Additional paid-in capital was $1.2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(aa)  Non-controlling Interests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4" w:name="page125"/>
    <w:bookmarkEnd w:id="124"/>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Business Combination. The proportions of profit and loss and changes in equity allocated to the owners of the parent and to the non-controlling interests are determined on the basis of existing ownership interests.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  Derivative Financial Instruments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derivative financial instruments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which requires the Company to recognize all derivative instruments on the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In connection with the LXi disposal, the Company determined the contingent consideration meets the definition of a derivative and is recorded as Contingent consideration receivable on the Consolidated Statement of Financial Position as of December 31, 2024. The Contingent consideration receivable will be remeasured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the Consolidated Statement of Operations in the period of change.</w:t>
      </w:r>
    </w:p>
    <w:p>
      <w:pPr>
        <w:spacing w:after="0" w:line="1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(ac)</w:t>
      </w:r>
      <w:r>
        <w:rPr>
          <w:sz w:val="20"/>
          <w:szCs w:val="20"/>
          <w:color w:val="auto"/>
        </w:rPr>
        <w:tab/>
      </w:r>
      <w:r>
        <w:rPr>
          <w:rFonts w:ascii="Times New Roman" w:cs="Times New Roman" w:eastAsia="Times New Roman" w:hAnsi="Times New Roman"/>
          <w:sz w:val="14"/>
          <w:szCs w:val="14"/>
          <w:b w:val="1"/>
          <w:bCs w:val="1"/>
          <w:i w:val="1"/>
          <w:iCs w:val="1"/>
          <w:color w:val="auto"/>
        </w:rPr>
        <w:t>Segment Reporting</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business is organized into two operating segments: Wealth &amp; Capital Solutions and International Real Estate. As of the third quarter ended September 30, 2024, the Company changed the composition of its reportable segments and recast prior period amounts to conform to the Company’s current period segment information. Segment information is utilized by the Company’s chief operating decision maker, which is our Chief Executive Officer, to assess performance and to allocate resources. See Note 1 (Description of the Business) and Note 18 (Segment Reporting) for further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  Interest Income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Interest income is earned on the Company’s cash balances, money market accounts, or through its investments in exchange-traded notes. These generally include debt securities held on a short- or medium-term basis when the Company has excess cash. The Company recognizes and records interest income in Interest income in the Consolidated Statement of Operations.</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Dividend income is earned through investments in common stock, mutual funds, and exchange-traded funds. Dividend income is recorded on the date received and is included in Interest income in the Consolidated Statement of Operations.</w:t>
      </w:r>
    </w:p>
    <w:p>
      <w:pPr>
        <w:spacing w:after="0" w:line="16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(ae)</w:t>
      </w:r>
      <w:r>
        <w:rPr>
          <w:sz w:val="20"/>
          <w:szCs w:val="20"/>
          <w:color w:val="auto"/>
        </w:rPr>
        <w:tab/>
      </w:r>
      <w:r>
        <w:rPr>
          <w:rFonts w:ascii="Times New Roman" w:cs="Times New Roman" w:eastAsia="Times New Roman" w:hAnsi="Times New Roman"/>
          <w:sz w:val="14"/>
          <w:szCs w:val="14"/>
          <w:b w:val="1"/>
          <w:bCs w:val="1"/>
          <w:i w:val="1"/>
          <w:iCs w:val="1"/>
          <w:color w:val="auto"/>
        </w:rPr>
        <w:t>Interest Expense</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Consolidated Statement of Operations.</w:t>
      </w:r>
    </w:p>
    <w:p>
      <w:pPr>
        <w:spacing w:after="0" w:line="16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(af)</w:t>
      </w:r>
      <w:r>
        <w:rPr>
          <w:sz w:val="20"/>
          <w:szCs w:val="20"/>
          <w:color w:val="auto"/>
        </w:rPr>
        <w:tab/>
      </w:r>
      <w:r>
        <w:rPr>
          <w:rFonts w:ascii="Times New Roman" w:cs="Times New Roman" w:eastAsia="Times New Roman" w:hAnsi="Times New Roman"/>
          <w:sz w:val="14"/>
          <w:szCs w:val="14"/>
          <w:b w:val="1"/>
          <w:bCs w:val="1"/>
          <w:i w:val="1"/>
          <w:iCs w:val="1"/>
          <w:color w:val="auto"/>
        </w:rPr>
        <w:t>Other Income and Expenses</w:t>
      </w:r>
    </w:p>
    <w:p>
      <w:pPr>
        <w:spacing w:after="0" w:line="189" w:lineRule="exact"/>
        <w:rPr>
          <w:sz w:val="20"/>
          <w:szCs w:val="20"/>
          <w:color w:val="auto"/>
        </w:rPr>
      </w:pPr>
    </w:p>
    <w:p>
      <w:pPr>
        <w:jc w:val="both"/>
        <w:ind w:firstLine="66"/>
        <w:spacing w:after="0" w:line="273" w:lineRule="auto"/>
        <w:rPr>
          <w:sz w:val="20"/>
          <w:szCs w:val="20"/>
          <w:color w:val="auto"/>
        </w:rPr>
      </w:pPr>
      <w:r>
        <w:rPr>
          <w:rFonts w:ascii="Times New Roman" w:cs="Times New Roman" w:eastAsia="Times New Roman" w:hAnsi="Times New Roman"/>
          <w:sz w:val="16"/>
          <w:szCs w:val="16"/>
          <w:color w:val="auto"/>
        </w:rPr>
        <w:t>Other than Interest income and Interest expense discussed above, other income and expenses include unrealized gains (losses) on investments, income from equity method investees, and other items.</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holds investments in common stock, mutual funds, exchange-traded funds, and exchange-traded notes, which represent investments in equity and debt securities. The Company earns realized and</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5" w:name="page126"/>
    <w:bookmarkEnd w:id="125"/>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296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unrealized gains and losses which depend on investment performance. Changes in fair value of these investments are recorded in Gain (loss) on investments in the Consolidated Statement of Operations.</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Gain (loss) on investments in the Consolidated Statement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  Held for Sale Accounting</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In circumstances when the Company is evaluating its components, we may establish plans that require us to evaluate whether a component qualifies for held-for-sale accounting under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the cost to sell. Any long-lived assets shall not be depreciated or amortized while classified as held for sale. Assets and liabilities of FOS and LRA are presented as held for sale on our Consolidated Statement of Financial Position as of December 31, 2023. See Note 3 (Business Combinations and Divestitures) for further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(ah)  Recent Accounting Pronouncements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ASU 2023-07, Segment Reporting (Topic 280) - Improvements to Reportable Segment Disclosures. The amendments in this update improve reportable segment disclosure requirements, primarily through enhanced disclosures about significant segment expenses. The amendments are effective for fiscal years beginning after December 15, 2023, and interim periods within fiscal years beginning after December 15, 2024, with early adoption permitted. The Company has incorporated the requirements of this guidance into its consolidated financial statements.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 Improvements to Income Tax Disclosures.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are effective for annual periods beginning after December 15, 2024, with early adoption permitted. The Company does not expect the impact of this guidance to be material to its consolidated financial statements.</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its overall clarity and operability without changing the guidance. The amendments are effective for annual periods beginning after December 15, 2024, and interim periods within annual periods beginning after December 15, 2025, with early adoption permitted. The Company does not expect the impact of this guidance to be material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80"/>
        <w:spacing w:after="0" w:line="300"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at each interim and annual reporting period. The amendments are effective for annual periods beginning after December 15, 2026, and reporting periods within annual reporting periods beginning after December 15, 2027, with early adoption permitted. The Company does not expect the impact of this guidance to be material to its consolidated financial statements.</w:t>
      </w:r>
    </w:p>
    <w:p>
      <w:pPr>
        <w:spacing w:after="0" w:line="12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6"/>
          <w:szCs w:val="16"/>
          <w:color w:val="auto"/>
        </w:rPr>
        <w:t>The Company has considered all newly issued accounting guidance that is applicable to its operations and the preparation of its audited consolidated statements, including those it has not yet adopted. ASUs not listed above were assessed and either determined to be not applicable or expected to have minimal impact on the Company’s consolidated financial statements.</w:t>
      </w:r>
    </w:p>
    <w:p>
      <w:pPr>
        <w:spacing w:after="0" w:line="215" w:lineRule="exact"/>
        <w:rPr>
          <w:sz w:val="20"/>
          <w:szCs w:val="20"/>
          <w:color w:val="auto"/>
        </w:rPr>
      </w:pPr>
    </w:p>
    <w:p>
      <w:pPr>
        <w:ind w:left="380" w:hanging="375"/>
        <w:spacing w:after="0"/>
        <w:tabs>
          <w:tab w:leader="none" w:pos="38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 and Divestitures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AlTi Global Business Combination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The Business Combination was a forward merger and is accounted for using the acquisition method of accounting. The Company was the accounting acquirer and Umbrella, including the Target Companies, was the accounting acquiree. The Company was determined to be the accounting acquirer because Umbrella met the definition of a VIE, and the Company was the primary beneficiary of Umbrella.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Business Combination met the requirements to be considered a business combination under ASC 805. The assets and liabilities acquired from the Target Companies, affected for adjustments to reflect fair market values assigned to assets purchased and liabilities assumed, and results of operations, are included in the Company’s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Consolidated Statement of Financial Position.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Consolidated Statement of Operations.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Each Class B Unit of Umbrella is paired with a share of Class B Common Stock (collectively, the “Paired Interests”). Pursuant to the Umbrella LLC Agreement, a Paired Interest is exchangeable at any time after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lock-up period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Company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Sponsor, in connection with the initial public offering prior to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is presented “on the line” and is not reflected in the financial statements presented. “On the line” describes those expenses triggered by the consummation of a business combination that are not recognized in the Consolidated Statement of Operations as they are not directly attributable to either period but instead were contingent on the Business Combination.</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As part of the Business Combination during the year ended December 31, 2023, the Company incurred $17.8 million of acquisition-related costs which are included predominantly in the “Professional fees” line in the Consolidated Statement of Operations.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Consolidated Statement of Financial Position. $2.8 million of the debt issuance costs related to the undrawn amount of the Revolver were recorded in the “Other assets” line item of the Consolidated Statement of Financial Position.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Since this liability meets the definition of a derivative, it is recorded at fair value as a derivative liability in Earn-out liabilities, at fair value on the Consolidated Statement of Financial Position and measured at fair value at the acquisition date and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with changes in fair value to be recognized in Gain (loss) on earnout liabilities in the Consolidated Statement of Operations and in Fair value (gain) loss on earnout liability in the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Statement</w:t>
            </w: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Flows</w:t>
            </w:r>
          </w:p>
        </w:tc>
        <w:tc>
          <w:tcPr>
            <w:tcW w:w="12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in</w:t>
            </w:r>
          </w:p>
        </w:tc>
        <w:tc>
          <w:tcPr>
            <w:tcW w:w="1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the</w:t>
            </w:r>
          </w:p>
        </w:tc>
        <w:tc>
          <w:tcPr>
            <w:tcW w:w="1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period</w:t>
            </w: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of</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1"/>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8"/>
        </w:trPr>
        <w:tc>
          <w:tcPr>
            <w:tcW w:w="1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1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w:t>
            </w:r>
          </w:p>
        </w:tc>
        <w:tc>
          <w:tcPr>
            <w:tcW w:w="0" w:type="dxa"/>
            <w:vAlign w:val="bottom"/>
          </w:tcPr>
          <w:p>
            <w:pPr>
              <w:spacing w:after="0"/>
              <w:rPr>
                <w:sz w:val="1"/>
                <w:szCs w:val="1"/>
                <w:color w:val="auto"/>
              </w:rPr>
            </w:pPr>
          </w:p>
        </w:tc>
      </w:tr>
      <w:tr>
        <w:trPr>
          <w:trHeight w:val="205"/>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1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294,159</w:t>
            </w:r>
          </w:p>
        </w:tc>
        <w:tc>
          <w:tcPr>
            <w:tcW w:w="0" w:type="dxa"/>
            <w:vAlign w:val="bottom"/>
          </w:tcPr>
          <w:p>
            <w:pPr>
              <w:spacing w:after="0"/>
              <w:rPr>
                <w:sz w:val="1"/>
                <w:szCs w:val="1"/>
                <w:color w:val="auto"/>
              </w:rPr>
            </w:pPr>
          </w:p>
        </w:tc>
      </w:tr>
      <w:tr>
        <w:trPr>
          <w:trHeight w:val="205"/>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573,205</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05"/>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85,097</w:t>
            </w:r>
          </w:p>
        </w:tc>
        <w:tc>
          <w:tcPr>
            <w:tcW w:w="0" w:type="dxa"/>
            <w:vAlign w:val="bottom"/>
          </w:tcPr>
          <w:p>
            <w:pPr>
              <w:spacing w:after="0"/>
              <w:rPr>
                <w:sz w:val="1"/>
                <w:szCs w:val="1"/>
                <w:color w:val="auto"/>
              </w:rPr>
            </w:pPr>
          </w:p>
        </w:tc>
      </w:tr>
      <w:tr>
        <w:trPr>
          <w:trHeight w:val="28"/>
        </w:trPr>
        <w:tc>
          <w:tcPr>
            <w:tcW w:w="28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 Agreement</w:t>
            </w:r>
          </w:p>
        </w:tc>
        <w:tc>
          <w:tcPr>
            <w:tcW w:w="9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0" w:type="dxa"/>
            <w:vAlign w:val="bottom"/>
          </w:tcPr>
          <w:p>
            <w:pPr>
              <w:spacing w:after="0"/>
              <w:rPr>
                <w:sz w:val="1"/>
                <w:szCs w:val="1"/>
                <w:color w:val="auto"/>
              </w:rPr>
            </w:pPr>
          </w:p>
        </w:tc>
      </w:tr>
      <w:tr>
        <w:trPr>
          <w:trHeight w:val="205"/>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8"/>
        </w:trPr>
        <w:tc>
          <w:tcPr>
            <w:tcW w:w="28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Total purchase consideration transferred</w:t>
            </w:r>
          </w:p>
        </w:tc>
        <w:tc>
          <w:tcPr>
            <w:tcW w:w="9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1,071,116</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522"/>
              <w:spacing w:after="0"/>
              <w:rPr>
                <w:sz w:val="20"/>
                <w:szCs w:val="20"/>
                <w:color w:val="auto"/>
              </w:rPr>
            </w:pPr>
            <w:r>
              <w:rPr>
                <w:rFonts w:ascii="Times New Roman" w:cs="Times New Roman" w:eastAsia="Times New Roman" w:hAnsi="Times New Roman"/>
                <w:sz w:val="16"/>
                <w:szCs w:val="16"/>
                <w:color w:val="auto"/>
              </w:rPr>
              <w:t>127</w:t>
            </w:r>
          </w:p>
        </w:tc>
        <w:tc>
          <w:tcPr>
            <w:tcW w:w="1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Business Combination: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191"/>
        </w:trPr>
        <w:tc>
          <w:tcPr>
            <w:tcW w:w="9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Combination</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7"/>
                <w:szCs w:val="17"/>
                <w:color w:val="auto"/>
              </w:rPr>
            </w:pPr>
          </w:p>
        </w:tc>
        <w:tc>
          <w:tcPr>
            <w:tcW w:w="14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148,674</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42,185</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520,161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530,546</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r>
      <w:tr>
        <w:trPr>
          <w:trHeight w:val="196"/>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1,387,704</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profit sharing</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member distributions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share purchase agreement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 consideration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34,640</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15,149</w:t>
            </w:r>
          </w:p>
        </w:tc>
      </w:tr>
      <w:tr>
        <w:trPr>
          <w:trHeight w:val="196"/>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316,582</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1,071,122</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in subsidiaries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97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1,071,116</w:t>
            </w:r>
          </w:p>
        </w:tc>
      </w:tr>
      <w:tr>
        <w:trPr>
          <w:trHeight w:val="28"/>
        </w:trPr>
        <w:tc>
          <w:tcPr>
            <w:tcW w:w="9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accordance with ASC 805, the assets and liabilities were recorded at their respective fair values as of January 1,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spacing w:after="0" w:line="17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Goodwill is comprised of expected synergies for the combined operations and the assembled workforce acquired in the Business Combination, which does not qualify as a separately recognized intangible asset. Goodwill was initially allocated to the two reporting segments that existed at the time of the Business Combination. During the third quarter ended September 30, 2024, we changed the composition of our reporting and created two new segments — Wealth &amp; Capital Solutions and International Real Estate. The goodwill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allocated between Wealth &amp; Capital Solutions and International Real Estate as of December 31, 2024, is $377.8 million and $0.0 million,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Business Combination (in thousands):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47"/>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100" w:type="dxa"/>
            <w:vAlign w:val="bottom"/>
          </w:tcPr>
          <w:p>
            <w:pPr>
              <w:spacing w:after="0"/>
              <w:rPr>
                <w:sz w:val="24"/>
                <w:szCs w:val="24"/>
                <w:color w:val="auto"/>
              </w:rPr>
            </w:pPr>
          </w:p>
        </w:tc>
        <w:tc>
          <w:tcPr>
            <w:tcW w:w="15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Estimated Life</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7"/>
                <w:szCs w:val="17"/>
                <w:color w:val="auto"/>
              </w:rPr>
            </w:pPr>
          </w:p>
        </w:tc>
        <w:tc>
          <w:tcPr>
            <w:tcW w:w="14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5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(definite life)</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(indefinite life)</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acquired</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520,161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intangible assets acquired and subject to amortization have a weighted average useful life of 23.0 years. During the third quarter ended September 30, 2024, the carrying value of the indefinite lived intangible assets was reassessed in connection with the changes in the composition of our reporting segments which resulted in an impairment charge to reduce the carrying value of the indefinite lived intangible assets by $44.9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AlTi Wealth Management (Singapore) Pte Limited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April 6, 2023 (the “ALWP Acquisition Date”), the Company acquired all of the issued and outstanding ownership and membership interests of AlTi Wealth Management (Singapore) Pte Limited (“ALWP”) pursuant to the terms of the share purchase agreement between the Company and ALWP (the “ALWP Acquisition”). The primary purpose of the ALWP Acquisition is to acquire ALWP’s extensive business within Southeast Asia to further expand the Company’s global operations.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met the requirements to be considered a business combination under ASC 805. The assets and liabilities acquired from ALWP, affected for preliminary adjustments to reflect the fair market values assigned to assets purchased and liabilities assumed, and results of operations, are included in the Company’s consolidated financial statements from the ALWP Acquisition Date. The Company has allocated the purchase price to the tangible and identifiable intangible assets and liabilities assumed based on their estimated fair market values at the ALWP Acquisition Date as required under ASC 805.</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was accounted for using the acquisition method of accounting and the fair value of the total purchase consideration transferred was $15.5 million, with the total amount paid in cash. The Company will make second and third payments to the sellers of ALWP on the third and fifth anniversary of the ALWP Acquisition Date, respectively. Management has determined that these payments will be treated as future compensation expense in the Company’s Consolidated Statement of Operations. There is no contingent consideration as part of the ALWP Acquisition.</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Company incurred $0.4 million of direct acquisition-related expenses, which are recognized in the Professional fees line item of the Consolidated Statement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ALWP Acquisition: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21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ALWP Acquisition Date Fair</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21,346</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5,816</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15,530</w:t>
            </w:r>
          </w:p>
        </w:tc>
        <w:tc>
          <w:tcPr>
            <w:tcW w:w="0" w:type="dxa"/>
            <w:vAlign w:val="bottom"/>
          </w:tcPr>
          <w:p>
            <w:pPr>
              <w:spacing w:after="0"/>
              <w:rPr>
                <w:sz w:val="1"/>
                <w:szCs w:val="1"/>
                <w:color w:val="auto"/>
              </w:rPr>
            </w:pP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including employees acquired in a business combination. The total amount of goodwill arising in the transaction was allocated to the Company’s Wealth &amp; Capital Solutions segment. The components of goodwill do not qualify as a separately recognized intangible asset. The Company will test for impairment annually to determine changes in goodwill at the Wealth &amp; Capital Solutions reporting unit.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ALWP Acquisition:</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ALWP Acquisition Date Fair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40" w:type="dxa"/>
            <w:vAlign w:val="bottom"/>
            <w:tcBorders>
              <w:bottom w:val="single" w:sz="8" w:color="CCEEFF"/>
            </w:tcBorders>
            <w:shd w:val="clear" w:color="auto" w:fill="CCEEFF"/>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40" w:type="dxa"/>
            <w:vAlign w:val="bottom"/>
            <w:tcBorders>
              <w:top w:val="single" w:sz="8" w:color="auto"/>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12,300</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10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for the ALWP Acquisition have been included in the Company’s consolidated financial statements from the date of ALWP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AlTi Wealth Management (Switzerland) SA</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August 2, 2023, (the “AWMS Acquisition Date”), the Company acquired the remaining 70% of the issued and outstanding ownership and membership interests of AWMS, increasing its interest in AWMS from 30% to 100% (the “AWMS Acquisition”).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AWMS Acquisition met the requirements to be considered a business combination under ASC 805. The assets and liabilities acquired from AWMS, affected for preliminary adjustments to reflect the fair market values assigned to assets purchased and liabilities assumed, and results of operations, are included in the Company’s consolidated financial</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statements from the AWMS Acquisition Date. The Company has allocated the purchase price to the tangible and identifiable intangible assets and liabilities assumed based on their estimated fair market values at the AWMS Acquisition Date as required under ASC 805.</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AWMS Acquisition was accounted for using the acquisition method of accounting and the fair value of the total purchase consideration transferred was $16.8 million. The total purchase consideration transferred includes cash consideration, equity consideration, deferred cash consideration, earn-out consideration (“AWMS earn-out liability”), and the payment of assumed liabilities. Since the AWMS earn-out liability meets the definition of a derivative, it is recorded at fair value as a derivative liability in Earn-out liabilities, at fair value on the Consolidated Statement of Financial Position and measured at fair value at the acquisition date and at each reporting date in accordance with ASC 820,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Measurement</w:t>
      </w:r>
      <w:r>
        <w:rPr>
          <w:rFonts w:ascii="Times New Roman" w:cs="Times New Roman" w:eastAsia="Times New Roman" w:hAnsi="Times New Roman"/>
          <w:sz w:val="16"/>
          <w:szCs w:val="16"/>
          <w:color w:val="auto"/>
        </w:rPr>
        <w:t>, with changes in fair value to be recognized in Gain (loss) on earnout liabilities in the Consolidated Statement of Operations and in Fair value (gain) loss on earnout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in the Consolidated Statement of Cash Flows in the period of change. The total purchase consideration includes the following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32" w:name="page133"/>
    <w:bookmarkEnd w:id="132"/>
    <w:p>
      <w:pPr>
        <w:jc w:val="center"/>
        <w:ind w:left="296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154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Initial Cash consideration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47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cash consideration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47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19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AWMS Amount</w:t>
            </w:r>
          </w:p>
        </w:tc>
      </w:tr>
      <w:tr>
        <w:trPr>
          <w:trHeight w:val="28"/>
        </w:trPr>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6"/>
        </w:trPr>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w:t>
            </w:r>
          </w:p>
        </w:tc>
      </w:tr>
      <w:tr>
        <w:trPr>
          <w:trHeight w:val="233"/>
        </w:trPr>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33"/>
        </w:trPr>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w:t>
            </w:r>
          </w:p>
        </w:tc>
      </w:tr>
      <w:tr>
        <w:trPr>
          <w:trHeight w:val="233"/>
        </w:trPr>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33"/>
        </w:trPr>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8"/>
        </w:trPr>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6"/>
        </w:trPr>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16,754</w:t>
            </w:r>
          </w:p>
        </w:tc>
      </w:tr>
      <w:tr>
        <w:trPr>
          <w:trHeight w:val="28"/>
        </w:trPr>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20" w:space="720"/>
            <w:col w:w="2240"/>
          </w:cols>
          <w:pgMar w:left="300" w:top="204" w:right="319"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deferred cash consideration and the earn-out consideration were both paid during the year ended December 31, 2024.</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the AWMS Acquisition Date, as required by ASC 805, the Company’s existing 30% equity interest in AWMS, which was previously recognized as an equity method investment, was revalued to reflect the fair value at this date. The fair value of this existing equity method investment was $7.4 million, which was calculated as 30% of the fair value of AWMS total equity value (determined using the discounted cash flow method of the income approach, less debt), excluding the impact of any synergies or control premium that would be realized by a controlling interest. This change in fair value resulted in a gain of $1.9 million, which was recognized during the year ended December 31, 2023 in the Gain (loss) on investments line of the Consolidated Statement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$0.01 million in direct acquisition-related expenses, which are recognized in the Professional fees line item of the Consolidated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AWMS business combination: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21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AWMS Acquisition Date Fair</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27,961</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4,026</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23,935</w:t>
            </w:r>
          </w:p>
        </w:tc>
        <w:tc>
          <w:tcPr>
            <w:tcW w:w="0" w:type="dxa"/>
            <w:vAlign w:val="bottom"/>
          </w:tcPr>
          <w:p>
            <w:pPr>
              <w:spacing w:after="0"/>
              <w:rPr>
                <w:sz w:val="1"/>
                <w:szCs w:val="1"/>
                <w:color w:val="auto"/>
              </w:rPr>
            </w:pP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including employees acquired in a business combination. The total amount of goodwill arising in the transaction was allocated to the Company’s Wealth &amp; Capital Solutions segment. The components of goodwill do not qualify as a separately recognized intangible asset. The Company will test for impairment annually to determine changes in goodwill at the Wealth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firstLine="5"/>
        <w:spacing w:after="0" w:line="517" w:lineRule="auto"/>
        <w:tabs>
          <w:tab w:leader="none" w:pos="1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Solutions reporting unit. The Company will also test goodwill for impairment in other periods if an event occurs or circumstances change that may indicate impairment. Below is a summary of the intangible assets acquired in the AWMS business combination: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AWMS Acquisition Date Fair</w:t>
            </w:r>
          </w:p>
        </w:tc>
        <w:tc>
          <w:tcPr>
            <w:tcW w:w="100" w:type="dxa"/>
            <w:vAlign w:val="bottom"/>
          </w:tcPr>
          <w:p>
            <w:pPr>
              <w:spacing w:after="0"/>
              <w:rPr>
                <w:sz w:val="16"/>
                <w:szCs w:val="1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80" w:type="dxa"/>
            <w:vAlign w:val="bottom"/>
            <w:tcBorders>
              <w:top w:val="single" w:sz="8" w:color="auto"/>
              <w:bottom w:val="single" w:sz="8" w:color="auto"/>
            </w:tcBorders>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14 years.</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results of operations for the AWMS Acquisition have been included in the Company’s consolidated financial statements from the AWMS Acquisition Date. Prior to the AWMS Acquisition Date, the results of AWMS were included as a 30% held equity method investment.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East End Advisors, LLC</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April 3, 2024 (the “EEA Acquisition Date”), the Company acquired all of the issued and outstanding ownership and membership interests of East End Advisors, LLC (“East End Advisors”) pursuant to the terms of the purchase agreement between the Company and EEA Holding Company, LLC (the “EEA Acquisition”).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EEA Acquisition met the requirements to be considered a business combination under ASC 805. The assets and liabilities acquired from East End Advisors, affected for preliminary adjustments to reflect the fair market values assigned to assets purchased and liabilities assumed, and results of operations, are included in the Company’s consolidated financial statements from the EEA Acquisition Date. The Company has allocated the purchase price to the tangible and identifiable intangible assets and liabilities assumed based on their estimated fair market values at the EEA Acquisition Date as required under ASC 805.</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EEA Acquisition was accounted for using the acquisition method of accounting and the fair value of the total purchase consideration transferred was $93.1 million. Included in the total purchase consideration is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 date and recorded within the Earn-out liabilities, at fair value line item in the Consolidated Statement of Financial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7"/>
                <w:szCs w:val="17"/>
                <w:color w:val="auto"/>
              </w:rPr>
            </w:pPr>
          </w:p>
        </w:tc>
        <w:tc>
          <w:tcPr>
            <w:tcW w:w="1780" w:type="dxa"/>
            <w:vAlign w:val="bottom"/>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8"/>
        </w:trPr>
        <w:tc>
          <w:tcPr>
            <w:tcW w:w="9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460" w:type="dxa"/>
            <w:vAlign w:val="bottom"/>
            <w:tcBorders>
              <w:bottom w:val="single" w:sz="8" w:color="CCEEFF"/>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69,013</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installments</w:t>
            </w:r>
          </w:p>
        </w:tc>
        <w:tc>
          <w:tcPr>
            <w:tcW w:w="4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r>
      <w:tr>
        <w:trPr>
          <w:trHeight w:val="28"/>
        </w:trPr>
        <w:tc>
          <w:tcPr>
            <w:tcW w:w="9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4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93,114</w:t>
            </w:r>
          </w:p>
        </w:tc>
      </w:tr>
      <w:tr>
        <w:trPr>
          <w:trHeight w:val="28"/>
        </w:trPr>
        <w:tc>
          <w:tcPr>
            <w:tcW w:w="9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incurred $1.3 million of direct acquisition-related expenses, which are recognized in the Professional fees line item of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EEA Acquisition:</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71"/>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EEA Acquisition Date Fair Value</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30,094</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9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96,531</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3,417</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93,114</w:t>
            </w:r>
          </w:p>
        </w:tc>
      </w:tr>
    </w:tbl>
    <w:p>
      <w:pPr>
        <w:spacing w:after="0" w:line="1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EEA Acquisition Date. During the year ended December 31, 2024, the Company made a measurement period adjustment to the purchase price allocation, which resulted in an increase to goodwill and a decrease to intangibles of $4.6 million. At this time we do not expect any additional material adjustments to the above allocations. When the valuation is final, changes to the valuation of acquired assets and liabilities could result in adjustments to identified intangibles and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With the exception of operating right-of-use assets and operating lease liabilities accounted for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in accordance with ASC 805, the assets and liabilities were recorded at their respective fair values as of 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total amount of goodwill arising in the transaction was allocated to the Company’s Wealth &amp; Capital Solutions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EEA Acquisition:</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1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EEA Acquisition Date Fair Value</w:t>
            </w:r>
          </w:p>
        </w:tc>
        <w:tc>
          <w:tcPr>
            <w:tcW w:w="10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Estimated Life (Years)</w:t>
            </w:r>
          </w:p>
        </w:tc>
      </w:tr>
      <w:tr>
        <w:trPr>
          <w:trHeight w:val="28"/>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34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w:t>
            </w:r>
          </w:p>
        </w:tc>
      </w:tr>
      <w:tr>
        <w:trPr>
          <w:trHeight w:val="20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3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17</w:t>
            </w:r>
          </w:p>
        </w:tc>
      </w:tr>
      <w:tr>
        <w:trPr>
          <w:trHeight w:val="28"/>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34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62,700</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for EEA have been included in the Company’s consolidated financial statements from the EEA Acquisition Date.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Pointwise Partners Limited</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May 9, 2024 (the “PW Acquisition Date”), the Company acquired the remaining 50% of the issued and outstanding ownership and membership interest of PW, increasing its interest from 50% to 100% (the “PW Acquisition”).</w:t>
      </w:r>
    </w:p>
    <w:p>
      <w:pPr>
        <w:spacing w:after="0" w:line="1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PW Acquisition met the requirements to be considered a business combination under ASC 805. The assets and liabilities acquired from PW, affected for preliminary adjustments to reflect the fair market values assigned to assets purchased and liabilities assumed, and results of operations, are included in the Company’s consolidated financial statements from the PW Acquisition Date. The Company has allocated the purchase price to the tangible and identifiable intangible assets and liabilities assumed based on their estimated fair market values at the PW Acquisition Date as required under ASC 805.</w:t>
      </w:r>
    </w:p>
    <w:p>
      <w:pPr>
        <w:spacing w:after="0" w:line="15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 PW Acquisition was accounted for using the acquisition method of accounting and the fair value of the total purchase consideration was $8.0 million. The total purchase consideration transferred includes cash consideration, equity consideration, estimated deferred consideration, and the settlement of pre-existing relationships as summarized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7"/>
                <w:szCs w:val="17"/>
                <w:color w:val="auto"/>
              </w:rPr>
            </w:pPr>
          </w:p>
        </w:tc>
        <w:tc>
          <w:tcPr>
            <w:tcW w:w="184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PW Amount</w:t>
            </w:r>
          </w:p>
        </w:tc>
      </w:tr>
      <w:tr>
        <w:trPr>
          <w:trHeight w:val="28"/>
        </w:trPr>
        <w:tc>
          <w:tcPr>
            <w:tcW w:w="9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Cash consideration</w:t>
            </w:r>
          </w:p>
        </w:tc>
        <w:tc>
          <w:tcPr>
            <w:tcW w:w="40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r>
      <w:tr>
        <w:trPr>
          <w:trHeight w:val="28"/>
        </w:trPr>
        <w:tc>
          <w:tcPr>
            <w:tcW w:w="9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consideration</w:t>
            </w:r>
          </w:p>
        </w:tc>
        <w:tc>
          <w:tcPr>
            <w:tcW w:w="4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8"/>
        </w:trPr>
        <w:tc>
          <w:tcPr>
            <w:tcW w:w="9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40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7,954</w:t>
            </w:r>
          </w:p>
        </w:tc>
      </w:tr>
      <w:tr>
        <w:trPr>
          <w:trHeight w:val="20"/>
        </w:trPr>
        <w:tc>
          <w:tcPr>
            <w:tcW w:w="9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estimated deferred consideration is payable in cash and equity and is due for payment no later than March 1, 2025. In addition to the above, an additional amount of consideration to be paid fully in equity to PW employees upon meeting certain performance milestones was determined to be compensation rather than consideration transferred. Refer to Note 5 (Equity-Based Compensation) for additional details.</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At the PW Acquisition Date, as required by ASC 805, the Company’s existing 50% equity in PW, which was previously recognized as an equity method investment, was revalued to reflect the fair value at this date. The fair value of this existing equity method investment was $6.2 million, which was calculated as 50% of the fair value of PW total equity value, excluding the impact of any synergies or control premium that would be realized by a controlling interest. During the year ended December 31, 2024, a gain of $4.5 million, representing the change in fair value, has been recognized in the Gain (loss) on investments line of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PW business combination:</w:t>
            </w: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24"/>
                <w:szCs w:val="24"/>
                <w:color w:val="auto"/>
              </w:rPr>
            </w:pPr>
          </w:p>
        </w:tc>
        <w:tc>
          <w:tcPr>
            <w:tcW w:w="200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PW Acquisition Date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4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16,736</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2,630</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14,106</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PW Acquisition Date. At this time we do not expect any additional material adjustments to the above allocations. When the valuation is final, changes to the valuation of acquired assets and liabilities could result in adjustments to identified intangibles and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Goodwill is comprised of expected synergies of the combined operations, including employees acquired in a business combination. The total amount of goodwill arising in the transaction was allocated to the Company’s Wealth &amp; Capital Solutions segment. The components of goodwill do not qualify as a separately recognized intangible asset. The Company will test for impairment in other periods if an event occurs or circumstances change that may indicate impairment.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PW business combination:</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4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24"/>
                <w:szCs w:val="24"/>
                <w:color w:val="auto"/>
              </w:rPr>
            </w:pPr>
          </w:p>
        </w:tc>
        <w:tc>
          <w:tcPr>
            <w:tcW w:w="22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PW Acquisition Date Fair Value</w:t>
            </w:r>
          </w:p>
        </w:tc>
        <w:tc>
          <w:tcPr>
            <w:tcW w:w="26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Estimated Life (Years)</w:t>
            </w:r>
          </w:p>
        </w:tc>
      </w:tr>
      <w:tr>
        <w:trPr>
          <w:trHeight w:val="28"/>
        </w:trPr>
        <w:tc>
          <w:tcPr>
            <w:tcW w:w="6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2600" w:type="dxa"/>
            <w:vAlign w:val="bottom"/>
            <w:tcBorders>
              <w:bottom w:val="single" w:sz="8" w:color="CCEEFF"/>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rPr>
              <w:t>14</w:t>
            </w:r>
          </w:p>
        </w:tc>
      </w:tr>
      <w:tr>
        <w:trPr>
          <w:trHeight w:val="221"/>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26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of customer relationships was determined using the multi-period excess earnings method. The intangible assets are subject to amortization over a useful life of 14 years.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results of the PW Acquisition have been included in the Company’s consolidated financial statements from the PW Acquisition Date. Prior to the PW Acquisition Date, the results of PW were included as a 50% held equity method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Envoi, LLC</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July 1, 2024 (the “Envoi Acquisition Date”), the Company purchased substantially all of the assets of Envoi, LLC (“Envoi”) pursuant to the terms of the asset purchase agreement by and among the Company and Envoi, as well as Envoi’s individual members (the “Envoi Acquisition”).</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Envoi Acquisition met the requirements to be considered a business combination under ASC 805. The assets and liabilities acquired from Envoi, affected for preliminary adjustments to reflect the fair market values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assigned to assets purchased and liabilities assumed, and results of operations, are included in the Company’s consolidated financial statements from the Envoi Acquisition Date. The Company has allocated the purchase price to the tangible and identifiable intangible assets and liabilities assumed based on their estimated fair market values at the Envoi Acquisition Date as required under ASC 805.</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Envoi Acquisition was accounted for using the acquisition method of accounting and the fair value of the total purchase consideration was $34.3 million. Included in the total consideration is cash consideration of $25.3 million, and estimated contingent consideration of $9.0 million comprised of the Envoi earn-out liability and earn-out growth consideration liability. A portion of the contingent consideration will be used to establish a retention pool which is payable in a mixture of cash and equity to employees upon meeting certain revenue thresholds over a required service period. The portion of contingent consideration used to establish the retention pool is treated as compensation rather than consideration transferred. Refer to Note 5 (Equity-Based Compensation) for further details about the related equity award. The amount of contingent consideration related to consideration transferred was measured at fair value at the acquisition date and recorded within the Earn-out liabilities, at fair value line item in the Consolidated Statement of Financial Position. The total purchase consideration is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17"/>
                <w:szCs w:val="17"/>
                <w:color w:val="auto"/>
              </w:rPr>
            </w:pPr>
          </w:p>
        </w:tc>
        <w:tc>
          <w:tcPr>
            <w:tcW w:w="1880" w:type="dxa"/>
            <w:vAlign w:val="bottom"/>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Envoi Amount</w:t>
            </w:r>
          </w:p>
        </w:tc>
      </w:tr>
      <w:tr>
        <w:trPr>
          <w:trHeight w:val="28"/>
        </w:trPr>
        <w:tc>
          <w:tcPr>
            <w:tcW w:w="9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6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3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8"/>
        </w:trPr>
        <w:tc>
          <w:tcPr>
            <w:tcW w:w="9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36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34,258</w:t>
            </w:r>
          </w:p>
        </w:tc>
      </w:tr>
      <w:tr>
        <w:trPr>
          <w:trHeight w:val="20"/>
        </w:trPr>
        <w:tc>
          <w:tcPr>
            <w:tcW w:w="9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$1.1 million of direct acquisition-related expenditures, which are recognized in the Professional fees line item of the Consolidated Statement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Envoi Acquisition:</w:t>
            </w: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88"/>
        </w:trPr>
        <w:tc>
          <w:tcPr>
            <w:tcW w:w="9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Envoi Acquisition Date</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7"/>
                <w:szCs w:val="17"/>
                <w:color w:val="auto"/>
              </w:rPr>
            </w:pPr>
          </w:p>
        </w:tc>
        <w:tc>
          <w:tcPr>
            <w:tcW w:w="204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8"/>
        </w:trPr>
        <w:tc>
          <w:tcPr>
            <w:tcW w:w="9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23,300</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w:t>
            </w:r>
          </w:p>
        </w:tc>
      </w:tr>
      <w:tr>
        <w:trPr>
          <w:trHeight w:val="28"/>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8"/>
        </w:trPr>
        <w:tc>
          <w:tcPr>
            <w:tcW w:w="9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34,477</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8"/>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8"/>
        </w:trPr>
        <w:tc>
          <w:tcPr>
            <w:tcW w:w="9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34,258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The purchase price allocation is preliminary and subject to change during the measurement period, which is not to exceed one year from the Envoi Acquisition Date. During the year ended </w:t>
      </w:r>
      <w:r>
        <w:rPr>
          <w:rFonts w:ascii="Times New Roman" w:cs="Times New Roman" w:eastAsia="Times New Roman" w:hAnsi="Times New Roman"/>
          <w:sz w:val="15"/>
          <w:szCs w:val="15"/>
          <w:color w:val="auto"/>
        </w:rPr>
        <w:t>December 31, 2024</w:t>
      </w:r>
      <w:r>
        <w:rPr>
          <w:rFonts w:ascii="Times New Roman" w:cs="Times New Roman" w:eastAsia="Times New Roman" w:hAnsi="Times New Roman"/>
          <w:sz w:val="16"/>
          <w:szCs w:val="16"/>
          <w:color w:val="auto"/>
        </w:rPr>
        <w:t>, the Company made a measurement period adjustment to the purchase price allocation, which resulted in an increase to intangibles and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 xml:space="preserve">a decrease to goodwill of $1.0 million. At this time we do not expect any additional material adjustments to the above allocations. </w:t>
      </w:r>
      <w:r>
        <w:rPr>
          <w:rFonts w:ascii="Times New Roman" w:cs="Times New Roman" w:eastAsia="Times New Roman" w:hAnsi="Times New Roman"/>
          <w:sz w:val="15"/>
          <w:szCs w:val="15"/>
          <w:color w:val="auto"/>
        </w:rPr>
        <w:t>When the valuation is final, changes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to the valuation of acquired assets and liabilities could result in adjustments to identified intangibles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ASC 805, the assets and liabilities were recorded at their respective fair values as of July 1, 2024. The Company developed the fair value of intangible assets,</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which includes customer relationships, using various techniques including the multi-period excess earnings method. For all other major assets and liabilities acquired, the Company determined that book value approximated fair value. Goodwill is comprised of expected synergies for the combined operations and the assembled workforce acquired in the business</w:t>
      </w:r>
    </w:p>
    <w:p>
      <w:pPr>
        <w:jc w:val="both"/>
        <w:spacing w:after="0" w:line="227" w:lineRule="auto"/>
        <w:rPr>
          <w:sz w:val="20"/>
          <w:szCs w:val="20"/>
          <w:color w:val="auto"/>
        </w:rPr>
      </w:pPr>
      <w:r>
        <w:rPr>
          <w:rFonts w:ascii="Times New Roman" w:cs="Times New Roman" w:eastAsia="Times New Roman" w:hAnsi="Times New Roman"/>
          <w:sz w:val="16"/>
          <w:szCs w:val="16"/>
          <w:color w:val="auto"/>
        </w:rPr>
        <w:t>combination, which does not qualify as a separately recognized intangible asset. The goodwill resulting from this acquisition is expected to be deductible for tax purposes. The total amount of goodwill arising in the transaction was allocated to the Company’s Wealth &amp; Capital Solutions segment. The components of goodwill do not qualify as a separately recognized intangible asset.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Envoi Acquisition:</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4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Envoi Acquisition Date Fair Value</w:t>
            </w:r>
          </w:p>
        </w:tc>
        <w:tc>
          <w:tcPr>
            <w:tcW w:w="26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Estimated Life (Years)</w:t>
            </w:r>
          </w:p>
        </w:tc>
      </w:tr>
      <w:tr>
        <w:trPr>
          <w:trHeight w:val="28"/>
        </w:trPr>
        <w:tc>
          <w:tcPr>
            <w:tcW w:w="6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2600" w:type="dxa"/>
            <w:vAlign w:val="bottom"/>
            <w:tcBorders>
              <w:bottom w:val="single" w:sz="8" w:color="CCEEFF"/>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rPr>
              <w:t>15</w:t>
            </w:r>
          </w:p>
        </w:tc>
      </w:tr>
      <w:tr>
        <w:trPr>
          <w:trHeight w:val="221"/>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0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26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the Envoi Acquisition have been included in the Company’s consolidated financial statements from the Envoi Acquisition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Pro Forma Financial Information (Unaudited)</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following selected unaudited supplemental pro forma financial information is a summary of our combined results for Envoi, EEA, and PW as of the years ended December 31, 2024 and December 31, 2023. Supplemental pro forma financial information for AWMS and ALWP is presented as of the year ended December 31, 2023. The unaudited supplemental pro forma financial information gives effect to the acquisitions as if they had occurred on January 1, 2023.</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following acquisitions have been excluded from the unaudited pro forma financial information presented below since their results of operations are included in our unaudited consolidated statement of operations:</w:t>
      </w:r>
    </w:p>
    <w:p>
      <w:pPr>
        <w:spacing w:after="0" w:line="107" w:lineRule="exact"/>
        <w:rPr>
          <w:sz w:val="20"/>
          <w:szCs w:val="20"/>
          <w:color w:val="auto"/>
        </w:rPr>
      </w:pPr>
    </w:p>
    <w:p>
      <w:pPr>
        <w:ind w:left="500" w:hanging="240"/>
        <w:spacing w:after="0"/>
        <w:tabs>
          <w:tab w:leader="none" w:pos="5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EEA, PW, and Envoi acquisitions for the year ended December 31, 2024</w:t>
      </w:r>
    </w:p>
    <w:p>
      <w:pPr>
        <w:spacing w:after="0" w:line="12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AWMS and ALWP acquisitions for the year ended December 31, 2024 and December 31, 2023, respectively</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unaudited pro forma financial information presented below is for informational purposes only, and is not necessarily indicative of the results that would have been achieved if the AWMS, ALWP, EEA, PW, and Envoi acquisitions had taken place on January 1, 2023, nor is it indicative of future results.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5"/>
        </w:trPr>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6"/>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4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215,339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(101,668)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(162,307)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Deconsolidation of Alvarium Home REIT Advisors Ltd</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AlTi was formed on January 3, 2023, through a business combination transaction that included certain legacy Alvarium companies. While the sale of AHRA occurred prior to the Business Combination, under GAAP, its results were required to be consolidated in our financial statements until June 30, 2023, when it was deconsolidated. On June 30, 2023, the Company entered into a series of agreements that resulted in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deconsolidation of AHRA from the International Real Estate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Consolidated Statement of Operations for the period from January 3, 2023 to June 30, 2023, and its accounts were removed from the Consolidated Statement of Financial Position as of June 30, 2023. The deconsolidation resulted in an intangible asset impairment charge of $29.4 million, which was recorded in Impairment loss on goodwill and intangible assets in the Consolidated Statement of Operations during the year ended December 31, 2023. Assets managed by AHRA, however, have been excluded from the Company’s AUM/AUA metrics since January 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Disposal of LRA</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This contingent consideration is payable in installments on each of the first four anniversaries of the sale of LRA. The contingent consideration meets the definition of a derivative and is recorded as Contingent consideration receivable on the Consolidated Statement of Financial Position as of December 31, 2024. This contingent consideration will be remeasured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the Consolidated Statement of Operations in the period of change.</w:t>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disposal was completed on March 6, 2024. As a result, the Company has recognized an intangible asset impairment charge of $23.5 million, which is recorded in Impairment loss on goodwill and intangible assets in the Consolidated Statement of Operations during the year ended December 31, 2023. In addition, as of December 31, 2023, the major classes of assets and liabilities of LRA were presented as held for sale in the Consolidated Statement of Financial Position. For the year ended December 31, 2024, a net loss of $(0.4) million was recorded in connection with the completion of this disposal, which was recognized in the line item Gain (loss) on investments in the Consolidated Statement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Disposal of FOS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November 6, 2023, the Company entered into an agreement to sell FOS, the European-based trust and private office service which was part of the Company’s Wealth &amp; Capital Solutions segment, for a cash consideration of approximately $20.1 million. Subsequently, an adjustment to the cash consideration of $(0.6) million was made, resulting in a final cash consideration of approximately $19.5 million. The agreement to sell was subject to regulatory approval that was granted in April 2024, following which, on May 8, 2024, the transaction was completed. This disposal does not represent a strategic shift that will have a major impact on the Company’s operations, and as such, is not classified as a discontinued operation. As of December 31, 2023, the major classes of assets and liabilities of FOS were presented as held for sale in the Consolidated Statement of Financial Position. During the year ended December 31, 2024, a gain on disposal of $9.4 million was recognized in Gain (loss) on investments in the Consolidated Statement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Held for Sale</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carrying amounts of the major classes of assets and liabilities of FOS and LRA were presented as held for sale in the Consolidated Statement of Financial Position at December 31, 2023. As of the year ended December 31, 2024, no assets or liabilities were classified as held for sale.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amounts presented as held for sale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26"/>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0"/>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46,658</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
        </w:trPr>
        <w:tc>
          <w:tcPr>
            <w:tcW w:w="9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56,634</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4"/>
        </w:trPr>
        <w:tc>
          <w:tcPr>
            <w:tcW w:w="90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2"/>
        </w:trPr>
        <w:tc>
          <w:tcPr>
            <w:tcW w:w="9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9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w:t>
            </w:r>
          </w:p>
        </w:tc>
      </w:tr>
      <w:tr>
        <w:trPr>
          <w:trHeight w:val="22"/>
        </w:trPr>
        <w:tc>
          <w:tcPr>
            <w:tcW w:w="9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w:t>
            </w:r>
          </w:p>
        </w:tc>
        <w:tc>
          <w:tcPr>
            <w:tcW w:w="9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8"/>
        </w:trPr>
        <w:tc>
          <w:tcPr>
            <w:tcW w:w="9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(13,792)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(4)</w:t>
        <w:tab/>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the Company’s revenue disaggregated by fee type for the periods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r>
      <w:tr>
        <w:trPr>
          <w:trHeight w:val="181"/>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5"/>
                <w:szCs w:val="15"/>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r>
      <w:tr>
        <w:trPr>
          <w:trHeight w:val="22"/>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180,861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76,872</w:t>
            </w:r>
          </w:p>
        </w:tc>
      </w:tr>
      <w:tr>
        <w:trPr>
          <w:trHeight w:val="20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43,377</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fees/income</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w:t>
            </w: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206,935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246,917</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6"/>
                <w:szCs w:val="16"/>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6"/>
                <w:szCs w:val="16"/>
                <w:color w:val="auto"/>
              </w:rPr>
            </w:pPr>
          </w:p>
        </w:tc>
        <w:tc>
          <w:tcPr>
            <w:tcW w:w="19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Management/advisory fees receivable</w:t>
            </w:r>
          </w:p>
        </w:tc>
        <w:tc>
          <w:tcPr>
            <w:tcW w:w="2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29,539</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30,698</w:t>
            </w:r>
          </w:p>
        </w:tc>
      </w:tr>
      <w:tr>
        <w:trPr>
          <w:trHeight w:val="28"/>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b w:val="1"/>
                <w:bCs w:val="1"/>
                <w:color w:val="auto"/>
                <w:vertAlign w:val="superscript"/>
              </w:rPr>
              <w:t>(1)</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w:t>
            </w:r>
          </w:p>
        </w:tc>
      </w:tr>
      <w:tr>
        <w:trPr>
          <w:trHeight w:val="212"/>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fees receivable</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40,356</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w:t>
            </w:r>
          </w:p>
        </w:tc>
      </w:tr>
      <w:tr>
        <w:trPr>
          <w:trHeight w:val="28"/>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b w:val="1"/>
                <w:bCs w:val="1"/>
                <w:color w:val="auto"/>
                <w:vertAlign w:val="superscript"/>
              </w:rPr>
              <w:t>(2)</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40,356</w:t>
            </w:r>
          </w:p>
        </w:tc>
      </w:tr>
      <w:tr>
        <w:trPr>
          <w:trHeight w:val="212"/>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fees/income receivable</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8"/>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2"/>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management/advisory fees</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8"/>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other fees/income</w:t>
            </w: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0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8"/>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6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firstLine="5"/>
        <w:spacing w:after="0" w:line="271" w:lineRule="auto"/>
        <w:tabs>
          <w:tab w:leader="none" w:pos="128" w:val="left"/>
        </w:tabs>
        <w:numPr>
          <w:ilvl w:val="0"/>
          <w:numId w:val="89"/>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 xml:space="preserve">As of December 31, 2024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1"/>
          <w:szCs w:val="11"/>
          <w:color w:val="auto"/>
        </w:rPr>
        <w:t xml:space="preserve"> December 31, 2023, this amount includes $0.7 million and $1.2 million, respectively, in Management/advisory fees receivable due from related parties. See Note 17 (Related Party Transactions) for further details.</w:t>
      </w:r>
    </w:p>
    <w:p>
      <w:pPr>
        <w:spacing w:after="0" w:line="306" w:lineRule="exact"/>
        <w:rPr>
          <w:rFonts w:ascii="Times New Roman" w:cs="Times New Roman" w:eastAsia="Times New Roman" w:hAnsi="Times New Roman"/>
          <w:sz w:val="14"/>
          <w:szCs w:val="14"/>
          <w:b w:val="1"/>
          <w:bCs w:val="1"/>
          <w:color w:val="auto"/>
          <w:vertAlign w:val="superscript"/>
        </w:rPr>
      </w:pPr>
    </w:p>
    <w:p>
      <w:pPr>
        <w:ind w:firstLine="5"/>
        <w:spacing w:after="0"/>
        <w:tabs>
          <w:tab w:leader="none" w:pos="117" w:val="left"/>
        </w:tabs>
        <w:numPr>
          <w:ilvl w:val="0"/>
          <w:numId w:val="89"/>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 xml:space="preserve">As of December 31, 2024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1"/>
          <w:szCs w:val="11"/>
          <w:color w:val="auto"/>
        </w:rPr>
        <w:t xml:space="preserve"> December 31, 2023, this amount includes $0.2 million and $14.9 million, respectively, in Incentive fees receivable due from related parties. See Note 17 (Related Party Transactions) for further details.</w:t>
      </w:r>
    </w:p>
    <w:p>
      <w:pPr>
        <w:spacing w:after="0" w:line="200" w:lineRule="exact"/>
        <w:rPr>
          <w:sz w:val="20"/>
          <w:szCs w:val="20"/>
          <w:color w:val="auto"/>
        </w:rPr>
      </w:pPr>
    </w:p>
    <w:p>
      <w:pPr>
        <w:spacing w:after="0" w:line="231" w:lineRule="exact"/>
        <w:rPr>
          <w:sz w:val="20"/>
          <w:szCs w:val="20"/>
          <w:color w:val="auto"/>
        </w:rPr>
      </w:pPr>
    </w:p>
    <w:p>
      <w:pPr>
        <w:ind w:left="380" w:hanging="375"/>
        <w:spacing w:after="0"/>
        <w:tabs>
          <w:tab w:leader="none" w:pos="38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Equity-Based Compensation</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Company grants equity-based compensation awards in the form of restricted share units (“RSUs”) or performance restricted share units (“PRSUs”) for Class A Common Stock to its management, employees, consultants, and independent members of the board of directors under its 2023 Stock Incentive Plan (the “Plan”). The total number of shares of Class A Common Stock that may be issued under the Plan is 11,788,132, of which 1,213,605 remain available as of December 31, 2024. To the extent that an award expires or is canceled, forfeited, terminated, surrendered, exchanged or withheld to cover tax withholding obligations, the unissued awards will again be available for grant under the Plan.</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recognizes equity-based compensation expenses at the Company’s stock price as of the grant date. As of December 31, 2024, the Company has an unrecognized equity-based compensation expense of $18.4 million, which is expected to be recognized over a weighted average period of 1.74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equity-based compensation award activity for the years ended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151130</wp:posOffset>
            </wp:positionV>
            <wp:extent cx="409638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96385" cy="698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18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165"/>
        </w:trPr>
        <w:tc>
          <w:tcPr>
            <w:tcW w:w="4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 Grant</w:t>
            </w:r>
          </w:p>
        </w:tc>
      </w:tr>
      <w:tr>
        <w:trPr>
          <w:trHeight w:val="186"/>
        </w:trPr>
        <w:tc>
          <w:tcPr>
            <w:tcW w:w="48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80" w:type="dxa"/>
            <w:vAlign w:val="bottom"/>
          </w:tcPr>
          <w:p>
            <w:pPr>
              <w:spacing w:after="0"/>
              <w:rPr>
                <w:sz w:val="16"/>
                <w:szCs w:val="16"/>
                <w:color w:val="auto"/>
              </w:rPr>
            </w:pPr>
          </w:p>
        </w:tc>
        <w:tc>
          <w:tcPr>
            <w:tcW w:w="13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2"/>
        </w:trPr>
        <w:tc>
          <w:tcPr>
            <w:tcW w:w="48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common stock</w:t>
            </w:r>
          </w:p>
        </w:tc>
        <w:tc>
          <w:tcPr>
            <w:tcW w:w="1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awards outstanding at beginning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4,797,464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common stock granted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4,181,243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7,514,293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19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(938,383)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2"/>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common stock 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(1,823,811)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(2,534,202)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awards outstanding at end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6,216,513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4,797,464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following table summarizes the equity-based compensation recognized, which is included in Compensation and employee benefits in the Consolidated Statement of Operations, during the years ended December 31, 2024, and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5"/>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TIH SPA</w:t>
            </w:r>
          </w:p>
        </w:tc>
        <w:tc>
          <w:tcPr>
            <w:tcW w:w="18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share</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RSUs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certain of TWMH’s restricted units vested and the Company granted fully vested shares to Alvarium’s employees, resulting in compensation expense of $4.2 million and $24.6 million, respectively, during the year ended December 31,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Upon completion of the Business Combination, the Company issued 60,800 shares of Class A Common Stock to employees of the Company. These awards vested in full immediately and had a fair value of $10.00 per share, resulting in compensation expense of $0.6 million for the year ended December 31, 2023.</w:t>
      </w:r>
    </w:p>
    <w:p>
      <w:pPr>
        <w:spacing w:after="0" w:line="1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23, 2023, in connection with the Business Combination, the Company granted 65,554 RSUs to its board of directors, which vested over an approximate nine-month period and had a fair value of $12.56 per share. On March 1, 2024, the Company granted 138,564 RSUs to its board of directors, which vest over a four-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month period and had a fair value of $5.87 per share. On June 27, 2024, the Company granted 123,732 RSUs to its board of directors, which vest over a twelve-month period and had a grant date fair value of $4.91 per share. On August 2, 2024, the Company granted 45,549 RSUs to its board of directors, which vest over an eleven-month period and had a grant date fair value of $4.38 per share. These grants resulted in compensation expense of $1.2 million and $0.8 million for the years ended December 31, 2024 and December 31, 2023, respectively.</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May 31, 2023, the Company granted 4,697,317 RSUs to its employees, which vest over a three-year period and had a fair value of $4.35 per share. On June 5, 2024, the Company granted 2,219,661 RSUs to its employees, which vest over a three-year period and had a fair value of $4.78 per share. These grants resulted in compensation expense of $8.6 million and $5.4 million for the years ended December 31, 2024 and December 31, 2023, respectively. Since the initial grant date of these awards, 857,939 shares have been forfeited.</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various dates throughout 2023, the Company granted 111,148 and 118,987 RSUs to employees, representative of buy-out equity awards as restricted units, vesting generally over a one to three year period, with a fair value of $7.66 and $8.72, respectively, per share. On February 6, 2024, the Company granted 29,154 shares of Class A Common Stock to employees, representative of buy-out equity awards as restricted units, vesting over a two year period, with a fair value of $5.36 per share. On December 23, 2024, the Company granted 57,458 shares of Class A Common Stock to employees, representative of buy-out equity awards as restricted units, vesting over a three year period, with a fair value of $4.14 per share. The Company recognized compensation expense of $0.8 million and $1.0 million for the years ended December 31, 2024 and December 31, 2023, respectively, related to these buy-out equity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PRSUs</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Company grants PRSUs to selected members of AlTi’s executive team. Vesting of the PRSUs is based on meeting certain market conditions and the requisite service period. The PRSUs are eligible to vest on a graded basis at the end of each of three annual performance periods, subject to the employee’s continued service with the Company through the applicable performance period, and are only earned upon achievement of total shareholder return of the Company’s Class A Common Stock exceeding certain thresholds.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June 5, 2024, the Company granted 1,567,125 PRSUs to participants and used a Monte Carlo simulation model to determine the average grant date fair value of $5.76 per share using the following model inputs and assumptions: i) ending average stock price of $4.78, ii) volatility rate of 62.1%, iii) risk free rate of 4.5% and iv) expected term of 2.88 years. Compensation expense associated with the PRSUs will be recognized over the longer of the expected achievement period for the service or market condition. These grants resulted in compensation expense of $3.2 million for the year ended December 31,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Acquisition-Related Equity-Based Compensation Awards</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respectively. The selling shareholders remain required to maintain certain service agreements to receive the compensatory Holbein Earn-ins. The number of shares awarded will be calculated based on the twenty day average volume weighted average price of the Company’s Class A Common Stock preceding the first and second payment dates. The Company recognized an expense for the earn-ins of $4.1 million, $7.0 million and $3.7 million for the years ended December 31, 2024, 2023 and 2022 , respectively.</w:t>
      </w:r>
    </w:p>
    <w:p>
      <w:pPr>
        <w:spacing w:after="0" w:line="16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pattern as the above-described amendment for the compensatory earn-ins. As of December 31, 2024, and December 31, 2023, this contingent consideration is recorded as a liability of $0.9 million and $1.8 million in the Earn-in consideration payable line of the Consolidated Statement of Financial Condition and Consolidated Statement of Financial Condition, respectively.</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connection with the Company’s acquisition of East End Advisors (see Note 3 Business Combinations and Divestitures), certain employees of East End Advisors are entitled to receive a portion of the contingent consideration comprised of a combination of additional cash and shares of the Company (the “EEA Equity Awards”) based on the future EBITDA performance targets between the closing date of April 3, 2024 and the fifth anniversary of the closing date. The portion of the EEA Equity Awards to be issued in shares was measured at fair value as of the closing date. The Company recognized compensation expense for the estimated shares in relation to the accrual of the EEA Equity Awards of $1.6 million for the year ended December 31, 2024.</w:t>
      </w:r>
    </w:p>
    <w:p>
      <w:pPr>
        <w:spacing w:after="0" w:line="17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In connection with the Company’s acquisition of PW (see Note 3 Business Combinations and Divestitures), certain employees of PW are entitled to receive additional shares of the Company (the “PW Equity Awards”). The PW Equity Awards are payable in equity upon the achievement of certain integration milestones and are due for payment no later than March 1, 2025. The Company recognized compensation expense in relation to the accrual of the PW Equity Awards of $1.0 million for the year ended December 31, 2024.</w:t>
      </w:r>
    </w:p>
    <w:p>
      <w:pPr>
        <w:spacing w:after="0" w:line="1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In connection with the Company’s acquisition of Envoi (see Note 3 Business Combinations and Divestitures), certain employees of Envoi are entitled to receive a portion of the earn-out growth consideration liability comprised of a combination of cash and additional shares of the Company (the “Envoi Equity Awards”). Compensation expense related to the Envoi Equity Awards is determined in accordance with revenue based formulas provided for in the asset purchase agreement and are payable to eligible employees in 2028. The Company recognized compensation expense in relation to the accrual of the Envoi Equity Awards of $0.1 million for the year ended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Delayed Share Purchase Agreement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connection with TWMH’s historical acquisition of TIH, the Delayed Share Purchase Agreement (“TIH SPA”) was amended on July 28, 2023. The TIH SPA was amended to include the Company’s Class A Common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Stock as part of the purchase price. On August 1, 2023, the Company granted 152,930 shares of Class A Common Stock with a fair value of $7.70 per share under the terms of the TIH SPA amendment. The amendment to the purchase price is compensatory in nature. The Company recognized compensation expense in relation to the accrual of the TIH SPA of $1.2 million for the year ended December 31, 2023, which is included in Compensation and employee benefits in the Consolidated Statement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Share</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During the years ended December 31, 2024, and December 31, 2023, the Company accrued $1.1 million and $1.2 million in compensation expense related to various revenue share arrangements to its employees, which 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included in Compensation and employee benefits in the Consolidated Statement of Operations and in Accrued compensation and profit sharing in the Consolidated Statement of Financial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Compensation Liability</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connection with the ALWP Acquisition, during the year ended December 31, 2024, the Company accrued $4.5 million in shares of Class A Common Stock which is included in Compensation and employee benefits in the Consolidated Statement of Operations and in Accrued compensation and profit sharing in the Consolidated Statement of Financial Position.</w:t>
      </w:r>
    </w:p>
    <w:p>
      <w:pPr>
        <w:spacing w:after="0" w:line="10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Income Taxes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computation of the effective tax rate, tax provision and related income tax assets and liabilities are based on, among other things, an estimate of the impact of the exchanges of Common Units for shares of Class A Stock, inclusive of an analysis of tax basis and state tax implications of the Company and their underlying assets and liabilities. The Company’s estimate is based on the most recent information available and cannot be finally determined until the Company’s 2023 tax returns have been filed. The tax basis and impact of the Company and their underlying assets and liabilities are based on estimates subject to finalization of its tax returns.</w:t>
      </w:r>
    </w:p>
    <w:p>
      <w:pPr>
        <w:spacing w:after="0" w:line="1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financial reporting purposes, the components of income (loss) before income tax benefit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4"/>
                <w:szCs w:val="14"/>
                <w:color w:val="auto"/>
              </w:rPr>
            </w:pPr>
          </w:p>
        </w:tc>
        <w:tc>
          <w:tcPr>
            <w:tcW w:w="1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17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01"/>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vMerge w:val="restart"/>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85"/>
        </w:trPr>
        <w:tc>
          <w:tcPr>
            <w:tcW w:w="50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Domestic</w:t>
            </w: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EFF"/>
            </w:tcBorders>
            <w:shd w:val="clear" w:color="auto" w:fill="CCEEFF"/>
          </w:tcPr>
          <w:p>
            <w:pPr>
              <w:jc w:val="center"/>
              <w:ind w:left="1225"/>
              <w:spacing w:after="0"/>
              <w:rPr>
                <w:sz w:val="20"/>
                <w:szCs w:val="20"/>
                <w:color w:val="auto"/>
              </w:rPr>
            </w:pPr>
            <w:r>
              <w:rPr>
                <w:rFonts w:ascii="Times New Roman" w:cs="Times New Roman" w:eastAsia="Times New Roman" w:hAnsi="Times New Roman"/>
                <w:sz w:val="16"/>
                <w:szCs w:val="16"/>
                <w:color w:val="auto"/>
                <w:w w:val="94"/>
              </w:rPr>
              <w:t>1,082</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center"/>
              <w:ind w:left="1185"/>
              <w:spacing w:after="0"/>
              <w:rPr>
                <w:sz w:val="20"/>
                <w:szCs w:val="20"/>
                <w:color w:val="auto"/>
              </w:rPr>
            </w:pPr>
            <w:r>
              <w:rPr>
                <w:rFonts w:ascii="Times New Roman" w:cs="Times New Roman" w:eastAsia="Times New Roman" w:hAnsi="Times New Roman"/>
                <w:sz w:val="16"/>
                <w:szCs w:val="16"/>
                <w:color w:val="auto"/>
                <w:w w:val="98"/>
              </w:rPr>
              <w:t>(6,553)</w:t>
            </w:r>
          </w:p>
        </w:tc>
        <w:tc>
          <w:tcPr>
            <w:tcW w:w="0" w:type="dxa"/>
            <w:vAlign w:val="bottom"/>
          </w:tcPr>
          <w:p>
            <w:pPr>
              <w:spacing w:after="0"/>
              <w:rPr>
                <w:sz w:val="1"/>
                <w:szCs w:val="1"/>
                <w:color w:val="auto"/>
              </w:rPr>
            </w:pPr>
          </w:p>
        </w:tc>
      </w:tr>
      <w:tr>
        <w:trPr>
          <w:trHeight w:val="28"/>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Income (loss) before income tax benefit</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(316,337)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center"/>
              <w:ind w:left="1185"/>
              <w:spacing w:after="0"/>
              <w:rPr>
                <w:sz w:val="20"/>
                <w:szCs w:val="20"/>
                <w:color w:val="auto"/>
              </w:rPr>
            </w:pPr>
            <w:r>
              <w:rPr>
                <w:rFonts w:ascii="Times New Roman" w:cs="Times New Roman" w:eastAsia="Times New Roman" w:hAnsi="Times New Roman"/>
                <w:sz w:val="16"/>
                <w:szCs w:val="16"/>
                <w:color w:val="auto"/>
                <w:w w:val="98"/>
              </w:rPr>
              <w:t>(5,471)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of the Company’s income tax expense (benefit):</w:t>
      </w:r>
    </w:p>
    <w:p>
      <w:pPr>
        <w:spacing w:after="0" w:line="189"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29845</wp:posOffset>
            </wp:positionV>
            <wp:extent cx="396811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68115" cy="6985"/>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17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50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income tax expense (benefit)</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2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4"/>
                <w:szCs w:val="14"/>
                <w:color w:val="auto"/>
              </w:rPr>
            </w:pPr>
          </w:p>
        </w:tc>
        <w:tc>
          <w:tcPr>
            <w:tcW w:w="28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U.S. federal</w:t>
            </w:r>
          </w:p>
        </w:tc>
        <w:tc>
          <w:tcPr>
            <w:tcW w:w="26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income tax expense (benefit)</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U.S. federal</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w:t>
            </w:r>
          </w:p>
        </w:tc>
        <w:tc>
          <w:tcPr>
            <w:tcW w:w="80" w:type="dxa"/>
            <w:vAlign w:val="bottom"/>
          </w:tcPr>
          <w:p>
            <w:pPr>
              <w:spacing w:after="0"/>
              <w:rPr>
                <w:sz w:val="20"/>
                <w:szCs w:val="20"/>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(24,055)</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U.S. federal</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80" w:type="dxa"/>
            <w:vAlign w:val="bottom"/>
          </w:tcPr>
          <w:p>
            <w:pPr>
              <w:spacing w:after="0"/>
              <w:rPr>
                <w:sz w:val="20"/>
                <w:szCs w:val="20"/>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-2080895</wp:posOffset>
            </wp:positionV>
            <wp:extent cx="7161530" cy="147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7161530" cy="134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-1279525</wp:posOffset>
            </wp:positionV>
            <wp:extent cx="7161530" cy="147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-760730</wp:posOffset>
            </wp:positionV>
            <wp:extent cx="7161530" cy="134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7161530" cy="147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161530" cy="168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-982980</wp:posOffset>
            </wp:positionV>
            <wp:extent cx="7161530" cy="168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-1784985</wp:posOffset>
            </wp:positionV>
            <wp:extent cx="7161530" cy="168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7161530" cy="134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80" w:right="440" w:hanging="181"/>
        <w:spacing w:after="0" w:line="290" w:lineRule="auto"/>
        <w:rPr>
          <w:sz w:val="20"/>
          <w:szCs w:val="20"/>
          <w:color w:val="auto"/>
        </w:rPr>
      </w:pPr>
      <w:r>
        <w:rPr>
          <w:rFonts w:ascii="Times New Roman" w:cs="Times New Roman" w:eastAsia="Times New Roman" w:hAnsi="Times New Roman"/>
          <w:sz w:val="14"/>
          <w:szCs w:val="14"/>
          <w:b w:val="1"/>
          <w:bCs w:val="1"/>
          <w:color w:val="auto"/>
        </w:rPr>
        <w:t>December 31, 2022 (Predecessor)</w:t>
      </w:r>
    </w:p>
    <w:p>
      <w:pPr>
        <w:spacing w:after="0" w:line="20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320</w:t>
      </w:r>
    </w:p>
    <w:p>
      <w:pPr>
        <w:spacing w:after="0" w:line="4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224</w:t>
      </w:r>
    </w:p>
    <w:p>
      <w:pPr>
        <w:spacing w:after="0" w:line="4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84</w:t>
      </w:r>
    </w:p>
    <w:p>
      <w:pPr>
        <w:spacing w:after="0" w:line="6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50165</wp:posOffset>
            </wp:positionV>
            <wp:extent cx="128651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(64)</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(31)</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50165</wp:posOffset>
            </wp:positionV>
            <wp:extent cx="128651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3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256</w:t>
      </w:r>
    </w:p>
    <w:p>
      <w:pPr>
        <w:spacing w:after="0" w:line="4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193</w:t>
      </w:r>
    </w:p>
    <w:p>
      <w:pPr>
        <w:spacing w:after="0" w:line="4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78</w:t>
      </w:r>
    </w:p>
    <w:p>
      <w:pPr>
        <w:spacing w:after="0" w:line="6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50165</wp:posOffset>
            </wp:positionV>
            <wp:extent cx="12865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9340" w:space="340"/>
            <w:col w:w="1580"/>
          </w:cols>
          <w:pgMar w:left="30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reconciliation of the Company’s effective rate to the statutory rate: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tax expense (benefit) at statutory rate</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(41,042)</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(66,416)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(1,149)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 net of federal benefit</w:t>
            </w:r>
          </w:p>
        </w:tc>
        <w:tc>
          <w:tcPr>
            <w:tcW w:w="380" w:type="dxa"/>
            <w:vAlign w:val="bottom"/>
          </w:tcPr>
          <w:p>
            <w:pPr>
              <w:spacing w:after="0"/>
              <w:rPr>
                <w:sz w:val="16"/>
                <w:szCs w:val="16"/>
                <w:color w:val="auto"/>
              </w:rPr>
            </w:pPr>
          </w:p>
        </w:tc>
        <w:tc>
          <w:tcPr>
            <w:tcW w:w="15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(9,065)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(1,119)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14,640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32,254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Exempt income</w:t>
            </w:r>
          </w:p>
        </w:tc>
        <w:tc>
          <w:tcPr>
            <w:tcW w:w="38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15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(6,524)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127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Professional Fees</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653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3,616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38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2,702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(6,129)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(5,500)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38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1,631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period adjustments</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49</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(246)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8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10,074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28,700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1,393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(647)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236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116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38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806</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145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payments</w:t>
            </w:r>
          </w:p>
        </w:tc>
        <w:tc>
          <w:tcPr>
            <w:tcW w:w="3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1,465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Change</w:t>
            </w:r>
          </w:p>
        </w:tc>
        <w:tc>
          <w:tcPr>
            <w:tcW w:w="380" w:type="dxa"/>
            <w:vAlign w:val="bottom"/>
          </w:tcPr>
          <w:p>
            <w:pPr>
              <w:spacing w:after="0"/>
              <w:rPr>
                <w:sz w:val="16"/>
                <w:szCs w:val="16"/>
                <w:color w:val="auto"/>
              </w:rPr>
            </w:pPr>
          </w:p>
        </w:tc>
        <w:tc>
          <w:tcPr>
            <w:tcW w:w="15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(931)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247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impact of non-controlling interest</w:t>
            </w:r>
          </w:p>
        </w:tc>
        <w:tc>
          <w:tcPr>
            <w:tcW w:w="3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7,363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1,363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Effective Rate</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(21,133)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(10,534)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527</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Company had an effective tax rate of 10.8%, 3.3% and (9.6)% for the years ended December 31, 2024, 2023 and 2022, respectively. The effective tax rates differed from the statutory rate primarily due to the impact of valuation allowance with respect to deferred tax assets generated in the Company’s subsidiaries in the U.K. and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in subsidiary, the portion of income allocated to noncontrolling interests, and goodwill impairment.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2023 the income tax effects of temporary differences that give rise to significant portions of deferred tax assets and liabilities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28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46,769</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23,273</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w:t>
            </w: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Disallowed interest carryforward</w:t>
            </w: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w:t>
            </w: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Accruals and reserves</w:t>
            </w: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11,191</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w:t>
            </w: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deferred tax asset</w:t>
            </w: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28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51,473</w:t>
            </w:r>
          </w:p>
        </w:tc>
      </w:tr>
      <w:tr>
        <w:trPr>
          <w:trHeight w:val="85"/>
        </w:trPr>
        <w:tc>
          <w:tcPr>
            <w:tcW w:w="6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19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17,353</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17,649</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 Right Of Use</w:t>
            </w: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w:t>
            </w:r>
          </w:p>
        </w:tc>
      </w:tr>
      <w:tr>
        <w:trPr>
          <w:trHeight w:val="19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280" w:type="dxa"/>
            <w:vAlign w:val="bottom"/>
          </w:tcPr>
          <w:p>
            <w:pPr>
              <w:spacing w:after="0"/>
              <w:rPr>
                <w:sz w:val="16"/>
                <w:szCs w:val="16"/>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2"/>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deferred tax liability</w:t>
            </w: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81"/>
        </w:trPr>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2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23,836</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23,575</w:t>
            </w:r>
          </w:p>
        </w:tc>
      </w:tr>
      <w:tr>
        <w:trPr>
          <w:trHeight w:val="22"/>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(42,007)</w:t>
            </w:r>
          </w:p>
        </w:tc>
      </w:tr>
      <w:tr>
        <w:trPr>
          <w:trHeight w:val="203"/>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deferred tax asset (liabilities)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(14,109)</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2024, the Company has U.S. federal net operating losses (“NOLs”) of $60.7 million and foreign NOLs of $143.0 million that can be carried forward indefinitely until they are used. The Company regularly evaluates the realizability of its deferred tax asset and may recognize or adjust any valuation allowance when it is more-likely-than-not that all or a portion of the deferred tax asset may not be realized. As of December 31, 2024, the Company has recorded a valuation allowance against $16.8 million of NOLs generated by its U.S. operations and substantially all the foreign subsidiaries with NOL carryforwards are in a full valuation allowance position.</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Company files its tax returns as prescribed by the tax laws of the jurisdictions in which it operates. In the normal course of business, the tax years that remain open under the statute of limitations will be subject to examinations by the appropriate tax authorities. The Company is currently under examination by New York City UBT for the years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2020 and 2021. We do not believe that there is material exposure in connection with the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reconciliation of the Company’s total gross unrecognized tax benefits for the year ended December 31, 2024 and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based on tax positions related to current year</w:t>
            </w:r>
          </w:p>
        </w:tc>
        <w:tc>
          <w:tcPr>
            <w:tcW w:w="20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Reduction for tax positions of prior years</w:t>
            </w:r>
          </w:p>
        </w:tc>
        <w:tc>
          <w:tcPr>
            <w:tcW w:w="20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Lapses in statues of limitations</w:t>
            </w:r>
          </w:p>
        </w:tc>
        <w:tc>
          <w:tcPr>
            <w:tcW w:w="20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Fair Value Disclosures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spacing w:after="0" w:line="116" w:lineRule="exact"/>
        <w:rPr>
          <w:sz w:val="20"/>
          <w:szCs w:val="20"/>
          <w:color w:val="auto"/>
        </w:rPr>
      </w:pPr>
    </w:p>
    <w:p>
      <w:pPr>
        <w:ind w:left="1020" w:hanging="506"/>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Valuations based on unadjusted quoted prices in active markets for identical assets or liabilities that the Company has the ability to access.</w:t>
      </w:r>
    </w:p>
    <w:p>
      <w:pPr>
        <w:spacing w:after="0" w:line="14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Valuations based on quoted prices in markets that are not active or for which all significant inputs are observable, either directly or indirectly.</w:t>
      </w:r>
    </w:p>
    <w:p>
      <w:pPr>
        <w:spacing w:after="0" w:line="14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Valuations based on inputs that are unobservable and significant to the overall fair value measurement.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Level 3 Valuation Techniques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w:t>
      </w:r>
    </w:p>
    <w:p>
      <w:pPr>
        <w:spacing w:after="0" w:line="94" w:lineRule="exact"/>
        <w:rPr>
          <w:sz w:val="20"/>
          <w:szCs w:val="20"/>
          <w:color w:val="auto"/>
        </w:rPr>
      </w:pPr>
    </w:p>
    <w:p>
      <w:pPr>
        <w:ind w:left="520" w:hanging="260"/>
        <w:spacing w:after="0" w:line="262" w:lineRule="auto"/>
        <w:tabs>
          <w:tab w:leader="none" w:pos="51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Business Combination Earn-Out Liability - </w:t>
      </w:r>
      <w:r>
        <w:rPr>
          <w:rFonts w:ascii="Times New Roman" w:cs="Times New Roman" w:eastAsia="Times New Roman" w:hAnsi="Times New Roman"/>
          <w:sz w:val="16"/>
          <w:szCs w:val="16"/>
          <w:color w:val="auto"/>
        </w:rPr>
        <w:t>The Company’s valuation approach utilized a Monte Carlo simulation to estimate future share prices and the implied earn-out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discounted using the risk-free rate.</w:t>
      </w:r>
    </w:p>
    <w:p>
      <w:pPr>
        <w:spacing w:after="0" w:line="75" w:lineRule="exact"/>
        <w:rPr>
          <w:rFonts w:ascii="Times New Roman" w:cs="Times New Roman" w:eastAsia="Times New Roman" w:hAnsi="Times New Roman"/>
          <w:sz w:val="16"/>
          <w:szCs w:val="16"/>
          <w:color w:val="auto"/>
        </w:rPr>
      </w:pPr>
    </w:p>
    <w:p>
      <w:pPr>
        <w:ind w:left="520" w:hanging="260"/>
        <w:spacing w:after="0" w:line="275" w:lineRule="auto"/>
        <w:tabs>
          <w:tab w:leader="none" w:pos="51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 Liability - </w:t>
      </w:r>
      <w:r>
        <w:rPr>
          <w:rFonts w:ascii="Times New Roman" w:cs="Times New Roman" w:eastAsia="Times New Roman" w:hAnsi="Times New Roman"/>
          <w:sz w:val="16"/>
          <w:szCs w:val="16"/>
          <w:color w:val="auto"/>
        </w:rPr>
        <w:t>The Company’s valuation approach utilized a Monte Carlo simulation to estimate future taxable income, share prices, and the implied TRA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is estimated based on the Company’s credit rating.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20" w:hanging="260"/>
        <w:spacing w:after="0" w:line="236" w:lineRule="auto"/>
        <w:tabs>
          <w:tab w:leader="none" w:pos="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AWMS Earn-Out Liability </w:t>
      </w:r>
      <w:r>
        <w:rPr>
          <w:rFonts w:ascii="Times New Roman" w:cs="Times New Roman" w:eastAsia="Times New Roman" w:hAnsi="Times New Roman"/>
          <w:sz w:val="16"/>
          <w:szCs w:val="16"/>
          <w:color w:val="auto"/>
        </w:rPr>
        <w:t>- The Company’s valuation approach utilized a Monte Carlo simulation to estimate future revenue and the implied earn out payment discounted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using the liability discount rate which is estimated based on the Company’s credit rating. As of September 30, 2024, the settlement amount became known, which is based on actual revenues received. As such, the use of the Level 3 valuation technique has been discontinued. Additionally, during the fourth quarter of 2024, the AWMS earn-out liability was fully paid.</w:t>
      </w:r>
    </w:p>
    <w:p>
      <w:pPr>
        <w:spacing w:after="0" w:line="103" w:lineRule="exact"/>
        <w:rPr>
          <w:rFonts w:ascii="Times New Roman" w:cs="Times New Roman" w:eastAsia="Times New Roman" w:hAnsi="Times New Roman"/>
          <w:sz w:val="16"/>
          <w:szCs w:val="16"/>
          <w:color w:val="auto"/>
        </w:rPr>
      </w:pPr>
    </w:p>
    <w:p>
      <w:pPr>
        <w:ind w:left="520" w:hanging="260"/>
        <w:spacing w:after="0" w:line="262" w:lineRule="auto"/>
        <w:tabs>
          <w:tab w:leader="none" w:pos="5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EEA Earn-Out Liability - </w:t>
      </w:r>
      <w:r>
        <w:rPr>
          <w:rFonts w:ascii="Times New Roman" w:cs="Times New Roman" w:eastAsia="Times New Roman" w:hAnsi="Times New Roman"/>
          <w:sz w:val="16"/>
          <w:szCs w:val="16"/>
          <w:color w:val="auto"/>
        </w:rPr>
        <w:t>The Company’s valuation approach utilized a Discounted Cash Flow approach to determine the fair value using the liability discount rate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estimated based on the Company’s credit quality.</w:t>
      </w:r>
    </w:p>
    <w:p>
      <w:pPr>
        <w:spacing w:after="0" w:line="96" w:lineRule="exact"/>
        <w:rPr>
          <w:rFonts w:ascii="Times New Roman" w:cs="Times New Roman" w:eastAsia="Times New Roman" w:hAnsi="Times New Roman"/>
          <w:sz w:val="16"/>
          <w:szCs w:val="16"/>
          <w:color w:val="auto"/>
        </w:rPr>
      </w:pPr>
    </w:p>
    <w:p>
      <w:pPr>
        <w:ind w:left="520" w:hanging="260"/>
        <w:spacing w:after="0" w:line="262" w:lineRule="auto"/>
        <w:tabs>
          <w:tab w:leader="none" w:pos="5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Envoi Earn-Out Consideration Liability </w:t>
      </w:r>
      <w:r>
        <w:rPr>
          <w:rFonts w:ascii="Times New Roman" w:cs="Times New Roman" w:eastAsia="Times New Roman" w:hAnsi="Times New Roman"/>
          <w:sz w:val="16"/>
          <w:szCs w:val="16"/>
          <w:color w:val="auto"/>
        </w:rPr>
        <w:t>- The Company’s valuation approach utilized a risk-adjusted Discounted Cash Flow approach to determine the fair value using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liability discount rate which is estimated based on the Company’s credit quality rating.</w:t>
      </w:r>
    </w:p>
    <w:p>
      <w:pPr>
        <w:spacing w:after="0" w:line="96" w:lineRule="exact"/>
        <w:rPr>
          <w:rFonts w:ascii="Times New Roman" w:cs="Times New Roman" w:eastAsia="Times New Roman" w:hAnsi="Times New Roman"/>
          <w:sz w:val="16"/>
          <w:szCs w:val="16"/>
          <w:color w:val="auto"/>
        </w:rPr>
      </w:pPr>
    </w:p>
    <w:p>
      <w:pPr>
        <w:ind w:left="520" w:hanging="260"/>
        <w:spacing w:after="0" w:line="275" w:lineRule="auto"/>
        <w:tabs>
          <w:tab w:leader="none" w:pos="5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Envoi Earn-Out Growth Consideration Liability </w:t>
      </w:r>
      <w:r>
        <w:rPr>
          <w:rFonts w:ascii="Times New Roman" w:cs="Times New Roman" w:eastAsia="Times New Roman" w:hAnsi="Times New Roman"/>
          <w:sz w:val="16"/>
          <w:szCs w:val="16"/>
          <w:color w:val="auto"/>
        </w:rPr>
        <w:t>- The Company’s valuation approach utilized a Monte Carlo simulation to estimate future revenue and the implied earn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 payment discounted using the liability discount rate which is estimated based on the Company’s credit quality rating.</w:t>
      </w:r>
    </w:p>
    <w:p>
      <w:pPr>
        <w:spacing w:after="0" w:line="77" w:lineRule="exact"/>
        <w:rPr>
          <w:rFonts w:ascii="Times New Roman" w:cs="Times New Roman" w:eastAsia="Times New Roman" w:hAnsi="Times New Roman"/>
          <w:sz w:val="16"/>
          <w:szCs w:val="16"/>
          <w:color w:val="auto"/>
        </w:rPr>
      </w:pPr>
    </w:p>
    <w:p>
      <w:pPr>
        <w:jc w:val="both"/>
        <w:ind w:left="520" w:hanging="260"/>
        <w:spacing w:after="0" w:line="253" w:lineRule="auto"/>
        <w:tabs>
          <w:tab w:leader="none" w:pos="5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Earn-In Consideration Payable - </w:t>
      </w:r>
      <w:r>
        <w:rPr>
          <w:rFonts w:ascii="Times New Roman" w:cs="Times New Roman" w:eastAsia="Times New Roman" w:hAnsi="Times New Roman"/>
          <w:sz w:val="16"/>
          <w:szCs w:val="16"/>
          <w:color w:val="auto"/>
        </w:rPr>
        <w:t>The Company’s valuation approach utilized a Monte Carlo simulation to estimate future revenue and the implied earn in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was estimated based on the credit rating of TWMH. On July 14, 2023, the Company amended the Holbein purchase agreement related to the Holbein acquisition discussed in Note 5 (Equity-Based Compensation), which crystallized the contingent earn-in consideration amount and discontinued the use of a Level 3 valuation technique.</w:t>
      </w:r>
    </w:p>
    <w:p>
      <w:pPr>
        <w:spacing w:after="0" w:line="104" w:lineRule="exact"/>
        <w:rPr>
          <w:rFonts w:ascii="Times New Roman" w:cs="Times New Roman" w:eastAsia="Times New Roman" w:hAnsi="Times New Roman"/>
          <w:sz w:val="16"/>
          <w:szCs w:val="16"/>
          <w:color w:val="auto"/>
        </w:rPr>
      </w:pPr>
    </w:p>
    <w:p>
      <w:pPr>
        <w:jc w:val="both"/>
        <w:ind w:left="520" w:hanging="260"/>
        <w:spacing w:after="0" w:line="248" w:lineRule="auto"/>
        <w:tabs>
          <w:tab w:leader="none" w:pos="5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Investments in External Strategic Managers - </w:t>
      </w:r>
      <w:r>
        <w:rPr>
          <w:rFonts w:ascii="Times New Roman" w:cs="Times New Roman" w:eastAsia="Times New Roman" w:hAnsi="Times New Roman"/>
          <w:sz w:val="16"/>
          <w:szCs w:val="16"/>
          <w:color w:val="auto"/>
        </w:rPr>
        <w:t>The Company utilized a Discounted Cash Flow approach to determine the fair value of the External Strategic Managers.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spacing w:after="0" w:line="173" w:lineRule="exact"/>
        <w:rPr>
          <w:rFonts w:ascii="Times New Roman" w:cs="Times New Roman" w:eastAsia="Times New Roman" w:hAnsi="Times New Roman"/>
          <w:sz w:val="16"/>
          <w:szCs w:val="16"/>
          <w:color w:val="auto"/>
        </w:rPr>
      </w:pPr>
    </w:p>
    <w:p>
      <w:pPr>
        <w:ind w:left="520" w:right="560" w:hanging="260"/>
        <w:spacing w:after="0" w:line="275" w:lineRule="auto"/>
        <w:tabs>
          <w:tab w:leader="none" w:pos="51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 xml:space="preserve">Contingent Consideration Receivable - </w:t>
      </w:r>
      <w:r>
        <w:rPr>
          <w:rFonts w:ascii="Times New Roman" w:cs="Times New Roman" w:eastAsia="Times New Roman" w:hAnsi="Times New Roman"/>
          <w:sz w:val="16"/>
          <w:szCs w:val="16"/>
          <w:color w:val="auto"/>
        </w:rPr>
        <w:t>The Company utilized a Monte Carlo simulation to estimate the future share price of the acquirer of LRA, and the implied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contingent consideration discounted using the risk-free rate and the acquirer’s estimated credit spread.</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48" w:lineRule="auto"/>
        <w:tabs>
          <w:tab w:leader="none" w:pos="51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b w:val="1"/>
          <w:bCs w:val="1"/>
          <w:color w:val="auto"/>
        </w:rPr>
        <w:t xml:space="preserve">Preferred Stock Tranche Liability </w:t>
      </w:r>
      <w:r>
        <w:rPr>
          <w:rFonts w:ascii="Times New Roman" w:cs="Times New Roman" w:eastAsia="Times New Roman" w:hAnsi="Times New Roman"/>
          <w:sz w:val="16"/>
          <w:szCs w:val="16"/>
          <w:color w:val="auto"/>
        </w:rPr>
        <w:t>- The fair value of the Allianz Tranche Right is determined based on Level 3 inputs using a binomial lattice model. At each node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valuation methodologies table below for further analysis of Level 3 valuations.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is a summary categorization of the Company’s financial instruments based on the inputs utilized in determining the value of such financial instruments. Investments at fair value as of December 31, 2024, and December 31, 2023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2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 and BDC funds</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External Strategic Managers </w:t>
            </w:r>
            <w:r>
              <w:rPr>
                <w:rFonts w:ascii="Times New Roman" w:cs="Times New Roman" w:eastAsia="Times New Roman" w:hAnsi="Times New Roman"/>
                <w:sz w:val="16"/>
                <w:szCs w:val="16"/>
                <w:b w:val="1"/>
                <w:bCs w:val="1"/>
                <w:color w:val="auto"/>
                <w:vertAlign w:val="superscript"/>
              </w:rPr>
              <w:t>(1)</w:t>
            </w:r>
          </w:p>
        </w:tc>
        <w:tc>
          <w:tcPr>
            <w:tcW w:w="12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147,568</w:t>
            </w:r>
          </w:p>
        </w:tc>
      </w:tr>
      <w:tr>
        <w:trPr>
          <w:trHeight w:val="191"/>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Affiliated Funds </w:t>
            </w:r>
            <w:r>
              <w:rPr>
                <w:rFonts w:ascii="Times New Roman" w:cs="Times New Roman" w:eastAsia="Times New Roman" w:hAnsi="Times New Roman"/>
                <w:sz w:val="16"/>
                <w:szCs w:val="16"/>
                <w:b w:val="1"/>
                <w:bCs w:val="1"/>
                <w:color w:val="auto"/>
                <w:vertAlign w:val="superscript"/>
              </w:rPr>
              <w:t>(2)</w:t>
            </w:r>
          </w:p>
        </w:tc>
        <w:tc>
          <w:tcPr>
            <w:tcW w:w="1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w:t>
            </w:r>
          </w:p>
        </w:tc>
      </w:tr>
      <w:tr>
        <w:trPr>
          <w:trHeight w:val="183"/>
        </w:trPr>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Contingent consideration receivable</w:t>
            </w: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150,063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 tranche liability</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Earn-out liabilities</w:t>
            </w:r>
          </w:p>
        </w:tc>
        <w:tc>
          <w:tcPr>
            <w:tcW w:w="1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64,639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64,639</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TRA liability </w:t>
            </w:r>
            <w:r>
              <w:rPr>
                <w:rFonts w:ascii="Times New Roman" w:cs="Times New Roman" w:eastAsia="Times New Roman" w:hAnsi="Times New Roman"/>
                <w:sz w:val="16"/>
                <w:szCs w:val="16"/>
                <w:b w:val="1"/>
                <w:bCs w:val="1"/>
                <w:color w:val="auto"/>
                <w:vertAlign w:val="superscript"/>
              </w:rPr>
              <w:t>(3)</w:t>
            </w:r>
          </w:p>
        </w:tc>
        <w:tc>
          <w:tcPr>
            <w:tcW w:w="12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9,378</w:t>
            </w:r>
          </w:p>
        </w:tc>
      </w:tr>
      <w:tr>
        <w:trPr>
          <w:trHeight w:val="183"/>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tcPr>
          <w:p>
            <w:pPr>
              <w:spacing w:after="0"/>
              <w:rPr>
                <w:sz w:val="16"/>
                <w:szCs w:val="16"/>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77,957</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78,889</w:t>
            </w:r>
          </w:p>
        </w:tc>
      </w:tr>
      <w:tr>
        <w:trPr>
          <w:trHeight w:val="20"/>
        </w:trPr>
        <w:tc>
          <w:tcPr>
            <w:tcW w:w="5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5"/>
        <w:spacing w:after="0" w:line="266" w:lineRule="auto"/>
        <w:tabs>
          <w:tab w:leader="none" w:pos="117" w:val="left"/>
        </w:tabs>
        <w:numPr>
          <w:ilvl w:val="0"/>
          <w:numId w:val="94"/>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fair value of certain investments within the Company’s Investments - External Strategic Managers are reported on a one-month lag from the fund financial statements due to timing of the information provided by the funds and third-party entities unless information is available on a timelier basis. As a result, any changes in the markets in which our managed funds operate, and the impact market conditions have on underlying asset valuations, may not yet be reflected in reported amounts.</w:t>
      </w:r>
    </w:p>
    <w:p>
      <w:pPr>
        <w:spacing w:after="0" w:line="201" w:lineRule="exact"/>
        <w:rPr>
          <w:rFonts w:ascii="Times New Roman" w:cs="Times New Roman" w:eastAsia="Times New Roman" w:hAnsi="Times New Roman"/>
          <w:sz w:val="14"/>
          <w:szCs w:val="14"/>
          <w:b w:val="1"/>
          <w:bCs w:val="1"/>
          <w:color w:val="auto"/>
          <w:vertAlign w:val="superscript"/>
        </w:rPr>
      </w:pPr>
    </w:p>
    <w:p>
      <w:pPr>
        <w:jc w:val="both"/>
        <w:ind w:firstLine="5"/>
        <w:spacing w:after="0" w:line="269" w:lineRule="auto"/>
        <w:tabs>
          <w:tab w:leader="none" w:pos="128" w:val="left"/>
        </w:tabs>
        <w:numPr>
          <w:ilvl w:val="0"/>
          <w:numId w:val="94"/>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spacing w:after="0" w:line="200" w:lineRule="exact"/>
        <w:rPr>
          <w:rFonts w:ascii="Times New Roman" w:cs="Times New Roman" w:eastAsia="Times New Roman" w:hAnsi="Times New Roman"/>
          <w:sz w:val="14"/>
          <w:szCs w:val="14"/>
          <w:b w:val="1"/>
          <w:bCs w:val="1"/>
          <w:color w:val="auto"/>
          <w:vertAlign w:val="superscript"/>
        </w:rPr>
      </w:pPr>
    </w:p>
    <w:p>
      <w:pPr>
        <w:ind w:left="120" w:hanging="115"/>
        <w:spacing w:after="0"/>
        <w:tabs>
          <w:tab w:leader="none" w:pos="120" w:val="left"/>
        </w:tabs>
        <w:numPr>
          <w:ilvl w:val="0"/>
          <w:numId w:val="94"/>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Company carries a portion of its TRA liability at fair value equal to the expected future payments under the TRA.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164,084</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Affiliated Funds </w:t>
            </w:r>
            <w:r>
              <w:rPr>
                <w:rFonts w:ascii="Times New Roman" w:cs="Times New Roman" w:eastAsia="Times New Roman" w:hAnsi="Times New Roman"/>
                <w:sz w:val="16"/>
                <w:szCs w:val="16"/>
                <w:b w:val="1"/>
                <w:bCs w:val="1"/>
                <w:color w:val="auto"/>
                <w:vertAlign w:val="superscript"/>
              </w:rPr>
              <w:t>(1)</w:t>
            </w:r>
          </w:p>
        </w:tc>
        <w:tc>
          <w:tcPr>
            <w:tcW w:w="1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165,894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50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Earn-out liabilities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TRA liability </w:t>
            </w:r>
            <w:r>
              <w:rPr>
                <w:rFonts w:ascii="Times New Roman" w:cs="Times New Roman" w:eastAsia="Times New Roman" w:hAnsi="Times New Roman"/>
                <w:sz w:val="16"/>
                <w:szCs w:val="16"/>
                <w:b w:val="1"/>
                <w:bCs w:val="1"/>
                <w:color w:val="auto"/>
                <w:vertAlign w:val="superscript"/>
              </w:rPr>
              <w:t>(2)</w:t>
            </w:r>
          </w:p>
        </w:tc>
        <w:tc>
          <w:tcPr>
            <w:tcW w:w="1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r>
      <w:tr>
        <w:trPr>
          <w:trHeight w:val="183"/>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tcPr>
          <w:p>
            <w:pPr>
              <w:spacing w:after="0"/>
              <w:rPr>
                <w:sz w:val="16"/>
                <w:szCs w:val="16"/>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78,507</w:t>
            </w:r>
          </w:p>
        </w:tc>
      </w:tr>
      <w:tr>
        <w:trPr>
          <w:trHeight w:val="20"/>
        </w:trPr>
        <w:tc>
          <w:tcPr>
            <w:tcW w:w="5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5"/>
        <w:spacing w:after="0" w:line="269" w:lineRule="auto"/>
        <w:tabs>
          <w:tab w:leader="none" w:pos="128" w:val="left"/>
        </w:tabs>
        <w:numPr>
          <w:ilvl w:val="0"/>
          <w:numId w:val="9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spacing w:after="0" w:line="200" w:lineRule="exact"/>
        <w:rPr>
          <w:rFonts w:ascii="Times New Roman" w:cs="Times New Roman" w:eastAsia="Times New Roman" w:hAnsi="Times New Roman"/>
          <w:sz w:val="14"/>
          <w:szCs w:val="14"/>
          <w:b w:val="1"/>
          <w:bCs w:val="1"/>
          <w:color w:val="auto"/>
          <w:vertAlign w:val="superscript"/>
        </w:rPr>
      </w:pPr>
    </w:p>
    <w:p>
      <w:pPr>
        <w:ind w:left="120" w:hanging="115"/>
        <w:spacing w:after="0"/>
        <w:tabs>
          <w:tab w:leader="none" w:pos="120" w:val="left"/>
        </w:tabs>
        <w:numPr>
          <w:ilvl w:val="0"/>
          <w:numId w:val="9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Company carries a portion of its TRA liability at fair value based on the expected future payments under the TRA.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Fair Value Measurements Categorized within Level 3</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Unrealized gains and losses on the Company’s assets and liabilities carried at fair value on a recurring basis are included within other losses in the Consolidated Statement of Operations. During the year ended December 31, 2024, there was one transfer from Level 3 to Level 1 of the AWMS earn-out liability. During the year ended December 31, 2023, there was one transfer from Level 3 to Level 1 of the earn-in consideration payable. The following table sets forth a summary of changes in the fair value of Level 3 measurements as of December 31, 2024 and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Level 3 Liabilities as of December 31, 2024</w:t>
            </w: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TRA liability</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Earn-out</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AWMS earn-out</w:t>
            </w:r>
          </w:p>
        </w:tc>
        <w:tc>
          <w:tcPr>
            <w:tcW w:w="14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EEA earn-out</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Envoi earn-out</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Envoi earn-out growth</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80" w:type="dxa"/>
            <w:vAlign w:val="bottom"/>
          </w:tcPr>
          <w:p>
            <w:pPr>
              <w:spacing w:after="0"/>
              <w:rPr>
                <w:sz w:val="13"/>
                <w:szCs w:val="13"/>
                <w:color w:val="auto"/>
              </w:rPr>
            </w:pPr>
          </w:p>
        </w:tc>
        <w:tc>
          <w:tcPr>
            <w:tcW w:w="620" w:type="dxa"/>
            <w:vAlign w:val="bottom"/>
            <w:vMerge w:val="restart"/>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7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consideration liability</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w w:val="98"/>
              </w:rPr>
              <w:t>consideration liability</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tranche liability</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76,677</w:t>
            </w: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2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36,848</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(gains) losses</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(34,465)</w:t>
            </w:r>
          </w:p>
        </w:tc>
        <w:tc>
          <w:tcPr>
            <w:tcW w:w="0" w:type="dxa"/>
            <w:vAlign w:val="bottom"/>
          </w:tcPr>
          <w:p>
            <w:pPr>
              <w:spacing w:after="0"/>
              <w:rPr>
                <w:sz w:val="1"/>
                <w:szCs w:val="1"/>
                <w:color w:val="auto"/>
              </w:rPr>
            </w:pPr>
          </w:p>
        </w:tc>
      </w:tr>
      <w:tr>
        <w:trPr>
          <w:trHeight w:val="19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23,848</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6"/>
                <w:szCs w:val="16"/>
                <w:color w:val="auto"/>
              </w:rPr>
            </w:pP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8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77,957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Level 3 Liabilities as of December 31, 2023</w:t>
            </w: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66"/>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Earn-out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AWMS earn-out</w:t>
            </w:r>
          </w:p>
        </w:tc>
        <w:tc>
          <w:tcPr>
            <w:tcW w:w="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 consideration</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TRA Liability</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106,280</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13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r>
      <w:tr>
        <w:trPr>
          <w:trHeight w:val="19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13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(gains) losses</w:t>
            </w:r>
          </w:p>
        </w:tc>
        <w:tc>
          <w:tcPr>
            <w:tcW w:w="1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(30,494)</w:t>
            </w: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1240" w:type="dxa"/>
            <w:vAlign w:val="bottom"/>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r>
      <w:tr>
        <w:trPr>
          <w:trHeight w:val="20"/>
        </w:trPr>
        <w:tc>
          <w:tcPr>
            <w:tcW w:w="25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8"/>
              </w:rPr>
              <w:t>Level 3 Assets as of December 31, 2024</w:t>
            </w:r>
          </w:p>
        </w:tc>
        <w:tc>
          <w:tcPr>
            <w:tcW w:w="1460" w:type="dxa"/>
            <w:vAlign w:val="bottom"/>
            <w:tcBorders>
              <w:bottom w:val="single" w:sz="8" w:color="auto"/>
            </w:tcBorders>
          </w:tcPr>
          <w:p>
            <w:pPr>
              <w:spacing w:after="0"/>
              <w:rPr>
                <w:sz w:val="15"/>
                <w:szCs w:val="15"/>
                <w:color w:val="auto"/>
              </w:rPr>
            </w:pPr>
          </w:p>
        </w:tc>
      </w:tr>
      <w:tr>
        <w:trPr>
          <w:trHeight w:val="155"/>
        </w:trPr>
        <w:tc>
          <w:tcPr>
            <w:tcW w:w="540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Investments – External Strategic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Contingent Consideration</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Managers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164,077</w:t>
            </w:r>
          </w:p>
        </w:tc>
      </w:tr>
      <w:tr>
        <w:trPr>
          <w:trHeight w:val="183"/>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and Unrealized Gains (Losses)</w:t>
            </w:r>
          </w:p>
        </w:tc>
        <w:tc>
          <w:tcPr>
            <w:tcW w:w="3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(17,055)</w:t>
            </w:r>
          </w:p>
        </w:tc>
      </w:tr>
      <w:tr>
        <w:trPr>
          <w:trHeight w:val="19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r>
      <w:tr>
        <w:trPr>
          <w:trHeight w:val="189"/>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147,568</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tcPr>
          <w:p>
            <w:pPr>
              <w:spacing w:after="0"/>
              <w:rPr>
                <w:sz w:val="16"/>
                <w:szCs w:val="16"/>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148,957</w:t>
            </w:r>
          </w:p>
        </w:tc>
      </w:tr>
      <w:tr>
        <w:trPr>
          <w:trHeight w:val="20"/>
        </w:trPr>
        <w:tc>
          <w:tcPr>
            <w:tcW w:w="5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3"/>
          <w:szCs w:val="13"/>
          <w:b w:val="1"/>
          <w:bCs w:val="1"/>
          <w:color w:val="auto"/>
        </w:rPr>
        <w:t>Level 3 Assets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20955</wp:posOffset>
            </wp:positionV>
            <wp:extent cx="24790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80" w:type="dxa"/>
            <w:vAlign w:val="bottom"/>
          </w:tcPr>
          <w:p>
            <w:pPr>
              <w:spacing w:after="0"/>
              <w:rPr>
                <w:sz w:val="13"/>
                <w:szCs w:val="13"/>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Investments – External Strategic</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Managers</w:t>
            </w:r>
          </w:p>
        </w:tc>
        <w:tc>
          <w:tcPr>
            <w:tcW w:w="440" w:type="dxa"/>
            <w:vAlign w:val="bottom"/>
          </w:tcPr>
          <w:p>
            <w:pPr>
              <w:spacing w:after="0"/>
              <w:rPr>
                <w:sz w:val="15"/>
                <w:szCs w:val="15"/>
                <w:color w:val="auto"/>
              </w:rPr>
            </w:pPr>
          </w:p>
        </w:tc>
        <w:tc>
          <w:tcPr>
            <w:tcW w:w="1460" w:type="dxa"/>
            <w:vAlign w:val="bottom"/>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r>
      <w:tr>
        <w:trPr>
          <w:trHeight w:val="183"/>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and Unrealized Gains (Losses)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9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r>
      <w:tr>
        <w:trPr>
          <w:trHeight w:val="18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r>
      <w:tr>
        <w:trPr>
          <w:trHeight w:val="20"/>
        </w:trPr>
        <w:tc>
          <w:tcPr>
            <w:tcW w:w="7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to Valuation</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an Increase in</w:t>
            </w:r>
          </w:p>
        </w:tc>
        <w:tc>
          <w:tcPr>
            <w:tcW w:w="0" w:type="dxa"/>
            <w:vAlign w:val="bottom"/>
          </w:tcPr>
          <w:p>
            <w:pPr>
              <w:spacing w:after="0"/>
              <w:rPr>
                <w:sz w:val="1"/>
                <w:szCs w:val="1"/>
                <w:color w:val="auto"/>
              </w:rPr>
            </w:pPr>
          </w:p>
        </w:tc>
      </w:tr>
      <w:tr>
        <w:trPr>
          <w:trHeight w:val="17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Techniques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Ranges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0" w:type="dxa"/>
            <w:vAlign w:val="bottom"/>
          </w:tcPr>
          <w:p>
            <w:pPr>
              <w:spacing w:after="0"/>
              <w:rPr>
                <w:sz w:val="1"/>
                <w:szCs w:val="1"/>
                <w:color w:val="auto"/>
              </w:rPr>
            </w:pPr>
          </w:p>
        </w:tc>
      </w:tr>
      <w:tr>
        <w:trPr>
          <w:trHeight w:val="17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Assets: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147,568</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 -33%</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Long-term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receivable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9,378</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Correlation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Cost of debt range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 - 10.9%</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Equity risk premium</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- 13.2%</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Combination earn-out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23,848</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EEA earn-out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29,871</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EBITDA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Envoi earn-out consideration liability</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00" w:type="dxa"/>
            <w:vAlign w:val="bottom"/>
          </w:tcPr>
          <w:p>
            <w:pPr>
              <w:spacing w:after="0"/>
              <w:rPr>
                <w:sz w:val="15"/>
                <w:szCs w:val="15"/>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Revenue risk-adjusted</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Envoi earn-out growth consideration liability</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tcPr>
          <w:p>
            <w:pPr>
              <w:spacing w:after="0"/>
              <w:rPr>
                <w:sz w:val="15"/>
                <w:szCs w:val="15"/>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Metric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Risk Adjusted</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 tranche liability</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100" w:type="dxa"/>
            <w:vAlign w:val="bottom"/>
          </w:tcPr>
          <w:p>
            <w:pPr>
              <w:spacing w:after="0"/>
              <w:rPr>
                <w:sz w:val="15"/>
                <w:szCs w:val="15"/>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Binomial lattice model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Probability of option</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exercise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Fair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to Valuation</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an Increase in</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Techniques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Ranges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Assets:</w:t>
            </w: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164,077</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 -29.0%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Long-term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Level 3 Liabilities: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Correlation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Cost of debt range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- 5.1%</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Equity risk premium</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- 13.1%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Combination 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AWMS 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Deferred Payment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Equity Method Investments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2024 and December 31, 2023, the Company had $27.5 million and $14.2 million, of equity method investments recorded within equity method investments on the Consolidated Statement of Financial Position and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For the years ended December 31, 2024 and December 31, 2023, the Company recognized $4.1 million and $6.6 million, respectively, of impairment on its equity method investments within gain (loss) on investments in the Consolidated Statement of Operations. Additionally, as part of the Business Combination, AlTi acquired the right to carried interest on several projects. These are held as assets at cost less impairment. The Company assesses indicators of impairment every quarter utilizing a number of factors, including market conditions. For the years ended December 31, 2024 and December 31, 2023, the Company recognized $69.1 thousand and $9.0 million, respectively, of impairment to these assets.</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evaluates each of its equity method investments to determine if any were significant as defined by guidance from the SEC. As of and for the years ended December 31, 2024, 2023 and 2022, no equity method investment held by the Company met the significance criteria individually or in aggregate. As such, the Company is not required to present separate financial statements or supplemental financial information for any of its equity method investments.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(9)</w:t>
      </w:r>
      <w:r>
        <w:rPr>
          <w:sz w:val="20"/>
          <w:szCs w:val="20"/>
          <w:color w:val="auto"/>
        </w:rPr>
        <w:tab/>
      </w:r>
      <w:r>
        <w:rPr>
          <w:rFonts w:ascii="Times New Roman" w:cs="Times New Roman" w:eastAsia="Times New Roman" w:hAnsi="Times New Roman"/>
          <w:sz w:val="14"/>
          <w:szCs w:val="14"/>
          <w:b w:val="1"/>
          <w:bCs w:val="1"/>
          <w:color w:val="auto"/>
        </w:rPr>
        <w:t>Variable Interest Entities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VIEs include certain private equity, real estate, and CLO vehicles. The purposes of such VIEs is to provide strategy-specific investment opportunities for investors in exchange for management and performance-based fees.</w:t>
      </w:r>
    </w:p>
    <w:p>
      <w:pPr>
        <w:spacing w:after="0" w:line="14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The Company holds variable interests in certain VIEs which are not consolidated because it was determined that the Company is not the primary beneficiary of such VIEs. The Company’s involvement with such entities is in the form of direct and indirect equity interests and fee arrangements. The Company’s maximum exposure to loss relating to non-consolidated VIEs is the carrying value of such investments, and in certain instances, its initial investment in and loans to certain VIEs. The Company’s maximum exposure to loss relating to non-consolidated VIEs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80"/>
        </w:trPr>
        <w:tc>
          <w:tcPr>
            <w:tcW w:w="69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Non-Consolidated VIEs</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2"/>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 VIE assets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3,559,742</w:t>
            </w:r>
          </w:p>
        </w:tc>
        <w:tc>
          <w:tcPr>
            <w:tcW w:w="2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3,777,125</w:t>
            </w: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 VIE liabilities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205,021</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215,896</w:t>
            </w:r>
          </w:p>
        </w:tc>
      </w:tr>
      <w:tr>
        <w:trPr>
          <w:trHeight w:val="22"/>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interests on the Consolidated Statement of Financial Position</w:t>
            </w:r>
          </w:p>
        </w:tc>
        <w:tc>
          <w:tcPr>
            <w:tcW w:w="2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6,360</w:t>
            </w:r>
          </w:p>
        </w:tc>
        <w:tc>
          <w:tcPr>
            <w:tcW w:w="2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9,866</w:t>
            </w: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AlTi exposure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6,360</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Investments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include Investments at fair value and Equity method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at fair value consist of investments for which the fair value option has been elected. The primary reasons for electing the fair value option are to:</w:t>
      </w:r>
    </w:p>
    <w:p>
      <w:pPr>
        <w:spacing w:after="0" w:line="145" w:lineRule="exact"/>
        <w:rPr>
          <w:sz w:val="20"/>
          <w:szCs w:val="20"/>
          <w:color w:val="auto"/>
        </w:rPr>
      </w:pPr>
    </w:p>
    <w:p>
      <w:pPr>
        <w:ind w:left="500" w:hanging="240"/>
        <w:spacing w:after="0"/>
        <w:tabs>
          <w:tab w:leader="none" w:pos="5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economic events in earnings on a timely basis;</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mitigate volatility in earnings from using different measurement attributes; and</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simplification and cost-benefit considerations</w:t>
      </w:r>
    </w:p>
    <w:p>
      <w:pPr>
        <w:spacing w:after="0" w:line="1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Such election is irrevocable and is applied on an investment-by-investment basis at initial recognition or at other eligible election dates. Changes in the fair value of such instruments are recognized in Loss on investments in the Consolidated Statement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Fair Value of Investments as of December 31, 2024 and December 31, 2023 are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Pr>
          <w:p>
            <w:pPr>
              <w:spacing w:after="0"/>
              <w:rPr>
                <w:sz w:val="16"/>
                <w:szCs w:val="16"/>
                <w:color w:val="auto"/>
              </w:rPr>
            </w:pPr>
          </w:p>
        </w:tc>
        <w:tc>
          <w:tcPr>
            <w:tcW w:w="290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1"/>
        </w:trPr>
        <w:tc>
          <w:tcPr>
            <w:tcW w:w="4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3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Mutual funds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Exchange-traded funds</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Associates Master Fund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 Enhanced Master Fund</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Enhanced</w:t>
            </w: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Arkkan Opportunities Feeder Fund</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Arkkan Capital Management Limited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Zebedee Asset Management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80,127</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69,454</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Romspen Investment Corporation </w:t>
            </w:r>
            <w:r>
              <w:rPr>
                <w:rFonts w:ascii="Times New Roman" w:cs="Times New Roman" w:eastAsia="Times New Roman" w:hAnsi="Times New Roman"/>
                <w:sz w:val="18"/>
                <w:szCs w:val="18"/>
                <w:b w:val="1"/>
                <w:bCs w:val="1"/>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69,802</w:t>
            </w: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Investments at fair value</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162,499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148,674</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163,157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165,894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4"/>
        </w:trPr>
        <w:tc>
          <w:tcPr>
            <w:tcW w:w="4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method investments: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equity method investments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 - investment advisory</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20,404</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20,404</w:t>
            </w:r>
          </w:p>
        </w:tc>
        <w:tc>
          <w:tcPr>
            <w:tcW w:w="1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Carried interest vehicles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r>
      <w:tr>
        <w:trPr>
          <w:trHeight w:val="181"/>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Equity method investments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27,517</w:t>
            </w: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2"/>
        </w:trPr>
        <w:tc>
          <w:tcPr>
            <w:tcW w:w="4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190,016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176,191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180,088</w:t>
            </w: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firstLine="5"/>
        <w:spacing w:after="0" w:line="234" w:lineRule="auto"/>
        <w:tabs>
          <w:tab w:leader="none" w:pos="131" w:val="left"/>
        </w:tabs>
        <w:numPr>
          <w:ilvl w:val="0"/>
          <w:numId w:val="97"/>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at fair value include unrealized gains (losses) and realized gains (losses) in the Consolidated Statement of Financial 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breakdown of unrealized gains (losses) and realized gains (losses) on Investments at fair value for the relevant periods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r>
      <w:tr>
        <w:trPr>
          <w:trHeight w:val="181"/>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Gains (Losses) on Investments at fair value:</w:t>
            </w:r>
          </w:p>
        </w:tc>
        <w:tc>
          <w:tcPr>
            <w:tcW w:w="2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gains (losses)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(68)</w:t>
            </w:r>
          </w:p>
        </w:tc>
      </w:tr>
      <w:tr>
        <w:trPr>
          <w:trHeight w:val="22"/>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gains (losses)</w:t>
            </w: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247</w:t>
            </w: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on Investments at fair value</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Intangible Assets,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Intangible assets, net reported on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3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4"/>
                <w:szCs w:val="14"/>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180" w:type="dxa"/>
            <w:vAlign w:val="bottom"/>
          </w:tcPr>
          <w:p>
            <w:pPr>
              <w:spacing w:after="0"/>
              <w:rPr>
                <w:sz w:val="18"/>
                <w:szCs w:val="18"/>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6"/>
              </w:rPr>
              <w:t xml:space="preserve">Amount </w:t>
            </w:r>
            <w:r>
              <w:rPr>
                <w:rFonts w:ascii="Times New Roman" w:cs="Times New Roman" w:eastAsia="Times New Roman" w:hAnsi="Times New Roman"/>
                <w:sz w:val="18"/>
                <w:szCs w:val="18"/>
                <w:b w:val="1"/>
                <w:bCs w:val="1"/>
                <w:color w:val="auto"/>
                <w:w w:val="96"/>
                <w:vertAlign w:val="superscript"/>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8"/>
                <w:szCs w:val="18"/>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Amortizing intangible assets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277,117</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258,118</w:t>
            </w:r>
          </w:p>
        </w:tc>
      </w:tr>
      <w:tr>
        <w:trPr>
          <w:trHeight w:val="191"/>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management agreements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9.4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w:t>
            </w:r>
          </w:p>
        </w:tc>
      </w:tr>
      <w:tr>
        <w:trPr>
          <w:trHeight w:val="191"/>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Acquired internally developed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intangible asset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3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amortized intangible assets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293,588</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268,563</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Non-amortized intangible assets </w:t>
            </w:r>
            <w:r>
              <w:rPr>
                <w:rFonts w:ascii="Times New Roman" w:cs="Times New Roman" w:eastAsia="Times New Roman" w:hAnsi="Times New Roman"/>
                <w:sz w:val="18"/>
                <w:szCs w:val="18"/>
                <w:color w:val="auto"/>
                <w:vertAlign w:val="superscript"/>
              </w:rPr>
              <w:t>(1)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4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 xml:space="preserve">Investment management agreements </w:t>
            </w:r>
            <w:r>
              <w:rPr>
                <w:rFonts w:ascii="Times New Roman" w:cs="Times New Roman" w:eastAsia="Times New Roman" w:hAnsi="Times New Roman"/>
                <w:sz w:val="18"/>
                <w:szCs w:val="18"/>
                <w:color w:val="auto"/>
                <w:vertAlign w:val="superscript"/>
              </w:rPr>
              <w:t>(3)</w:t>
            </w:r>
          </w:p>
        </w:tc>
        <w:tc>
          <w:tcPr>
            <w:tcW w:w="1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245,900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(44,900)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201,000</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539,488</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20" w:hanging="115"/>
        <w:spacing w:after="0"/>
        <w:tabs>
          <w:tab w:leader="none" w:pos="120" w:val="left"/>
        </w:tabs>
        <w:numPr>
          <w:ilvl w:val="0"/>
          <w:numId w:val="9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Company’s non-amortized intangible assets consist of management contracts for open-ended fund products, in which there is no contractual termination date.</w:t>
      </w:r>
    </w:p>
    <w:p>
      <w:pPr>
        <w:spacing w:after="0" w:line="178" w:lineRule="exact"/>
        <w:rPr>
          <w:rFonts w:ascii="Times New Roman" w:cs="Times New Roman" w:eastAsia="Times New Roman" w:hAnsi="Times New Roman"/>
          <w:sz w:val="14"/>
          <w:szCs w:val="14"/>
          <w:color w:val="auto"/>
          <w:vertAlign w:val="superscript"/>
        </w:rPr>
      </w:pPr>
    </w:p>
    <w:p>
      <w:pPr>
        <w:jc w:val="both"/>
        <w:ind w:firstLine="5"/>
        <w:spacing w:after="0" w:line="271" w:lineRule="auto"/>
        <w:tabs>
          <w:tab w:leader="none" w:pos="117" w:val="left"/>
        </w:tabs>
        <w:numPr>
          <w:ilvl w:val="0"/>
          <w:numId w:val="9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December 31, 2024, gross carrying amounts related to the Company’s intangible assets include additions to intangibles of $99.3 million related to the PW, EEA, and Envoi Acquisitions, a transfer of $4.6 million to Goodwill related to measurement period adjustments for the EEA Acquisition and a transfer of $1.0 million from Goodwill related to measurement period adjustments for the Envoi Acquisition (see Note 3 Business Combinations and Divestitures), as well as foreign currency translation differences of $(1.3) million.</w:t>
      </w:r>
    </w:p>
    <w:p>
      <w:pPr>
        <w:spacing w:after="0" w:line="147" w:lineRule="exact"/>
        <w:rPr>
          <w:rFonts w:ascii="Times New Roman" w:cs="Times New Roman" w:eastAsia="Times New Roman" w:hAnsi="Times New Roman"/>
          <w:sz w:val="14"/>
          <w:szCs w:val="14"/>
          <w:color w:val="auto"/>
          <w:vertAlign w:val="superscript"/>
        </w:rPr>
      </w:pPr>
    </w:p>
    <w:p>
      <w:pPr>
        <w:jc w:val="both"/>
        <w:ind w:firstLine="5"/>
        <w:spacing w:after="0" w:line="271" w:lineRule="auto"/>
        <w:tabs>
          <w:tab w:leader="none" w:pos="128" w:val="left"/>
        </w:tabs>
        <w:numPr>
          <w:ilvl w:val="0"/>
          <w:numId w:val="9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During the third quarter ended December 31, 2024, the Company commenced a strategic review of its Real Estate Businesses and conducted a realignment of its operating segments. Prior to the realignment, the Company conducted a goodwill impairment test to determine whether the fair value of its reporting units declined to an amount lower than the carrying value of goodwill. As part of the test, we utilized the discounted cash flow method and determined the fair value of TIG’s Investment Management Agreement (the “IMA”) had declined. As such, the Company recognized intangible asset impairment charges of $44.9 million related to the IMA, which is classified as an indefinite-lived intangible asset and part of the Wealth &amp; Capital Solutions segment. Drivers of the impairment for the IMA primarily include the financial projections and discount rate associated with the instrument. See Note 14 (Goodwill, net) for further details around the related impairment to goodwill as a result of our strategic realignment.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3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Period (in years)</w:t>
            </w: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 xml:space="preserve">Amount </w:t>
            </w:r>
            <w:r>
              <w:rPr>
                <w:rFonts w:ascii="Times New Roman" w:cs="Times New Roman" w:eastAsia="Times New Roman" w:hAnsi="Times New Roman"/>
                <w:sz w:val="18"/>
                <w:szCs w:val="18"/>
                <w:b w:val="1"/>
                <w:bCs w:val="1"/>
                <w:color w:val="auto"/>
                <w:w w:val="96"/>
                <w:vertAlign w:val="superscript"/>
              </w:rPr>
              <w:t>(3)</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Held for Sale</w:t>
            </w:r>
          </w:p>
        </w:tc>
        <w:tc>
          <w:tcPr>
            <w:tcW w:w="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8"/>
                <w:szCs w:val="18"/>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Amortizing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Customer relationships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177,270</w:t>
            </w:r>
          </w:p>
        </w:tc>
        <w:tc>
          <w:tcPr>
            <w:tcW w:w="0" w:type="dxa"/>
            <w:vAlign w:val="bottom"/>
          </w:tcPr>
          <w:p>
            <w:pPr>
              <w:spacing w:after="0"/>
              <w:rPr>
                <w:sz w:val="1"/>
                <w:szCs w:val="1"/>
                <w:color w:val="auto"/>
              </w:rPr>
            </w:pPr>
          </w:p>
        </w:tc>
      </w:tr>
      <w:tr>
        <w:trPr>
          <w:trHeight w:val="191"/>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Investment management agreements </w:t>
            </w:r>
            <w:r>
              <w:rPr>
                <w:rFonts w:ascii="Times New Roman" w:cs="Times New Roman" w:eastAsia="Times New Roman" w:hAnsi="Times New Roman"/>
                <w:sz w:val="16"/>
                <w:szCs w:val="16"/>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Trade names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9,565</w:t>
            </w:r>
          </w:p>
        </w:tc>
        <w:tc>
          <w:tcPr>
            <w:tcW w:w="0" w:type="dxa"/>
            <w:vAlign w:val="bottom"/>
          </w:tcPr>
          <w:p>
            <w:pPr>
              <w:spacing w:after="0"/>
              <w:rPr>
                <w:sz w:val="1"/>
                <w:szCs w:val="1"/>
                <w:color w:val="auto"/>
              </w:rPr>
            </w:pPr>
          </w:p>
        </w:tc>
      </w:tr>
      <w:tr>
        <w:trPr>
          <w:trHeight w:val="183"/>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Acquired internally developed software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intangible asset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29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amortized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303,668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189,777</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Non-amortized intangible assets </w:t>
            </w:r>
            <w:r>
              <w:rPr>
                <w:rFonts w:ascii="Times New Roman" w:cs="Times New Roman" w:eastAsia="Times New Roman" w:hAnsi="Times New Roman"/>
                <w:sz w:val="16"/>
                <w:szCs w:val="16"/>
                <w:color w:val="auto"/>
                <w:vertAlign w:val="superscript"/>
              </w:rPr>
              <w:t>(2)</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 management agreements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intangible assets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549,568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435,677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5"/>
        <w:spacing w:after="0" w:line="242" w:lineRule="auto"/>
        <w:tabs>
          <w:tab w:leader="none" w:pos="136"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During the year ended December 31, 2023, the Company deconsolidated AHRA (See Note 3 Business Combinations and Divestitures) and as a result, recorded an impairment charge of $29.4 million to the carrying value of AHRA’s investment advisory agreement with Home REIT, which is recorded in the line item Impairment loss on goodwill and intangible assets in the Consolidated Statement of Operations. 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Consolidated Statement of Financial Position as of December 31, 2024. This contingent consideration will be remeasured at fair value at each reporting date in accordance with ASC 820, </w:t>
      </w:r>
      <w:r>
        <w:rPr>
          <w:rFonts w:ascii="Times New Roman" w:cs="Times New Roman" w:eastAsia="Times New Roman" w:hAnsi="Times New Roman"/>
          <w:sz w:val="12"/>
          <w:szCs w:val="12"/>
          <w:i w:val="1"/>
          <w:iCs w:val="1"/>
          <w:color w:val="auto"/>
        </w:rPr>
        <w:t>Fair Value Measurement</w:t>
      </w:r>
      <w:r>
        <w:rPr>
          <w:rFonts w:ascii="Times New Roman" w:cs="Times New Roman" w:eastAsia="Times New Roman" w:hAnsi="Times New Roman"/>
          <w:sz w:val="12"/>
          <w:szCs w:val="12"/>
          <w:color w:val="auto"/>
        </w:rPr>
        <w:t>, with changes in fair value recognized in the Consolidated Statement of Operations in the period of change. The disposal completed on March 6, 2024. As a result, during the year ended December 31, 2023, AlTi recognized an intangible asset impairment charge of $23.5 million in Impairment loss on goodwill and intangible assets in the Consolidated Statement of Operations. In addition, as of December 31, 2023, the major classes of assets and liabilities of LRA were presented as held for sale in the Consolidated Statement of Financial Position. For the year ended December 31, 2024, a net loss of $(0.4) million gain was recorded in connection with the completion of this disposal, which was recognized in the line item Gain (loss) on investments in the Consolidated Statement of Operations.</w:t>
      </w:r>
    </w:p>
    <w:p>
      <w:pPr>
        <w:spacing w:after="0" w:line="123" w:lineRule="exact"/>
        <w:rPr>
          <w:rFonts w:ascii="Times New Roman" w:cs="Times New Roman" w:eastAsia="Times New Roman" w:hAnsi="Times New Roman"/>
          <w:sz w:val="16"/>
          <w:szCs w:val="16"/>
          <w:color w:val="auto"/>
          <w:vertAlign w:val="superscript"/>
        </w:rPr>
      </w:pPr>
    </w:p>
    <w:p>
      <w:pPr>
        <w:ind w:left="120" w:hanging="115"/>
        <w:spacing w:after="0"/>
        <w:tabs>
          <w:tab w:leader="none" w:pos="120" w:val="left"/>
        </w:tabs>
        <w:numPr>
          <w:ilvl w:val="0"/>
          <w:numId w:val="9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Company’s non-amortized intangible assets consist of management contracts for open-ended fund products, in which there is no contractual termination date.</w:t>
      </w:r>
    </w:p>
    <w:p>
      <w:pPr>
        <w:spacing w:after="0" w:line="74" w:lineRule="exact"/>
        <w:rPr>
          <w:rFonts w:ascii="Times New Roman" w:cs="Times New Roman" w:eastAsia="Times New Roman" w:hAnsi="Times New Roman"/>
          <w:sz w:val="14"/>
          <w:szCs w:val="14"/>
          <w:color w:val="auto"/>
          <w:vertAlign w:val="superscript"/>
        </w:rPr>
      </w:pPr>
    </w:p>
    <w:p>
      <w:pPr>
        <w:ind w:left="140" w:hanging="135"/>
        <w:spacing w:after="0"/>
        <w:tabs>
          <w:tab w:leader="none" w:pos="140" w:val="left"/>
        </w:tabs>
        <w:numPr>
          <w:ilvl w:val="0"/>
          <w:numId w:val="9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Gross carrying amounts related to the Company’s intangible assets include foreign currency translation differences of $7.4 million as of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 of approximately $13.4 million, $14.1 million and $1.9 million for the years ended December 31, 2024, 2023 and 2022, respectively, was recognized.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future amortization for finite-lived intangible assets for each of the next five years and thereafter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6"/>
                <w:szCs w:val="16"/>
                <w:color w:val="auto"/>
              </w:rPr>
            </w:pPr>
          </w:p>
        </w:tc>
        <w:tc>
          <w:tcPr>
            <w:tcW w:w="19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w:t>
            </w:r>
          </w:p>
        </w:tc>
      </w:tr>
      <w:tr>
        <w:trPr>
          <w:trHeight w:val="22"/>
        </w:trPr>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r>
      <w:tr>
        <w:trPr>
          <w:trHeight w:val="22"/>
        </w:trPr>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beyond</w:t>
            </w:r>
          </w:p>
        </w:tc>
        <w:tc>
          <w:tcPr>
            <w:tcW w:w="2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207,563</w:t>
            </w:r>
          </w:p>
        </w:tc>
      </w:tr>
      <w:tr>
        <w:trPr>
          <w:trHeight w:val="203"/>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268,563</w:t>
            </w:r>
          </w:p>
        </w:tc>
      </w:tr>
      <w:tr>
        <w:trPr>
          <w:trHeight w:val="20"/>
        </w:trPr>
        <w:tc>
          <w:tcPr>
            <w:tcW w:w="9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Other assets, net and Other liabilities, net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breakdown of Other assets, net reported on the Consolidated Statement of Financial Position.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6"/>
                <w:szCs w:val="16"/>
                <w:color w:val="auto"/>
              </w:rPr>
            </w:pPr>
          </w:p>
        </w:tc>
        <w:tc>
          <w:tcPr>
            <w:tcW w:w="2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6"/>
                <w:szCs w:val="16"/>
                <w:color w:val="auto"/>
              </w:rPr>
            </w:pPr>
          </w:p>
        </w:tc>
        <w:tc>
          <w:tcPr>
            <w:tcW w:w="2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7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36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r>
      <w:tr>
        <w:trPr>
          <w:trHeight w:val="191"/>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Leasehold improvements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17,736</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r>
      <w:tr>
        <w:trPr>
          <w:trHeight w:val="22"/>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 equipment and furniture</w:t>
            </w:r>
          </w:p>
        </w:tc>
        <w:tc>
          <w:tcPr>
            <w:tcW w:w="36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r>
      <w:tr>
        <w:trPr>
          <w:trHeight w:val="191"/>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difference</w:t>
            </w:r>
          </w:p>
        </w:tc>
        <w:tc>
          <w:tcPr>
            <w:tcW w:w="3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2"/>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2"/>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36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r>
      <w:tr>
        <w:trPr>
          <w:trHeight w:val="18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36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r>
      <w:tr>
        <w:trPr>
          <w:trHeight w:val="22"/>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incentive receivables</w:t>
            </w:r>
          </w:p>
        </w:tc>
        <w:tc>
          <w:tcPr>
            <w:tcW w:w="36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w:t>
            </w:r>
          </w:p>
        </w:tc>
      </w:tr>
      <w:tr>
        <w:trPr>
          <w:trHeight w:val="19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income</w:t>
            </w:r>
          </w:p>
        </w:tc>
        <w:tc>
          <w:tcPr>
            <w:tcW w:w="3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17,124</w:t>
            </w:r>
          </w:p>
        </w:tc>
      </w:tr>
      <w:tr>
        <w:trPr>
          <w:trHeight w:val="22"/>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w:t>
            </w:r>
          </w:p>
        </w:tc>
      </w:tr>
      <w:tr>
        <w:trPr>
          <w:trHeight w:val="19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Sundry receivables</w:t>
            </w:r>
          </w:p>
        </w:tc>
        <w:tc>
          <w:tcPr>
            <w:tcW w:w="3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w:t>
            </w:r>
          </w:p>
        </w:tc>
      </w:tr>
      <w:tr>
        <w:trPr>
          <w:trHeight w:val="22"/>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w:t>
            </w:r>
          </w:p>
        </w:tc>
      </w:tr>
      <w:tr>
        <w:trPr>
          <w:trHeight w:val="19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28"/>
        </w:trPr>
        <w:tc>
          <w:tcPr>
            <w:tcW w:w="588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Other assets, net </w:t>
            </w:r>
            <w:r>
              <w:rPr>
                <w:rFonts w:ascii="Times New Roman" w:cs="Times New Roman" w:eastAsia="Times New Roman" w:hAnsi="Times New Roman"/>
                <w:sz w:val="18"/>
                <w:szCs w:val="18"/>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20" w:hanging="115"/>
        <w:spacing w:after="0"/>
        <w:tabs>
          <w:tab w:leader="none" w:pos="120" w:val="left"/>
        </w:tabs>
        <w:numPr>
          <w:ilvl w:val="0"/>
          <w:numId w:val="100"/>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2024 and December 31, 2023, these amounts include $3.5 million and $6.7 million, respectively, in receivables due from related parties. See Note 17 (Related Party Transactions)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breakdown of Other liabilities, net reported on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7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AWMS deferred cash consideration</w:t>
            </w: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 deferred consideration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w:t>
            </w: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Corporation tax payable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Sundry</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8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r>
      <w:tr>
        <w:trPr>
          <w:trHeight w:val="22"/>
        </w:trPr>
        <w:tc>
          <w:tcPr>
            <w:tcW w:w="5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8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980" w:type="dxa"/>
            <w:vAlign w:val="bottom"/>
          </w:tcPr>
          <w:p>
            <w:pPr>
              <w:ind w:left="100"/>
              <w:spacing w:after="0" w:line="203" w:lineRule="exact"/>
              <w:rPr>
                <w:sz w:val="20"/>
                <w:szCs w:val="20"/>
                <w:color w:val="auto"/>
              </w:rPr>
            </w:pPr>
            <w:r>
              <w:rPr>
                <w:rFonts w:ascii="Times New Roman" w:cs="Times New Roman" w:eastAsia="Times New Roman" w:hAnsi="Times New Roman"/>
                <w:sz w:val="14"/>
                <w:szCs w:val="14"/>
                <w:color w:val="auto"/>
              </w:rPr>
              <w:t xml:space="preserve">Other Liabilities, net </w:t>
            </w:r>
            <w:r>
              <w:rPr>
                <w:rFonts w:ascii="Times New Roman" w:cs="Times New Roman" w:eastAsia="Times New Roman" w:hAnsi="Times New Roman"/>
                <w:sz w:val="18"/>
                <w:szCs w:val="18"/>
                <w:color w:val="auto"/>
                <w:vertAlign w:val="superscript"/>
              </w:rPr>
              <w:t>(1)</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15,925</w:t>
            </w:r>
          </w:p>
        </w:tc>
        <w:tc>
          <w:tcPr>
            <w:tcW w:w="80" w:type="dxa"/>
            <w:vAlign w:val="bottom"/>
          </w:tcPr>
          <w:p>
            <w:pPr>
              <w:spacing w:after="0"/>
              <w:rPr>
                <w:sz w:val="17"/>
                <w:szCs w:val="17"/>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22,533</w:t>
            </w:r>
          </w:p>
        </w:tc>
      </w:tr>
      <w:tr>
        <w:trPr>
          <w:trHeight w:val="20"/>
        </w:trPr>
        <w:tc>
          <w:tcPr>
            <w:tcW w:w="598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firstLine="5"/>
        <w:spacing w:after="0" w:line="290" w:lineRule="auto"/>
        <w:tabs>
          <w:tab w:leader="none" w:pos="117" w:val="left"/>
        </w:tabs>
        <w:numPr>
          <w:ilvl w:val="0"/>
          <w:numId w:val="10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2024 and December 31, 2023, these amounts include $3.6 million and $8.4 million, respectively, in liabilities due to related parties. Additionally, certain reclassifications have been made during the current period and are no longer comparable to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 ended December 31, 2023. See Note 17 (Related Party Transactions) and Note 2 (Summary of Significant Accounting Policies), respectively, for further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Leases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Consolidated Statement of Financial Position. The Company primarily has non-cancellable operating leases for office spaces across various countries. We categorize leases as either operating or finance leases at the commencement date of the respective lease.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90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1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0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85"/>
        </w:trPr>
        <w:tc>
          <w:tcPr>
            <w:tcW w:w="49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62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12,680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1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16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620" w:type="dxa"/>
            <w:vAlign w:val="bottom"/>
            <w:tcBorders>
              <w:top w:val="single" w:sz="8" w:color="auto"/>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15,645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and non-cash activity related to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4"/>
                <w:szCs w:val="14"/>
                <w:color w:val="auto"/>
              </w:rPr>
            </w:pPr>
          </w:p>
        </w:tc>
        <w:tc>
          <w:tcPr>
            <w:tcW w:w="1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0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85"/>
        </w:trPr>
        <w:tc>
          <w:tcPr>
            <w:tcW w:w="49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cash flow information:</w:t>
            </w:r>
          </w:p>
        </w:tc>
        <w:tc>
          <w:tcPr>
            <w:tcW w:w="26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 from operating leases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8,027</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activity:</w:t>
            </w: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35,629</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Weighted-average remaining lease term and discount rate for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2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58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191"/>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10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for the Company’s operating leases as of December 31, 2024,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Future Minimum Rental</w:t>
            </w:r>
          </w:p>
        </w:tc>
        <w:tc>
          <w:tcPr>
            <w:tcW w:w="0" w:type="dxa"/>
            <w:vAlign w:val="bottom"/>
          </w:tcPr>
          <w:p>
            <w:pPr>
              <w:spacing w:after="0"/>
              <w:rPr>
                <w:sz w:val="1"/>
                <w:szCs w:val="1"/>
                <w:color w:val="auto"/>
              </w:rPr>
            </w:pPr>
          </w:p>
        </w:tc>
      </w:tr>
      <w:tr>
        <w:trPr>
          <w:trHeight w:val="186"/>
        </w:trPr>
        <w:tc>
          <w:tcPr>
            <w:tcW w:w="9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2"/>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9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and beyond</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58,476</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97,014</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33,959</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63,055</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Goodwill, net</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tables provide a reconciliation of Goodwill, net reported on the Consolidated Statement of Financial Position and Consolidated Statement of Financial Position as of December 31, 2024 and December 31, 2023,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1"/>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Wealth &amp; Capital Solutions</w:t>
            </w:r>
          </w:p>
        </w:tc>
        <w:tc>
          <w:tcPr>
            <w:tcW w:w="140" w:type="dxa"/>
            <w:vAlign w:val="bottom"/>
          </w:tcPr>
          <w:p>
            <w:pPr>
              <w:spacing w:after="0"/>
              <w:rPr>
                <w:sz w:val="15"/>
                <w:szCs w:val="15"/>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 Real Estate</w:t>
            </w:r>
          </w:p>
        </w:tc>
        <w:tc>
          <w:tcPr>
            <w:tcW w:w="460" w:type="dxa"/>
            <w:vAlign w:val="bottom"/>
          </w:tcPr>
          <w:p>
            <w:pPr>
              <w:spacing w:after="0"/>
              <w:rPr>
                <w:sz w:val="15"/>
                <w:szCs w:val="15"/>
                <w:color w:val="auto"/>
              </w:rPr>
            </w:pPr>
          </w:p>
        </w:tc>
        <w:tc>
          <w:tcPr>
            <w:tcW w:w="150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r>
      <w:tr>
        <w:trPr>
          <w:trHeight w:val="191"/>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2"/>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2"/>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impairment losses</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2"/>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2"/>
        </w:trPr>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1"/>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44,065</w:t>
            </w:r>
          </w:p>
        </w:tc>
      </w:tr>
      <w:tr>
        <w:trPr>
          <w:trHeight w:val="22"/>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charges</w:t>
            </w: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(69,724)</w:t>
            </w:r>
          </w:p>
        </w:tc>
      </w:tr>
      <w:tr>
        <w:trPr>
          <w:trHeight w:val="212"/>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Resegmentation of U.S. Asset Management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r>
      <w:tr>
        <w:trPr>
          <w:trHeight w:val="191"/>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Currency translation and other adjustments</w:t>
            </w:r>
          </w:p>
        </w:tc>
        <w:tc>
          <w:tcPr>
            <w:tcW w:w="1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(11,733)</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(33,792)</w:t>
            </w:r>
          </w:p>
        </w:tc>
      </w:tr>
      <w:tr>
        <w:trPr>
          <w:trHeight w:val="19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377,842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377,842</w:t>
            </w:r>
          </w:p>
        </w:tc>
      </w:tr>
      <w:tr>
        <w:trPr>
          <w:trHeight w:val="191"/>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impairment losses</w:t>
            </w:r>
          </w:p>
        </w:tc>
        <w:tc>
          <w:tcPr>
            <w:tcW w:w="120" w:type="dxa"/>
            <w:vAlign w:val="bottom"/>
          </w:tcPr>
          <w:p>
            <w:pPr>
              <w:spacing w:after="0"/>
              <w:rPr>
                <w:sz w:val="16"/>
                <w:szCs w:val="16"/>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20" w:hanging="115"/>
        <w:spacing w:after="0"/>
        <w:tabs>
          <w:tab w:leader="none" w:pos="120" w:val="left"/>
        </w:tabs>
        <w:numPr>
          <w:ilvl w:val="0"/>
          <w:numId w:val="102"/>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the third quarter ended September 30, 2024, the Company changed its segments. Prior year disclosures have not been restated. See Note 18 (Segment Reporting) for more information.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220" w:type="dxa"/>
            <w:vAlign w:val="bottom"/>
          </w:tcPr>
          <w:p>
            <w:pPr>
              <w:spacing w:after="0"/>
              <w:rPr>
                <w:sz w:val="15"/>
                <w:szCs w:val="15"/>
                <w:color w:val="auto"/>
              </w:rPr>
            </w:pPr>
          </w:p>
        </w:tc>
        <w:tc>
          <w:tcPr>
            <w:tcW w:w="17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Strategic Alternatives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r>
      <w:tr>
        <w:trPr>
          <w:trHeight w:val="191"/>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7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530,547</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76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530,547</w:t>
            </w:r>
          </w:p>
        </w:tc>
      </w:tr>
      <w:tr>
        <w:trPr>
          <w:trHeight w:val="212"/>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2"/>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r>
      <w:tr>
        <w:trPr>
          <w:trHeight w:val="191"/>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charges</w:t>
            </w:r>
          </w:p>
        </w:tc>
        <w:tc>
          <w:tcPr>
            <w:tcW w:w="220" w:type="dxa"/>
            <w:vAlign w:val="bottom"/>
          </w:tcPr>
          <w:p>
            <w:pPr>
              <w:spacing w:after="0"/>
              <w:rPr>
                <w:sz w:val="16"/>
                <w:szCs w:val="16"/>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(153,859)</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(153,859)</w:t>
            </w:r>
          </w:p>
        </w:tc>
      </w:tr>
      <w:tr>
        <w:trPr>
          <w:trHeight w:val="22"/>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translation and other adjustments</w:t>
            </w: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760" w:type="dxa"/>
            <w:vAlign w:val="bottom"/>
            <w:tcBorders>
              <w:bottom w:val="single" w:sz="8" w:color="CCEEFF"/>
            </w:tcBorders>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15,974</w:t>
            </w:r>
          </w:p>
        </w:tc>
      </w:tr>
      <w:tr>
        <w:trPr>
          <w:trHeight w:val="181"/>
        </w:trPr>
        <w:tc>
          <w:tcPr>
            <w:tcW w:w="492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(141,949)</w:t>
            </w:r>
          </w:p>
        </w:tc>
        <w:tc>
          <w:tcPr>
            <w:tcW w:w="280" w:type="dxa"/>
            <w:vAlign w:val="bottom"/>
          </w:tcPr>
          <w:p>
            <w:pPr>
              <w:spacing w:after="0"/>
              <w:rPr>
                <w:sz w:val="15"/>
                <w:szCs w:val="15"/>
                <w:color w:val="auto"/>
              </w:rPr>
            </w:pPr>
          </w:p>
        </w:tc>
        <w:tc>
          <w:tcPr>
            <w:tcW w:w="48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(118,913)</w:t>
            </w:r>
          </w:p>
        </w:tc>
      </w:tr>
      <w:tr>
        <w:trPr>
          <w:trHeight w:val="22"/>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1"/>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7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7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part of the Company’s strategic review of its Real Estate Businesses, the Company realigned its operating segments which resulted in a change to our reporting units as of the third quarter ended September 30, 2024. We determined that triggering events had occurred due to changes in the composition of our reporting units in addition to declining revenues and increased expenses associated with the Real Estate Businesses. As such, a goodwill impairment test of the reporting units was performed prior to their realignment. During the year ended December 31, 2024, the Company recognized an impairment charge of $44.9 million related to TIG’s Investment management agreements (“IMAs”), which is classified as an indefinite-lived intangible asset. See Note 11 (Intangible Assets, Net) for further details. Additionally, during the year ended December 31, 2024, the Company recognized a $29.4 million and $40.4 million impairment to goodwill for its Wealth &amp; Capital Solutions and International Real Estate segments, respectively. The primary drivers of impairment are the financial projections and discount rate for the IMAs and financial projections, discount rate, and market multiples for goodwill. As of December 31, 2024, all goodwill allocated to the International Real Estate segment is written off. See Note 18 (Segment Reporting) for further information about changes to the Company’s segments.</w:t>
      </w:r>
    </w:p>
    <w:p>
      <w:pPr>
        <w:spacing w:after="0" w:line="1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During the year ended December 31, 2023, the Company evaluated as of September 30, 2023 whether circumstances existed, indicating that the fair value of its reporting units may have declined to an amount lower than the carrying value of goodwill recorded on its Consolidated Statement of Position as of that date. The Company considered a variety of factors, including the impact of prevailing market conditions, persistently high interest rates and uncertainties caused by inflation and certain world events as well as the recent actions taken by the Company to restructure and reposition certain of the businesses within its reporting units. Based on the evaluation of these factors, the Company concluded that triggering events had occurred during the period that required the Company to assess whether the goodwill allocated to its legacy International Real Estate reporting unit was impaired. Accordingly, the Company performed a goodwill impairment test, which compared the estimated fair value of the legacy International Real Estate reporting unit to its carrying value. The Company utilized the discounted cash flow method under the income approach and the Guideline Public Company Method (“GPCM”) under the market approach, in equal weightings, in determining a fair value for the reporting unit. The results of the impairment test performed at September 30, 2023 indicated that the carrying value of the legacy International Real Estate reporting unit exceeded its estimated fair value by $153.6 million. Consequently, the Company recognized a goodwill impairment charge for this amount.</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assumptions used in the discounted cash flow analyses require significant judgment, including judgment about appropriate growth rates and the amount and timing of expected future cash flows. The Company’s forecasted cash flows were based on its current assessment of the markets and on assumed growth rates expected as of the measurement date. The key assumptions used in the cash flows were revenue growth rates, operating expenses, gross margins, and discount rates that appropriately reflect the risks inherent in the cash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flow streams. Under the GPCM approach, the significant assumptions include the consideration of stock price and financial metrics from guideline companies.</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Debt, net of unamortized deferred financing cost</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December 19, 2024, the Company paid off its debt outstanding in the amount of $133.4 million related to the BMO Credit Facility, as defined below, with the proceeds raised from the Allianz Transaction and the Constellation Transaction (see Note 1 (Description of the Business)). This debt was due to terminate on December 31, 2024. The Company recognized a write-off of the deferred issuance costs related to the extinguishment of this debt in the amount of $4.5 million, which was recorded in the line Interest expense in the Consolidated Statement of Operations. The following table summarizes outstanding debt obligations of the Company as of December 31, 2024 and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Carrying</w:t>
            </w:r>
          </w:p>
        </w:tc>
        <w:tc>
          <w:tcPr>
            <w:tcW w:w="2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Net Carrying</w:t>
            </w:r>
          </w:p>
        </w:tc>
        <w:tc>
          <w:tcPr>
            <w:tcW w:w="240" w:type="dxa"/>
            <w:vAlign w:val="bottom"/>
          </w:tcPr>
          <w:p>
            <w:pPr>
              <w:spacing w:after="0"/>
              <w:rPr>
                <w:sz w:val="14"/>
                <w:szCs w:val="14"/>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Fair</w:t>
            </w:r>
          </w:p>
        </w:tc>
      </w:tr>
      <w:tr>
        <w:trPr>
          <w:trHeight w:val="211"/>
        </w:trPr>
        <w:tc>
          <w:tcPr>
            <w:tcW w:w="2920" w:type="dxa"/>
            <w:vAlign w:val="bottom"/>
          </w:tcPr>
          <w:p>
            <w:pPr>
              <w:jc w:val="center"/>
              <w:ind w:right="1752"/>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Debt Outstanding</w:t>
            </w:r>
          </w:p>
        </w:tc>
        <w:tc>
          <w:tcPr>
            <w:tcW w:w="2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 xml:space="preserve">Value </w:t>
            </w:r>
            <w:r>
              <w:rPr>
                <w:rFonts w:ascii="Times New Roman" w:cs="Times New Roman" w:eastAsia="Times New Roman" w:hAnsi="Times New Roman"/>
                <w:sz w:val="18"/>
                <w:szCs w:val="18"/>
                <w:b w:val="1"/>
                <w:bCs w:val="1"/>
                <w:color w:val="auto"/>
                <w:w w:val="94"/>
                <w:vertAlign w:val="superscript"/>
              </w:rPr>
              <w:t>(1)</w:t>
            </w:r>
          </w:p>
        </w:tc>
        <w:tc>
          <w:tcPr>
            <w:tcW w:w="2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4"/>
              </w:rPr>
              <w:t xml:space="preserve">Value </w:t>
            </w:r>
            <w:r>
              <w:rPr>
                <w:rFonts w:ascii="Times New Roman" w:cs="Times New Roman" w:eastAsia="Times New Roman" w:hAnsi="Times New Roman"/>
                <w:sz w:val="18"/>
                <w:szCs w:val="18"/>
                <w:b w:val="1"/>
                <w:bCs w:val="1"/>
                <w:color w:val="auto"/>
                <w:w w:val="94"/>
                <w:vertAlign w:val="superscript"/>
              </w:rPr>
              <w:t>(2)</w:t>
            </w:r>
          </w:p>
        </w:tc>
        <w:tc>
          <w:tcPr>
            <w:tcW w:w="120" w:type="dxa"/>
            <w:vAlign w:val="bottom"/>
          </w:tcPr>
          <w:p>
            <w:pPr>
              <w:spacing w:after="0"/>
              <w:rPr>
                <w:sz w:val="18"/>
                <w:szCs w:val="18"/>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88"/>
              </w:rPr>
              <w:t>Value</w:t>
            </w:r>
            <w:r>
              <w:rPr>
                <w:rFonts w:ascii="Times New Roman" w:cs="Times New Roman" w:eastAsia="Times New Roman" w:hAnsi="Times New Roman"/>
                <w:sz w:val="18"/>
                <w:szCs w:val="18"/>
                <w:color w:val="auto"/>
                <w:w w:val="88"/>
                <w:vertAlign w:val="superscript"/>
              </w:rPr>
              <w:t>(1)</w:t>
            </w:r>
          </w:p>
        </w:tc>
        <w:tc>
          <w:tcPr>
            <w:tcW w:w="240" w:type="dxa"/>
            <w:vAlign w:val="bottom"/>
          </w:tcPr>
          <w:p>
            <w:pPr>
              <w:spacing w:after="0"/>
              <w:rPr>
                <w:sz w:val="18"/>
                <w:szCs w:val="18"/>
                <w:color w:val="auto"/>
              </w:rPr>
            </w:pPr>
          </w:p>
        </w:tc>
        <w:tc>
          <w:tcPr>
            <w:tcW w:w="10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xml:space="preserve">Value </w:t>
            </w:r>
            <w:r>
              <w:rPr>
                <w:rFonts w:ascii="Times New Roman" w:cs="Times New Roman" w:eastAsia="Times New Roman" w:hAnsi="Times New Roman"/>
                <w:sz w:val="18"/>
                <w:szCs w:val="18"/>
                <w:b w:val="1"/>
                <w:bCs w:val="1"/>
                <w:color w:val="auto"/>
                <w:vertAlign w:val="superscript"/>
              </w:rPr>
              <w:t>(2)</w:t>
            </w:r>
          </w:p>
        </w:tc>
      </w:tr>
      <w:tr>
        <w:trPr>
          <w:trHeight w:val="172"/>
        </w:trPr>
        <w:tc>
          <w:tcPr>
            <w:tcW w:w="2920" w:type="dxa"/>
            <w:vAlign w:val="bottom"/>
            <w:tcBorders>
              <w:top w:val="single" w:sz="8" w:color="CCEEFF"/>
              <w:bottom w:val="single" w:sz="8" w:color="CCEEFF"/>
            </w:tcBorders>
            <w:shd w:val="clear" w:color="auto" w:fill="CCEEFF"/>
          </w:tcPr>
          <w:p>
            <w:pPr>
              <w:jc w:val="center"/>
              <w:ind w:right="1752"/>
              <w:spacing w:after="0"/>
              <w:rPr>
                <w:sz w:val="20"/>
                <w:szCs w:val="20"/>
                <w:color w:val="auto"/>
              </w:rPr>
            </w:pPr>
            <w:r>
              <w:rPr>
                <w:rFonts w:ascii="Times New Roman" w:cs="Times New Roman" w:eastAsia="Times New Roman" w:hAnsi="Times New Roman"/>
                <w:sz w:val="14"/>
                <w:szCs w:val="14"/>
                <w:color w:val="auto"/>
              </w:rPr>
              <w:t>Credit Agreement</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1"/>
        </w:trPr>
        <w:tc>
          <w:tcPr>
            <w:tcW w:w="2920" w:type="dxa"/>
            <w:vAlign w:val="bottom"/>
          </w:tcPr>
          <w:p>
            <w:pPr>
              <w:jc w:val="center"/>
              <w:ind w:right="1752"/>
              <w:spacing w:after="0"/>
              <w:rPr>
                <w:sz w:val="20"/>
                <w:szCs w:val="20"/>
                <w:color w:val="auto"/>
              </w:rPr>
            </w:pPr>
            <w:r>
              <w:rPr>
                <w:rFonts w:ascii="Times New Roman" w:cs="Times New Roman" w:eastAsia="Times New Roman" w:hAnsi="Times New Roman"/>
                <w:sz w:val="14"/>
                <w:szCs w:val="14"/>
                <w:color w:val="auto"/>
                <w:w w:val="96"/>
              </w:rPr>
              <w:t>Term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92,603</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r>
      <w:tr>
        <w:trPr>
          <w:trHeight w:val="18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188,750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186,353</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188,750</w:t>
            </w:r>
          </w:p>
        </w:tc>
      </w:tr>
      <w:tr>
        <w:trPr>
          <w:trHeight w:val="22"/>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5"/>
        <w:spacing w:after="0"/>
        <w:tabs>
          <w:tab w:leader="none" w:pos="160" w:val="left"/>
        </w:tabs>
        <w:numPr>
          <w:ilvl w:val="0"/>
          <w:numId w:val="10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2"/>
          <w:szCs w:val="12"/>
          <w:color w:val="auto"/>
        </w:rPr>
        <w:t>Represents debt outstanding net of unamortized debt issuance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The fair value of the Term Loans and Revolving Credit Facility approximates carrying value as of December 31, 2024 and December 31, 2023. The fair value is categorized as Level 3 under ASC 820.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Closing, the Company had initially acquired legacy debt obligations from its subsidiaries in the amount of $124.4 million. Subsequently, after the Closing,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December 31, 2024. The Revolving Credit Facility will terminate on December 31, 2024. As of December 31, 2024, unfunded commitments on the Revolving Credit Facility amounted to $0.0 million. As of December 31, 2023, unfunded commitments on the Revolving Credit Facility amounted to $16.3 million, and the weighted-average interest rate on the outstanding borrowings of this facility was 9.0%. As security for the Term Loans and Revolving Credit Facility, the borrower and the guarantors thereunder have pledged substantially all of their assets, subject to agreed-upon exclusions. The guarantor group consists of the Company’s U.S. and non-U.S. subsidiaries, subject to an agreed-upon materiality threshold. As of December 31, 2024 and December 31, 2023, total outstanding debt, net of unamortized deferred financing costs amounted to $0.0 million and $186.4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First Amendment to Credit Agreement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31, 2023, the Company executed the First Amendment to the Credit Agreement (the “First Amendment”). The First Amendment permits the Company to extend the time period for certain payments to be made that would have otherwise been restricted by the Credit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Amendment to Credit Agreement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November 10, 2023, the Company entered into the Second Amendment to the Credit Agreement (“the Second Amendment”). The Second Amendment, among other things, temporarily amends, from the date of the amendment until effectively April 1, 2024, the following provisions of the Credit Agreement:</w:t>
      </w:r>
    </w:p>
    <w:p>
      <w:pPr>
        <w:spacing w:after="0" w:line="144" w:lineRule="exact"/>
        <w:rPr>
          <w:sz w:val="20"/>
          <w:szCs w:val="20"/>
          <w:color w:val="auto"/>
        </w:rPr>
      </w:pPr>
    </w:p>
    <w:p>
      <w:pPr>
        <w:ind w:left="260" w:hanging="255"/>
        <w:spacing w:after="0"/>
        <w:tabs>
          <w:tab w:leader="none" w:pos="2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commitment amount under the Revolving Credit Facility is reduced from $150.0 million to $110.0 million;</w:t>
      </w:r>
    </w:p>
    <w:p>
      <w:pPr>
        <w:spacing w:after="0" w:line="18" w:lineRule="exact"/>
        <w:rPr>
          <w:rFonts w:ascii="Times New Roman" w:cs="Times New Roman" w:eastAsia="Times New Roman" w:hAnsi="Times New Roman"/>
          <w:sz w:val="16"/>
          <w:szCs w:val="16"/>
          <w:color w:val="auto"/>
        </w:rPr>
      </w:pPr>
    </w:p>
    <w:p>
      <w:pPr>
        <w:ind w:left="260" w:hanging="255"/>
        <w:spacing w:after="0" w:line="242" w:lineRule="auto"/>
        <w:tabs>
          <w:tab w:leader="none" w:pos="25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covenants in the Credit Agreement are adjusted to allow for a higher Total Leverage Ratio and Modified Leverage Ratio as well as a lower Interest Coverage Ratio;</w:t>
      </w:r>
    </w:p>
    <w:p>
      <w:pPr>
        <w:jc w:val="both"/>
        <w:ind w:left="260" w:hanging="255"/>
        <w:spacing w:after="0" w:line="244" w:lineRule="auto"/>
        <w:tabs>
          <w:tab w:leader="none" w:pos="25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spacing w:after="0" w:line="1"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after the end of the amendment period, certain clauses in the Credit Agreement that pertain to restricted payments are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 Amendment to Credit Agreement</w:t>
      </w:r>
    </w:p>
    <w:p>
      <w:pPr>
        <w:spacing w:after="0" w:line="17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On February 22, 2024, the Company entered into a Third Amendment to the Credit Agreement (the “Third Amendment”). The Third Amendment amends and restates the Credit Agreement in its entirety to, among other things:</w:t>
      </w:r>
    </w:p>
    <w:p>
      <w:pPr>
        <w:spacing w:after="0" w:line="144" w:lineRule="exact"/>
        <w:rPr>
          <w:sz w:val="20"/>
          <w:szCs w:val="20"/>
          <w:color w:val="auto"/>
        </w:rPr>
      </w:pPr>
    </w:p>
    <w:p>
      <w:pPr>
        <w:ind w:left="260" w:hanging="255"/>
        <w:spacing w:after="0"/>
        <w:tabs>
          <w:tab w:leader="none" w:pos="2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and permit that the investments in the Company being made by Allianz and Constellation are not required to reduce amounts outstanding under the facility;</w:t>
      </w:r>
    </w:p>
    <w:p>
      <w:pPr>
        <w:spacing w:after="0" w:line="81" w:lineRule="exact"/>
        <w:rPr>
          <w:rFonts w:ascii="Times New Roman" w:cs="Times New Roman" w:eastAsia="Times New Roman" w:hAnsi="Times New Roman"/>
          <w:sz w:val="16"/>
          <w:szCs w:val="16"/>
          <w:color w:val="auto"/>
        </w:rPr>
      </w:pPr>
    </w:p>
    <w:p>
      <w:pPr>
        <w:jc w:val="both"/>
        <w:ind w:left="260" w:hanging="255"/>
        <w:spacing w:after="0" w:line="247" w:lineRule="auto"/>
        <w:tabs>
          <w:tab w:leader="none" w:pos="25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financial covenants applicable to the Company, including permanently removing the Modified Leverage Ratio, and a waiver of the Leverage Ratio and Interest Coverage Ratio for the quarters ending March 31, 2024, and June 30, 2024. For these periods, covenants will include a Minimum EBITDA and Minimum Liquidity level. In addition, starting in the quarter ending September 30, 2024 and subsequent periods, certain cash balances will be permitted to be netted against debt outstanding when calculating the Company’s Leverage Ratio;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hanging="255"/>
        <w:spacing w:after="0" w:line="273" w:lineRule="auto"/>
        <w:tabs>
          <w:tab w:leader="none" w:pos="25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pricing grid setting forth the Applicable Margin to, among other things, increase the Applicable Margin by 0.50% while the leverage ratio and interest coverage ratio are temporarily waived, and provide for additional pricing levels based on the Company’s Total Leverage Ratio after the waiver period;</w:t>
      </w:r>
    </w:p>
    <w:p>
      <w:pPr>
        <w:spacing w:after="0" w:line="37"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Company’s use of proceeds relating to the Revolving Credit Facility solely to general working capital; and</w:t>
      </w:r>
    </w:p>
    <w:p>
      <w:pPr>
        <w:spacing w:after="0" w:line="91" w:lineRule="exact"/>
        <w:rPr>
          <w:rFonts w:ascii="Times New Roman" w:cs="Times New Roman" w:eastAsia="Times New Roman" w:hAnsi="Times New Roman"/>
          <w:sz w:val="16"/>
          <w:szCs w:val="16"/>
          <w:color w:val="auto"/>
        </w:rPr>
      </w:pPr>
    </w:p>
    <w:p>
      <w:pPr>
        <w:ind w:left="260" w:hanging="255"/>
        <w:spacing w:after="0" w:line="259" w:lineRule="auto"/>
        <w:tabs>
          <w:tab w:leader="none" w:pos="25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sale of certain assets of the Company, the proceeds of which will be required to pay down the term loan and may reduce the $40,000,000 revolving facility commitment block in place while the leverage ratio and interest coverage ratio are temporarily waived.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Fourth Amendment to Credit Agreement</w:t>
      </w:r>
    </w:p>
    <w:p>
      <w:pPr>
        <w:spacing w:after="0" w:line="189"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On August 5, 2024, the Company entered into a Fourth Amendment to the Credit Agreement (the “Fourth Amendment”). The Fourth Amendment amends the Credit Agreement to permit the Company to utilize proceeds from any drawdowns on the revolving credit facility on certain “Permitted Acquisitions,” as defined in the Credit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Fifth Amendment to Credit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November 6, 2024, the Company entered into a Fifth Amendment to the Credit Agreement (the “Fifth Amendment”). The Fifth Amendment amends the Credit Agreement to extend the waiver on the Interest Coverage Ratio until the computation period ending December 31, 2024. In addition, the termination date for the term loan and the revolving credit facility was amended to be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Allianz Tranche Right</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The Company evaluated the Allianz Tranche Right in which Allianz, at their option, can purchase up to a total of 50,000 additional shares of Series A Preferred Stock at $1,000 per share. See Note 1 (Description of the Business) for details. As of December 31, 2024, the Allianz Tranche Right of $3.9 million is classified as a liability in accordance with ASC 480,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and is recorded in the line item Preferred stock tranche liability on the Company’s Consolidated Statement of Financial Position. As of December 31, 2024, the change in fair value of the Allianz Tranche Right is $0.6 million, which is recorded in the line item Gain (loss) on preferred stock liability in the Consolidated Statement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Retirement Plans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4"/>
                <w:szCs w:val="14"/>
                <w:color w:val="auto"/>
              </w:rPr>
            </w:pPr>
          </w:p>
        </w:tc>
        <w:tc>
          <w:tcPr>
            <w:tcW w:w="1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17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01"/>
        </w:trPr>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vMerge w:val="restart"/>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(Predecessor)</w:t>
            </w:r>
          </w:p>
        </w:tc>
        <w:tc>
          <w:tcPr>
            <w:tcW w:w="0" w:type="dxa"/>
            <w:vAlign w:val="bottom"/>
          </w:tcPr>
          <w:p>
            <w:pPr>
              <w:spacing w:after="0"/>
              <w:rPr>
                <w:sz w:val="1"/>
                <w:szCs w:val="1"/>
                <w:color w:val="auto"/>
              </w:rPr>
            </w:pPr>
          </w:p>
        </w:tc>
      </w:tr>
      <w:tr>
        <w:trPr>
          <w:trHeight w:val="85"/>
        </w:trPr>
        <w:tc>
          <w:tcPr>
            <w:tcW w:w="4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Contributions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December 31, 2024, $1.9 million in contributions was payable, which is included in Accounts payable and accrued expenses on the Consolidated Statement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party transactions include the below:</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2222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line="316" w:lineRule="auto"/>
        <w:rPr>
          <w:sz w:val="20"/>
          <w:szCs w:val="20"/>
          <w:color w:val="auto"/>
        </w:rPr>
      </w:pPr>
      <w:r>
        <w:rPr>
          <w:rFonts w:ascii="Times New Roman" w:cs="Times New Roman" w:eastAsia="Times New Roman" w:hAnsi="Times New Roman"/>
          <w:sz w:val="14"/>
          <w:szCs w:val="14"/>
          <w:color w:val="auto"/>
        </w:rPr>
        <w:t>Due from Certain TWMH Members, TIG GP Members and TIG MGMT Members Due from Equity Method Investees</w:t>
      </w:r>
    </w:p>
    <w:p>
      <w:pPr>
        <w:ind w:left="20" w:right="2160"/>
        <w:spacing w:after="0" w:line="350" w:lineRule="auto"/>
        <w:rPr>
          <w:sz w:val="20"/>
          <w:szCs w:val="20"/>
          <w:color w:val="auto"/>
        </w:rPr>
      </w:pPr>
      <w:r>
        <w:rPr>
          <w:rFonts w:ascii="Times New Roman" w:cs="Times New Roman" w:eastAsia="Times New Roman" w:hAnsi="Times New Roman"/>
          <w:sz w:val="14"/>
          <w:szCs w:val="14"/>
          <w:color w:val="auto"/>
        </w:rPr>
        <w:t>Due from Alvarium related fee arrangements Due from TIG related fee arrangements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 with Allianz</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Payables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to Certain TWMH Members, TIG GP Members and TIG MGMT Members</w:t>
      </w:r>
    </w:p>
    <w:p>
      <w:pPr>
        <w:spacing w:after="0" w:line="51" w:lineRule="exact"/>
        <w:rPr>
          <w:sz w:val="20"/>
          <w:szCs w:val="20"/>
          <w:color w:val="auto"/>
        </w:rPr>
      </w:pPr>
    </w:p>
    <w:p>
      <w:pPr>
        <w:ind w:left="20" w:right="380"/>
        <w:spacing w:after="0" w:line="284" w:lineRule="auto"/>
        <w:rPr>
          <w:sz w:val="20"/>
          <w:szCs w:val="20"/>
          <w:color w:val="auto"/>
        </w:rPr>
      </w:pPr>
      <w:r>
        <w:rPr>
          <w:rFonts w:ascii="Times New Roman" w:cs="Times New Roman" w:eastAsia="Times New Roman" w:hAnsi="Times New Roman"/>
          <w:sz w:val="14"/>
          <w:szCs w:val="14"/>
          <w:color w:val="auto"/>
        </w:rPr>
        <w:t>Due to Certain Non-Controlling Interest Holders in Connection with the Tax Receivable Agreements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right="140"/>
        <w:spacing w:after="0" w:line="284" w:lineRule="auto"/>
        <w:rPr>
          <w:sz w:val="20"/>
          <w:szCs w:val="20"/>
          <w:color w:val="auto"/>
        </w:rPr>
      </w:pPr>
      <w:r>
        <w:rPr>
          <w:rFonts w:ascii="Times New Roman" w:cs="Times New Roman" w:eastAsia="Times New Roman" w:hAnsi="Times New Roman"/>
          <w:sz w:val="14"/>
          <w:szCs w:val="14"/>
          <w:color w:val="auto"/>
        </w:rPr>
        <w:t>Due to Certain TWMH Members, TIG GP Members, TIG MGMT Members and Alvarium Shareholders in connection with the Business Combination Earn-out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earn-out liability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deferred cash contribution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to Equity Method Investees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EEA earn-out liability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PW deferred consideration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Envoi earn-out consideration liability</w:t>
      </w:r>
    </w:p>
    <w:p>
      <w:pPr>
        <w:spacing w:after="0" w:line="51" w:lineRule="exact"/>
        <w:rPr>
          <w:sz w:val="20"/>
          <w:szCs w:val="20"/>
          <w:color w:val="auto"/>
        </w:rPr>
      </w:pPr>
    </w:p>
    <w:p>
      <w:pPr>
        <w:ind w:left="20" w:right="2140"/>
        <w:spacing w:after="0" w:line="350" w:lineRule="auto"/>
        <w:rPr>
          <w:sz w:val="20"/>
          <w:szCs w:val="20"/>
          <w:color w:val="auto"/>
        </w:rPr>
      </w:pPr>
      <w:r>
        <w:rPr>
          <w:rFonts w:ascii="Times New Roman" w:cs="Times New Roman" w:eastAsia="Times New Roman" w:hAnsi="Times New Roman"/>
          <w:sz w:val="14"/>
          <w:szCs w:val="14"/>
          <w:color w:val="auto"/>
        </w:rPr>
        <w:t>Envoi earn-out growth consideration liability Preferred stock tranche liability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Series A Preferred Stock</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Series C Preferred Stock</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Allianz Warrants, net of issuance costs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Constellation Warrants, net of issuance costs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w:t>
            </w:r>
          </w:p>
        </w:tc>
        <w:tc>
          <w:tcPr>
            <w:tcW w:w="280" w:type="dxa"/>
            <w:vAlign w:val="bottom"/>
          </w:tcPr>
          <w:p>
            <w:pPr>
              <w:spacing w:after="0"/>
              <w:rPr>
                <w:sz w:val="12"/>
                <w:szCs w:val="12"/>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Pr>
          <w:p>
            <w:pPr>
              <w:spacing w:after="0"/>
              <w:rPr>
                <w:sz w:val="12"/>
                <w:szCs w:val="12"/>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0" w:type="dxa"/>
            <w:vAlign w:val="bottom"/>
          </w:tcPr>
          <w:p>
            <w:pPr>
              <w:spacing w:after="0"/>
              <w:rPr>
                <w:sz w:val="1"/>
                <w:szCs w:val="1"/>
                <w:color w:val="auto"/>
              </w:rPr>
            </w:pPr>
          </w:p>
        </w:tc>
      </w:tr>
      <w:tr>
        <w:trPr>
          <w:trHeight w:val="63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 liability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(28,765)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profit sharing</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(23,848)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(62,380)</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tranche liability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Redeemable Cumulative Convertible Preferred</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142,858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Redeemable Cumulative Convertible Preferred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-4458970</wp:posOffset>
            </wp:positionV>
            <wp:extent cx="7161530" cy="134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-4189730</wp:posOffset>
            </wp:positionV>
            <wp:extent cx="7161530" cy="134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-3926840</wp:posOffset>
            </wp:positionV>
            <wp:extent cx="7161530" cy="134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-3650615</wp:posOffset>
            </wp:positionV>
            <wp:extent cx="7161530" cy="134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-2997200</wp:posOffset>
            </wp:positionV>
            <wp:extent cx="7161530" cy="134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-2727960</wp:posOffset>
            </wp:positionV>
            <wp:extent cx="7161530" cy="2425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-2350135</wp:posOffset>
            </wp:positionV>
            <wp:extent cx="7161530" cy="134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-2080895</wp:posOffset>
            </wp:positionV>
            <wp:extent cx="7161530" cy="134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-1811655</wp:posOffset>
            </wp:positionV>
            <wp:extent cx="7161530" cy="134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-1541780</wp:posOffset>
            </wp:positionV>
            <wp:extent cx="7161530" cy="134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-1278890</wp:posOffset>
            </wp:positionV>
            <wp:extent cx="7161530" cy="134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-901700</wp:posOffset>
            </wp:positionV>
            <wp:extent cx="7161530" cy="2425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-531495</wp:posOffset>
            </wp:positionV>
            <wp:extent cx="7161530" cy="134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-255270</wp:posOffset>
            </wp:positionV>
            <wp:extent cx="7161530" cy="134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-3381375</wp:posOffset>
            </wp:positionV>
            <wp:extent cx="7161530" cy="141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00"/>
            <w:col w:w="6360"/>
          </w:cols>
          <w:pgMar w:left="300" w:top="204" w:right="31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Due from TWMH Members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For the years ended December 31, 2024, 2023 and 2022, the Company recognized $230 thousand, $261 thousand and $280 thousand, respectively, of forgiveness of principal debt and accrued interest within Compensation and employee benefits expense on the Consolidated Statement of Operations.</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Consolidated Statement of Financial Condition. As of December 31, 2024 and December 31, 2023, the balances of loans to members was $0.4 million and $0.7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On July 28, 2023, the Company amended the delayed share purchase agreement for the shares of Tiedemann International Holdings, AG, which are owned by an executive and shareholder of the Company. The amendment adjusted the purchase price from $2.2 million in cash to $2.1 million in cash and $1.2 million in the Company’s Class A Common Stock. The cash purchase price has been recognized in the Consolidated Statement of Financial Condition as Delayed share purchase agreement and Accrued compensation and profit sharing. On March 25, 2024, the TIH SPA was fully paid. As of December 31, 2023, the delayed share purchase agreement liability was reported as $1.8 million and the portion of the Delayed share purchase agreement reported in Accrued compensation and profit sharing was $0.3 million. The stock purchase price was recognized in the Consolidated Statement of Financial Condition as Additional paid-in capital. As of December 31, 2023, the portion of the delayed share purchase agreement reported in Additional paid-in capital was $1.2 million.</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and 2023, the Company recognized $40.0 thousand and $1.1 million, respectively, of stock and cash compensation associated with the delayed share purchase agreement within Compensation and employee benefits expense on the Consolidated Statement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Method Investees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Company’s transactions with Equity Method Investees include receivables related to loans, fees, and expenses, which are presented in Other assets on the Consolidated Statement of Financial Condition, and payables related to loans, fees and expenses, which are presented in Accounts payable and accrued expenses and Other Liabilities on the Consolidated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Management/advisory fees, Compensation and employee benefits, Other income/fees and Interest income from its equity method investees 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 of Operations, as summarized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740" w:type="dxa"/>
            <w:vAlign w:val="bottom"/>
            <w:gridSpan w:val="4"/>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40" w:type="dxa"/>
            <w:vAlign w:val="bottom"/>
          </w:tcPr>
          <w:p>
            <w:pPr>
              <w:spacing w:after="0"/>
              <w:rPr>
                <w:sz w:val="16"/>
                <w:szCs w:val="16"/>
                <w:color w:val="auto"/>
              </w:rPr>
            </w:pPr>
          </w:p>
        </w:tc>
      </w:tr>
      <w:tr>
        <w:trPr>
          <w:trHeight w:val="22"/>
        </w:trPr>
        <w:tc>
          <w:tcPr>
            <w:tcW w:w="7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1"/>
        </w:trPr>
        <w:tc>
          <w:tcPr>
            <w:tcW w:w="7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5"/>
                <w:szCs w:val="15"/>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64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(1,800)</w:t>
            </w:r>
          </w:p>
        </w:tc>
      </w:tr>
      <w:tr>
        <w:trPr>
          <w:trHeight w:val="22"/>
        </w:trPr>
        <w:tc>
          <w:tcPr>
            <w:tcW w:w="7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(2,400)</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4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Agreements</w:t>
      </w:r>
    </w:p>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TRA is recognized on the Consolidated Statement of Financial Condition as the TRA Liability. The value of the TRA Liability as of December 31, 2024 and December 31, 2023 was $28.8 million and $17.6 million, respectively. As of December 31, 2024 and December 31, 2023, the Company carried $9.4 million and $13.2 million, respectively, of its TRA Liability at fair value, as it is contingent consideration from the Business Combination. The remaining portion related to the TRA Exchange of $19.4 million and $4.4 million as of December 31, 2024 and December 31, 2023, respectively, is recorded at its carrying value. For the years ended December 31, 2024 and December 31, 2023, the Company recognized a gain of $3.9 million and a loss of $(0.2) million, respectively, which is recorded in Gain (loss) on TRA in the Consolidated Statement of Operations.</w:t>
      </w:r>
    </w:p>
    <w:p>
      <w:pPr>
        <w:spacing w:after="0" w:line="1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On August 31, 2023, holders of Class B Units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Units exchanged 4,954,518 Class B Paired Interests with the Company, for shares of Class A Common Stock on a 1:1 basis totaling an amount equal to $6.61 multiplied by the total number of shares of Class B Paired Interests exchanged at the time of the transaction. On May 14, 2024, holders of Class B Units exchanged 286,242 Class B Paired Interests with the Company, for shares of Class A Common Stock on a 1:1 basis totaling an amount equal to $4.69 multiplied by the total number of shares of Class B Paired Interests exchanged at the time of the transaction. On August 19, 2024, holders of Class B Units exchanged 1,840,077 Class B Paired Interests with the Company, for shares of Class A Common Stock on a 1:1 basis totaling an amount equal to $4.06 multiplied by the total number of shares of Class B Paired Interests exchanged at the time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2024, the Company made tax distributions to Class B Units holders of $2.8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December 31, 2024 and December 31, 2023, the fair value of the Business Combination Earn-out Liability was $23.8 million and $62.4 million, respectively, and is reported in Earn-out liabilities, at fair value, in the Consolidated Statement of Financial Position. The Company recognized the change in fair value of $(38.5) million and $(29.4) million for the years ended December 31, 2024 and December 31, 2023, respectively, which is recorded in Gain (loss) on earnout liabilities in the Consolidated Statement of Operations and in Fair value (gain) loss on earnout liability in the Consolidated Statement of Cash Flows in the period of 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includes cash consideration, equity consideration, deferred cash consideration, earn-out consideration, (or AWMS earn-out liability), and the payment of assumed liabilities. During the fourth quarter of 2024, the AWMS earn-out liability was fully paid. As of December 31, 2024 and December 31, 2023, the AWMS earn-out liability of $0.0 million and $1.1 million, respectively, is reported in Earn-out liabilities, at fair value,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The Company recognized the change in fair value of $(0.4) million and $(1.7) million for the years ended December 31, 2024 and December 31, 2023, respectively, which is recorded in Gain (loss) on earnout liabilities in the Consolidated Statement of Operations and in Fair value (gain) loss on earnout liability in the Consolidated Statement of Cash Flows in the period of change.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EEA Earn-out Liability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As of December 31, 2024, the EEA earn-out liability of $29.9 million is reported in Earn-out liabilities, at fair value, in the Consolidated Statement of Financial Position. The fair value will be remeasured at each reporting date in accordance with ASC 820, </w:t>
      </w:r>
      <w:r>
        <w:rPr>
          <w:rFonts w:ascii="Times New Roman" w:cs="Times New Roman" w:eastAsia="Times New Roman" w:hAnsi="Times New Roman"/>
          <w:sz w:val="14"/>
          <w:szCs w:val="14"/>
          <w:i w:val="1"/>
          <w:iCs w:val="1"/>
          <w:color w:val="auto"/>
        </w:rPr>
        <w:t>Fair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Value Measurement. </w:t>
      </w:r>
      <w:r>
        <w:rPr>
          <w:rFonts w:ascii="Times New Roman" w:cs="Times New Roman" w:eastAsia="Times New Roman" w:hAnsi="Times New Roman"/>
          <w:sz w:val="14"/>
          <w:szCs w:val="14"/>
          <w:color w:val="auto"/>
        </w:rPr>
        <w:t>The Company recognized the change in fair value of $6.6 million for the year ended December 31, 2024, which is recorded in Gain (loss) on earnout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Consolidated Statement of Operations and in Fair value (gain) loss on earnout liability in the Consolidated Statement of Cash Flows in the period of change.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Envoi Earn-out Liabilities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July 1, 2024, the Company purchased substantially all of the assets of Envoi pursuant to the terms of the Envoi Acquisition. The Envoi Acquisition was accounted for using the acquisition method of accounting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2024, the Envoi earn-out consideration liability of $9.6 million and the Envoi earn-out growth consideration liability of $1.3 million are reported in the Earn-out liabilities, at fair value, in the Consolidated Statement of Financial Position. The Company recognized the change in fair value for the Envoi earn-out consideration liability and the Envoi earn-out growth consideration liability of $1.6 million and $0.3 million, respectively, for the year ended December 31, 2024, which is recorded in Gain (loss) on earnout liabilities in the Consolidated Statement of Operations and in Fair value (gain) loss on earnout liability in the Consolidated Statement of Cash Flows in the period of change.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Pointwise Deferred Consideration</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As of December 31, 2024, the deferred consideration of $3.3 million is recorded within the Other liabilities line item in the Consolidated Statement of Financial Position. For the year ended December 31, 2024, the Company recognized the change in fair value for the deferred consideration liability of $(10.7) thousand, of which $90.1 thousand is recorded in Gain (loss) on earnout liabilities and $(100.8) thousand is recorded in Interest expense, both in the Consolidated Statement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Fees Receivable, net</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Consolidated Statement of Financial Condition as Fees Receivable, net. As of December 31, 2024 and December 31, 2023, fees due from Alvarium related fee arrangements were $0.1 million and $0.2 million, respectively. Additionally, as of December 31, 2024 and December 31, 2023, management and incentive fees receivable due from TIG related fee agreements were $0.8 million and $15.8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Allianz Transactions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July 31, 2024, the Company closed on the Allianz Transaction which resulted in the issuance of 140,000 shares of Series A Preferred Stock, 19,318,580.96 shares of Class A Common Stock, the Allianz Warrants to purchase 5,000,000 shares of Class A Common Stock, and the Allianz Tranche Right which permits Allianz, at its option, to purchase up to 50,000 additional shares of Series A Preferred Stock up to an aggregate amount equal to $50 million.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the Board established a Transaction Committee for purposes of reviewing and assessing all proposals, plans, or recommendations by the Company’s management with respect to potential or proposed merger, acquisition or investment (including minority investments and investments into any funds); (ii) material asset purchase (including the hiring of groups of key employees of target businesses in lieu of acquiring legal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entities or property); (iii) divestiture or disposition of a material asset or a material portion of any business; and (iv) financing of any of the foregoing.</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Pursuant to the Allianz Investor Rights Agreement, Allianz has the right to nominate two directors (the “Investor Designees”) until such time as Allianz ceases to own at least 50% of the initial shares of Class A Common Stock. For so long as Allianz is permitted to designate the Investor Designees, one Investor Designee will serve as a member of the Transaction Committee and each Investor Designee will serve as a member of at least one other Board committee.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Based on Allianz’s rights under the Investor Rights Agreement, including to hold Board seats, the Company has concluded that Allianz represents a related party. As of December 31, 2024, the Allianz Warrants of $6.6 million are recorded as a component of equity in the line item Additional paid-in capital on the Company’s Consolidated Statement of Financial Position.</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Allianz Tranche Right of $3.9 million is recorded in the line item Preferred stock tranche liability on the Company’s Consolidated Statement of Financial Position. For the year ended December 31, 2024, the change in fair value of the Allianz Tranche Right is $0.6 million and is recorded in the line item Gain (loss) on preferred stock tranche liability in the Consolidated Statement of Operations.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Series A Preferred Stock of 142,858 is classified outside of permanent equity as mezzanine equity in the accompanying Consolidated Statement of Financial Position and is presented net of issuance costs and inclusive of accrued dividends. Refer to Note 1 (Description of the Business), Note 7 (Fair Value Disclosures), and Note 14 (Debt, net of unamortized deferred financing cost) for additional details around instruments related to the Allianz Transaction.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2024, the Company entered into an equity method investment of $20.3 million with Allianz, which is recorded in the line item Equity method investments on the Company’s Consolidated Statement of Financial Position. Refer to Note 8 (Equity Method Investments) for additional details. No earnings were recognized related to the equity method investment for the year ended December 31, 2024 as the investee’s financial information is on a one quarter lag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Constellation Transaction</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of the first quarter ended March 31, 2024, the Company entered into an agreement with Constellation for the sale and issuance of 150,000 shares of Series C Preferred that occurred in two transactions,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Dividends will be paid (at the option of the Company) as payment in kind increase in the stated value of the issued shares of Series C Preferred Stock or in cash. The Series C Preferred Stock will also participate with any dividends or distributions declared on the Class A Common Stock. As of December 31, 2024, the 150,000 outstanding shares of Series C Preferred Stock represent 7.5% of the total voting power of all shares.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Additionally, the Company issued the “Constellation Warrants to purchase 2,000,000 shares of the Company’s Class A Common Stock at an exercise price of $7.40 per share. On March 27, 2024 and May 15, 2024, the Company completed the initial and additional issuances of Constellation Warrants to purchase 1,533,333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and 466,667 shares, respectively, of the Company’s Class A Common Stock. No Constellation Warrants were exercised during the current reporting period. As of December 31, 2024, the Constellation Warrants of $3.0 million are recorded as a component of equity in the line item Additional paid-in capital on the Company’s Consolidated Statement of Financial Position.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 Reporting</w:t>
      </w:r>
    </w:p>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Effective as of September 30, 2024, certain changes were made to the composition of our operating segment information related to the strategic review of our Real Estate Businesses. We determined this change was necessary to align external reporting with how management views the current state of the business in addition to how our chief operating decision maker (“CODM”), currently, our Chief Executive Officer, assesses the Company’s performance and allocation of resources. The CODM considers segment revenue as a key metric to assist with the evaluation of strategic business decisions, including potential acquisitions or divestitures and whether to invest in certain products or services, and expense management.</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Company maintains two operating segments: Wealth and Capital Solutions includes the results Wealth Management business, the internally managed Event Driven strategy, and our stakes in three externally managed Alternative investment strategies. International Real Estate, includes the businesses previously reported as Real Estate Co-investment and Real Estate Fund Management, as well as all current and former Alvarium International Asset Management businesses. A corporate reconciling column (“Corporate”) has been included to provide a reconciliation between our total reportable segment activities and consolidated amounts. Corporate does not qualify to be reported as an operating segment.</w:t>
      </w:r>
    </w:p>
    <w:p>
      <w:pPr>
        <w:spacing w:after="0" w:line="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Prior period amounts have been recast to conform to the Company’s current period segment presentation. The Company’s operating segment information was prepared using the following methodologies and generally represents the information that is relied upon by management in its decision-making process.</w:t>
      </w:r>
    </w:p>
    <w:p>
      <w:pPr>
        <w:spacing w:after="0" w:line="101" w:lineRule="exact"/>
        <w:rPr>
          <w:sz w:val="20"/>
          <w:szCs w:val="20"/>
          <w:color w:val="auto"/>
        </w:rPr>
      </w:pPr>
    </w:p>
    <w:p>
      <w:pPr>
        <w:ind w:left="760" w:hanging="246"/>
        <w:spacing w:after="0"/>
        <w:tabs>
          <w:tab w:leader="none" w:pos="7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and expenses directly associated with each operating segment are included in determining net income/(loss) by segment.</w:t>
      </w:r>
    </w:p>
    <w:p>
      <w:pPr>
        <w:spacing w:after="0" w:line="144" w:lineRule="exact"/>
        <w:rPr>
          <w:rFonts w:ascii="Times New Roman" w:cs="Times New Roman" w:eastAsia="Times New Roman" w:hAnsi="Times New Roman"/>
          <w:sz w:val="16"/>
          <w:szCs w:val="16"/>
          <w:color w:val="auto"/>
        </w:rPr>
      </w:pPr>
    </w:p>
    <w:p>
      <w:pPr>
        <w:ind w:left="760" w:hanging="246"/>
        <w:spacing w:after="0" w:line="259" w:lineRule="auto"/>
        <w:tabs>
          <w:tab w:leader="none" w:pos="75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expenses (such as general and administrative expenses including executive and indirect overhead costs) not directly associated with specific operating segments are allocated to the operating segments’ statement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expense categories that are regularly reviewed by the CODM are presented in the Company's Consolidated Statement of Operations. Items regularly reviewed consist of non-compensation expenses, such as professional fees, sales, distribution and marketing, travel and entertainment, systems, technology and telephone, occupancy costs and general, administrative, and other.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 (Description of the Business) and the tables below for more detail on unallocated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financial information for the Company’s segments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7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9"/>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7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Net Income by Segment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Wealth &amp; Capital</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International Real</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Wealth &amp; Capital</w:t>
            </w:r>
          </w:p>
        </w:tc>
        <w:tc>
          <w:tcPr>
            <w:tcW w:w="120" w:type="dxa"/>
            <w:vAlign w:val="bottom"/>
          </w:tcPr>
          <w:p>
            <w:pPr>
              <w:spacing w:after="0"/>
              <w:rPr>
                <w:sz w:val="11"/>
                <w:szCs w:val="11"/>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International Real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20" w:type="dxa"/>
            <w:vAlign w:val="bottom"/>
          </w:tcPr>
          <w:p>
            <w:pPr>
              <w:spacing w:after="0"/>
              <w:rPr>
                <w:sz w:val="6"/>
                <w:szCs w:val="6"/>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160" w:type="dxa"/>
            <w:vAlign w:val="bottom"/>
          </w:tcPr>
          <w:p>
            <w:pPr>
              <w:spacing w:after="0"/>
              <w:rPr>
                <w:sz w:val="6"/>
                <w:szCs w:val="6"/>
                <w:color w:val="auto"/>
              </w:rPr>
            </w:pPr>
          </w:p>
        </w:tc>
        <w:tc>
          <w:tcPr>
            <w:tcW w:w="7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6"/>
                <w:szCs w:val="6"/>
                <w:color w:val="auto"/>
              </w:rPr>
            </w:pPr>
          </w:p>
        </w:tc>
        <w:tc>
          <w:tcPr>
            <w:tcW w:w="10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20" w:type="dxa"/>
            <w:vAlign w:val="bottom"/>
          </w:tcPr>
          <w:p>
            <w:pPr>
              <w:spacing w:after="0"/>
              <w:rPr>
                <w:sz w:val="6"/>
                <w:szCs w:val="6"/>
                <w:color w:val="auto"/>
              </w:rPr>
            </w:pPr>
          </w:p>
        </w:tc>
        <w:tc>
          <w:tcPr>
            <w:tcW w:w="11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64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Management/advisory fees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182,599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190,455</w:t>
            </w:r>
          </w:p>
        </w:tc>
        <w:tc>
          <w:tcPr>
            <w:tcW w:w="540" w:type="dxa"/>
            <w:vAlign w:val="bottom"/>
            <w:gridSpan w:val="2"/>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160,785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20,076</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Incentive fees</w:t>
            </w: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42,674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from investments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12,304</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income/fees</w:t>
            </w: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revenue</w:t>
            </w:r>
          </w:p>
        </w:tc>
        <w:tc>
          <w:tcPr>
            <w:tcW w:w="4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198,256</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8,544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206,935</w:t>
            </w: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221,145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25,772</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5"/>
              </w:rPr>
              <w:t>Tiedemann Wealth</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Net Income by Segment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Holdings, LLC</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Management/advisory fees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income</w:t>
            </w: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0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74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00" w:type="dxa"/>
            <w:vAlign w:val="bottom"/>
            <w:gridSpan w:val="7"/>
            <w:vMerge w:val="continue"/>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gridSpan w:val="4"/>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134,893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153,899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33,163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auto"/>
              </w:rPr>
              <w:t>54,949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9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38,879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38,069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206,935</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color w:val="auto"/>
              </w:rPr>
              <w:t>246,917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74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Long-lived Assets by Geography</w:t>
            </w:r>
          </w:p>
        </w:tc>
        <w:tc>
          <w:tcPr>
            <w:tcW w:w="2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40" w:type="dxa"/>
            <w:vAlign w:val="bottom"/>
            <w:vMerge w:val="continue"/>
          </w:tcPr>
          <w:p>
            <w:pPr>
              <w:spacing w:after="0"/>
              <w:rPr>
                <w:sz w:val="15"/>
                <w:szCs w:val="15"/>
                <w:color w:val="auto"/>
              </w:rPr>
            </w:pPr>
          </w:p>
        </w:tc>
        <w:tc>
          <w:tcPr>
            <w:tcW w:w="2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20" w:type="dxa"/>
            <w:vAlign w:val="bottom"/>
            <w:tcBorders>
              <w:bottom w:val="single" w:sz="8" w:color="CCEEFF"/>
            </w:tcBorders>
            <w:shd w:val="clear" w:color="auto" w:fill="CCEEFF"/>
          </w:tcPr>
          <w:p>
            <w:pPr>
              <w:jc w:val="right"/>
              <w:ind w:right="2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41,603</w:t>
            </w:r>
          </w:p>
        </w:tc>
        <w:tc>
          <w:tcPr>
            <w:tcW w:w="0" w:type="dxa"/>
            <w:vAlign w:val="bottom"/>
          </w:tcPr>
          <w:p>
            <w:pPr>
              <w:spacing w:after="0"/>
              <w:rPr>
                <w:sz w:val="1"/>
                <w:szCs w:val="1"/>
                <w:color w:val="auto"/>
              </w:rPr>
            </w:pPr>
          </w:p>
        </w:tc>
      </w:tr>
      <w:tr>
        <w:trPr>
          <w:trHeight w:val="19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2220" w:type="dxa"/>
            <w:vAlign w:val="bottom"/>
          </w:tcPr>
          <w:p>
            <w:pPr>
              <w:jc w:val="right"/>
              <w:ind w:right="2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2220" w:type="dxa"/>
            <w:vAlign w:val="bottom"/>
            <w:tcBorders>
              <w:bottom w:val="single" w:sz="8" w:color="CCEEFF"/>
            </w:tcBorders>
            <w:shd w:val="clear" w:color="auto" w:fill="CCEEFF"/>
          </w:tcPr>
          <w:p>
            <w:pPr>
              <w:jc w:val="right"/>
              <w:ind w:right="2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20" w:type="dxa"/>
            <w:vAlign w:val="bottom"/>
            <w:tcBorders>
              <w:top w:val="single" w:sz="8" w:color="auto"/>
              <w:bottom w:val="single" w:sz="8" w:color="auto"/>
            </w:tcBorders>
          </w:tcPr>
          <w:p>
            <w:pPr>
              <w:jc w:val="right"/>
              <w:ind w:right="2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4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Assets by Segment</w:t>
            </w: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5"/>
                <w:szCs w:val="15"/>
                <w:color w:val="auto"/>
              </w:rPr>
            </w:pPr>
          </w:p>
        </w:tc>
        <w:tc>
          <w:tcPr>
            <w:tcW w:w="18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Wealth &amp; Capital Solutions</w:t>
            </w:r>
          </w:p>
        </w:tc>
        <w:tc>
          <w:tcPr>
            <w:tcW w:w="2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1,160,272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1,134,264</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Real Estate</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23,738</w:t>
            </w:r>
          </w:p>
        </w:tc>
        <w:tc>
          <w:tcPr>
            <w:tcW w:w="6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125,229</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1,255,833</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1,266,297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Earnings Per Share</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table below presents the Company’s treatment for basic and diluted earnings (loss) per share for instruments outstanding of the Company. Potentially dilutive instruments are only considered in the calculation to the extent they would be dilutive.</w:t>
      </w:r>
    </w:p>
    <w:p>
      <w:pPr>
        <w:spacing w:after="0" w:line="19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29845</wp:posOffset>
            </wp:positionV>
            <wp:extent cx="49650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65065" cy="698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38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9"/>
        </w:trPr>
        <w:tc>
          <w:tcPr>
            <w:tcW w:w="3120" w:type="dxa"/>
            <w:vAlign w:val="bottom"/>
          </w:tcPr>
          <w:p>
            <w:pPr>
              <w:spacing w:after="0"/>
              <w:rPr>
                <w:sz w:val="16"/>
                <w:szCs w:val="16"/>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12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Diluted</w:t>
            </w: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0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7"/>
              </w:rPr>
              <w:t>Included</w:t>
            </w:r>
          </w:p>
        </w:tc>
        <w:tc>
          <w:tcPr>
            <w:tcW w:w="20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Included</w:t>
            </w:r>
          </w:p>
        </w:tc>
        <w:tc>
          <w:tcPr>
            <w:tcW w:w="1280" w:type="dxa"/>
            <w:vAlign w:val="bottom"/>
            <w:tcBorders>
              <w:bottom w:val="single" w:sz="8" w:color="CCEEFF"/>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Included</w:t>
            </w: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Included</w:t>
            </w: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Class B Common Stock </w:t>
            </w:r>
            <w:r>
              <w:rPr>
                <w:rFonts w:ascii="Times New Roman" w:cs="Times New Roman" w:eastAsia="Times New Roman" w:hAnsi="Times New Roman"/>
                <w:sz w:val="18"/>
                <w:szCs w:val="18"/>
                <w:color w:val="auto"/>
                <w:vertAlign w:val="superscript"/>
              </w:rPr>
              <w:t>(1)</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If-converted method</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Excluded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If-converted method</w:t>
            </w:r>
          </w:p>
        </w:tc>
      </w:tr>
      <w:tr>
        <w:trPr>
          <w:trHeight w:val="176"/>
        </w:trPr>
        <w:tc>
          <w:tcPr>
            <w:tcW w:w="3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More dilutive of two-class</w:t>
            </w:r>
          </w:p>
        </w:tc>
        <w:tc>
          <w:tcPr>
            <w:tcW w:w="1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06"/>
        </w:trPr>
        <w:tc>
          <w:tcPr>
            <w:tcW w:w="31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Series A Preferred Stock </w:t>
            </w:r>
            <w:r>
              <w:rPr>
                <w:rFonts w:ascii="Times New Roman" w:cs="Times New Roman" w:eastAsia="Times New Roman" w:hAnsi="Times New Roman"/>
                <w:sz w:val="18"/>
                <w:szCs w:val="18"/>
                <w:color w:val="auto"/>
                <w:vertAlign w:val="superscript"/>
              </w:rPr>
              <w:t>(2)</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Two-class method</w:t>
            </w:r>
          </w:p>
        </w:tc>
        <w:tc>
          <w:tcPr>
            <w:tcW w:w="2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method or if-converted method</w:t>
            </w:r>
          </w:p>
        </w:tc>
        <w:tc>
          <w:tcPr>
            <w:tcW w:w="12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More dilutive of two-class</w:t>
            </w: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6"/>
        </w:trPr>
        <w:tc>
          <w:tcPr>
            <w:tcW w:w="3120" w:type="dxa"/>
            <w:vAlign w:val="bottom"/>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Series C Preferred Stock </w:t>
            </w:r>
            <w:r>
              <w:rPr>
                <w:rFonts w:ascii="Times New Roman" w:cs="Times New Roman" w:eastAsia="Times New Roman" w:hAnsi="Times New Roman"/>
                <w:sz w:val="18"/>
                <w:szCs w:val="18"/>
                <w:color w:val="auto"/>
                <w:vertAlign w:val="superscript"/>
              </w:rPr>
              <w:t>(3)</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Two-class method</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method or if-converted method</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Allianz Tranche Right </w:t>
            </w:r>
            <w:r>
              <w:rPr>
                <w:rFonts w:ascii="Times New Roman" w:cs="Times New Roman" w:eastAsia="Times New Roman" w:hAnsi="Times New Roman"/>
                <w:sz w:val="18"/>
                <w:szCs w:val="18"/>
                <w:color w:val="auto"/>
                <w:vertAlign w:val="superscript"/>
              </w:rPr>
              <w:t>(4)</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If-converted method</w:t>
            </w:r>
          </w:p>
        </w:tc>
        <w:tc>
          <w:tcPr>
            <w:tcW w:w="12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8"/>
                <w:szCs w:val="18"/>
                <w:color w:val="auto"/>
                <w:vertAlign w:val="superscript"/>
              </w:rPr>
              <w:t>(5)</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Excluded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Allianz and Constellation Warrants</w:t>
            </w:r>
            <w:r>
              <w:rPr>
                <w:rFonts w:ascii="Times New Roman" w:cs="Times New Roman" w:eastAsia="Times New Roman" w:hAnsi="Times New Roman"/>
                <w:sz w:val="18"/>
                <w:szCs w:val="18"/>
                <w:color w:val="auto"/>
                <w:vertAlign w:val="superscript"/>
              </w:rPr>
              <w:t>(6)</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Shares</w:t>
            </w:r>
            <w:r>
              <w:rPr>
                <w:rFonts w:ascii="Times New Roman" w:cs="Times New Roman" w:eastAsia="Times New Roman" w:hAnsi="Times New Roman"/>
                <w:sz w:val="18"/>
                <w:szCs w:val="18"/>
                <w:color w:val="auto"/>
                <w:vertAlign w:val="superscript"/>
              </w:rPr>
              <w:t>(7)</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Excluded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PW Deferred Consideration Shares</w:t>
            </w:r>
            <w:r>
              <w:rPr>
                <w:rFonts w:ascii="Times New Roman" w:cs="Times New Roman" w:eastAsia="Times New Roman" w:hAnsi="Times New Roman"/>
                <w:sz w:val="18"/>
                <w:szCs w:val="18"/>
                <w:color w:val="auto"/>
                <w:vertAlign w:val="superscript"/>
              </w:rPr>
              <w:t>(8)</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Acquisition-Related Awards</w:t>
            </w:r>
            <w:r>
              <w:rPr>
                <w:rFonts w:ascii="Times New Roman" w:cs="Times New Roman" w:eastAsia="Times New Roman" w:hAnsi="Times New Roman"/>
                <w:sz w:val="18"/>
                <w:szCs w:val="18"/>
                <w:color w:val="auto"/>
                <w:vertAlign w:val="superscript"/>
              </w:rPr>
              <w:t>(9)</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Excluded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19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RSUs</w:t>
            </w:r>
          </w:p>
        </w:tc>
        <w:tc>
          <w:tcPr>
            <w:tcW w:w="20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tcBorders>
              <w:bottom w:val="single" w:sz="8" w:color="CCEEFF"/>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Excluded</w:t>
            </w: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Treasury stock method</w:t>
            </w: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Unvested PRSUs </w:t>
            </w:r>
            <w:r>
              <w:rPr>
                <w:rFonts w:ascii="Times New Roman" w:cs="Times New Roman" w:eastAsia="Times New Roman" w:hAnsi="Times New Roman"/>
                <w:sz w:val="18"/>
                <w:szCs w:val="18"/>
                <w:color w:val="auto"/>
                <w:vertAlign w:val="superscript"/>
              </w:rPr>
              <w:t>(10)</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Excluded</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Treasury stock method</w:t>
            </w:r>
          </w:p>
        </w:tc>
        <w:tc>
          <w:tcPr>
            <w:tcW w:w="128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78" w:lineRule="exact"/>
        <w:rPr>
          <w:sz w:val="20"/>
          <w:szCs w:val="20"/>
          <w:color w:val="auto"/>
        </w:rPr>
      </w:pPr>
    </w:p>
    <w:p>
      <w:pPr>
        <w:jc w:val="both"/>
        <w:ind w:firstLine="5"/>
        <w:spacing w:after="0" w:line="266" w:lineRule="auto"/>
        <w:tabs>
          <w:tab w:leader="none" w:pos="128" w:val="left"/>
        </w:tabs>
        <w:numPr>
          <w:ilvl w:val="0"/>
          <w:numId w:val="10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For the years ended December 31, 2024 and December 31, 2023, no adjustments were made related to the Class B Common Stock.</w:t>
      </w:r>
    </w:p>
    <w:p>
      <w:pPr>
        <w:spacing w:after="0" w:line="190" w:lineRule="exact"/>
        <w:rPr>
          <w:rFonts w:ascii="Times New Roman" w:cs="Times New Roman" w:eastAsia="Times New Roman" w:hAnsi="Times New Roman"/>
          <w:sz w:val="14"/>
          <w:szCs w:val="14"/>
          <w:b w:val="1"/>
          <w:bCs w:val="1"/>
          <w:color w:val="auto"/>
          <w:vertAlign w:val="superscript"/>
        </w:rPr>
      </w:pPr>
    </w:p>
    <w:p>
      <w:pPr>
        <w:jc w:val="both"/>
        <w:ind w:firstLine="5"/>
        <w:spacing w:after="0"/>
        <w:tabs>
          <w:tab w:leader="none" w:pos="135" w:val="left"/>
        </w:tabs>
        <w:numPr>
          <w:ilvl w:val="0"/>
          <w:numId w:val="108"/>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On July 31, 2024, the Company issued shares of Series A Preferred Stock and warrants for shares of Class A Common Stock. The Series A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year ended December 31, 2024, the shares of Series A Preferred Stock were excluded from the Company’s diluted earnings per share calculation as the effects were determined to be anti-dilutive.</w:t>
      </w:r>
    </w:p>
    <w:p>
      <w:pPr>
        <w:spacing w:after="0" w:line="70" w:lineRule="exact"/>
        <w:rPr>
          <w:rFonts w:ascii="Times New Roman" w:cs="Times New Roman" w:eastAsia="Times New Roman" w:hAnsi="Times New Roman"/>
          <w:sz w:val="16"/>
          <w:szCs w:val="16"/>
          <w:b w:val="1"/>
          <w:bCs w:val="1"/>
          <w:color w:val="auto"/>
          <w:vertAlign w:val="superscript"/>
        </w:rPr>
      </w:pPr>
    </w:p>
    <w:p>
      <w:pPr>
        <w:jc w:val="both"/>
        <w:ind w:firstLine="5"/>
        <w:spacing w:after="0" w:line="219" w:lineRule="auto"/>
        <w:tabs>
          <w:tab w:leader="none" w:pos="139" w:val="left"/>
        </w:tabs>
        <w:numPr>
          <w:ilvl w:val="0"/>
          <w:numId w:val="108"/>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During the first quarter ended March 31, 2024, the Company issued shares of Series C Preferred Stock and warrants for shares of Class A Common Stock. The Series C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calculated using the proportion of net income available to be distributed to the common shareholders. Dilutive earnings per share is calculated using the more dilutive of the two-class method or the if-converted method.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year ended December 31, 2024, the shares of Series C Preferred Stock were excluded from the Company’s diluted earnings per share calculation as the effects were determined to be anti-dilutive.</w:t>
      </w:r>
    </w:p>
    <w:p>
      <w:pPr>
        <w:spacing w:after="0" w:line="70" w:lineRule="exact"/>
        <w:rPr>
          <w:sz w:val="20"/>
          <w:szCs w:val="20"/>
          <w:color w:val="auto"/>
        </w:rPr>
      </w:pPr>
    </w:p>
    <w:p>
      <w:pPr>
        <w:jc w:val="both"/>
        <w:ind w:firstLine="5"/>
        <w:spacing w:after="0" w:line="263" w:lineRule="auto"/>
        <w:tabs>
          <w:tab w:leader="none" w:pos="117"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Allianz Tranche Right was issued as part of the Allianz Transaction, which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as described in Note 1 (Description of the Business). The Allianz Tranche Right is classified as a contingently convertible instrument and will be included in our diluted earnings per share if the right has been exercised within the reporting period. For the year ended December 31, 2024, no shares under the Allianz Tranche Right had been issued.</w:t>
      </w:r>
    </w:p>
    <w:p>
      <w:pPr>
        <w:spacing w:after="0" w:line="204" w:lineRule="exact"/>
        <w:rPr>
          <w:rFonts w:ascii="Times New Roman" w:cs="Times New Roman" w:eastAsia="Times New Roman" w:hAnsi="Times New Roman"/>
          <w:sz w:val="14"/>
          <w:szCs w:val="14"/>
          <w:color w:val="auto"/>
          <w:vertAlign w:val="superscript"/>
        </w:rPr>
      </w:pPr>
    </w:p>
    <w:p>
      <w:pPr>
        <w:ind w:left="120" w:hanging="115"/>
        <w:spacing w:after="0"/>
        <w:tabs>
          <w:tab w:leader="none" w:pos="120"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Prior to the Business Combination, the Company issued Warrants to purchase Class A Shares. As of June 30, 2023, all Warrants were exchanged for Class A Shares and none were outstanding as of December 31, 2023.</w:t>
      </w:r>
    </w:p>
    <w:p>
      <w:pPr>
        <w:spacing w:after="0" w:line="61" w:lineRule="exact"/>
        <w:rPr>
          <w:rFonts w:ascii="Times New Roman" w:cs="Times New Roman" w:eastAsia="Times New Roman" w:hAnsi="Times New Roman"/>
          <w:sz w:val="14"/>
          <w:szCs w:val="14"/>
          <w:color w:val="auto"/>
          <w:vertAlign w:val="superscript"/>
        </w:rPr>
      </w:pPr>
    </w:p>
    <w:p>
      <w:pPr>
        <w:jc w:val="both"/>
        <w:ind w:firstLine="5"/>
        <w:spacing w:after="0" w:line="381" w:lineRule="auto"/>
        <w:tabs>
          <w:tab w:leader="none" w:pos="117"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mentioned in footnotes 2 and 3 above, the Company issued shares of Series A and C Preferred Stock in addition to warrants for Class A Shares. The warrants do not participate in dividends declared on common stock and are excluded from the calculation of basic earnings per share. Since the warrants are classified as a component of equity and can be exercised in exchange for Class A Shares, application of the treasury stock method for calculation of diluted earnings per share is applied. For the year ended December 31, 2024, the warrants were excluded from the Company’s diluted earnings per share calculation as the effects were determined to be anti-dilutive.</w:t>
      </w:r>
    </w:p>
    <w:p>
      <w:pPr>
        <w:jc w:val="both"/>
        <w:ind w:firstLine="5"/>
        <w:spacing w:after="0" w:line="269" w:lineRule="auto"/>
        <w:tabs>
          <w:tab w:leader="none" w:pos="117"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Earn-Out Shares are the portion of estimated contingent consideration related to our Business Combination, EEA earn-out liability, and Envoi growth-consideration liability that could be paid out in Class A Common Stock. Earn-Out Shares are excluded from the calculation of basic earnings per share if it’s determined that the contingency period has not been completed as of the current reporting period. The treasury stock method is applied for calculating diluted earnings per share since our Earn-Outs are classified as liabilities and remeasured at fair value each period and includes reversing the income statement effect of the fair value remeasurement for the period. See Note 3 (Business Combinations and Divestitures) for additional information related to our Earn-Outs. For the years ended December 31, 2024 and December 31, 2023, the Earn-Out Shares were excluded from the Company’s diluted earnings per share calculation as the effects were determined to be anti-dilutive.</w:t>
      </w:r>
    </w:p>
    <w:p>
      <w:pPr>
        <w:spacing w:after="0" w:line="189" w:lineRule="exact"/>
        <w:rPr>
          <w:rFonts w:ascii="Times New Roman" w:cs="Times New Roman" w:eastAsia="Times New Roman" w:hAnsi="Times New Roman"/>
          <w:sz w:val="14"/>
          <w:szCs w:val="14"/>
          <w:color w:val="auto"/>
          <w:vertAlign w:val="superscript"/>
        </w:rPr>
      </w:pPr>
    </w:p>
    <w:p>
      <w:pPr>
        <w:jc w:val="both"/>
        <w:ind w:firstLine="5"/>
        <w:spacing w:after="0" w:line="266" w:lineRule="auto"/>
        <w:tabs>
          <w:tab w:leader="none" w:pos="128"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PW Deferred Consideration Shares relate to the portion of deferred consideration payable in Class A Common Stock upon meeting certain revenue thresholds related to our PW acquisition. See Note 3 (Business Combinations and Divestitures) for additional information. For the year ended December 31, 2024, the PW Deferred Consideration Shares were excluded from the Company’s diluted earnings per share calculation as the effects were determined to be anti-dilutive.</w:t>
      </w:r>
    </w:p>
    <w:p>
      <w:pPr>
        <w:spacing w:after="0" w:line="190" w:lineRule="exact"/>
        <w:rPr>
          <w:rFonts w:ascii="Times New Roman" w:cs="Times New Roman" w:eastAsia="Times New Roman" w:hAnsi="Times New Roman"/>
          <w:sz w:val="14"/>
          <w:szCs w:val="14"/>
          <w:color w:val="auto"/>
          <w:vertAlign w:val="superscript"/>
        </w:rPr>
      </w:pPr>
    </w:p>
    <w:p>
      <w:pPr>
        <w:jc w:val="both"/>
        <w:ind w:firstLine="5"/>
        <w:spacing w:after="0" w:line="434" w:lineRule="auto"/>
        <w:tabs>
          <w:tab w:leader="none" w:pos="128" w:val="left"/>
        </w:tabs>
        <w:numPr>
          <w:ilvl w:val="0"/>
          <w:numId w:val="10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Acquisition-Related Awards include the Holbein Earn-Ins, EEA Equity Awards, PW Equity Awards, and Envoi Equity Awards. As of December 31, 2024, the service periods related to the Holbein Earn-Ins, EEA Equity Awards, and PW Equity Awards had not been completed, and therefore such shares have not been included in the calculation of basic earnings (loss) per share for the years ended December 31, 2024 and December 31, 2023.</w:t>
      </w:r>
    </w:p>
    <w:p>
      <w:pPr>
        <w:spacing w:after="0" w:line="247" w:lineRule="auto"/>
        <w:rPr>
          <w:sz w:val="20"/>
          <w:szCs w:val="20"/>
          <w:color w:val="auto"/>
        </w:rPr>
      </w:pPr>
      <w:r>
        <w:rPr>
          <w:rFonts w:ascii="Times New Roman" w:cs="Times New Roman" w:eastAsia="Times New Roman" w:hAnsi="Times New Roman"/>
          <w:sz w:val="13"/>
          <w:szCs w:val="13"/>
          <w:color w:val="auto"/>
        </w:rPr>
        <w:t>In calculating the Company’s diluted earnings (loss) per share, the Company utilized the treasury stock method to determine the potential number of dilutive shares for the years ended December 31, 2024 and December 31, 2023 for the Acquisition-Related Awards.</w:t>
      </w:r>
    </w:p>
    <w:p>
      <w:pPr>
        <w:spacing w:after="0" w:line="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For the years ended December 31, 2024 and December 31, 2023, the Holbein Earn-In shares were excluded from the Company’s diluted earnings per share calculation as the Earn-In shares were classified as contingently issuable common shares.</w:t>
      </w:r>
    </w:p>
    <w:p>
      <w:pPr>
        <w:spacing w:after="0" w:line="4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For the year ended December 31, 2024, the EEA Equity Awards, PW Equity Awards, and Envoi Equity Awards were excluded from the Company’s diluted earnings per share calculation as the effects were determined to be anti-dilutive.Refer to Note 5 (Equity-Based Compensation) for additional details for the Acquisition-Related Awards.</w:t>
      </w:r>
    </w:p>
    <w:p>
      <w:pPr>
        <w:spacing w:after="0" w:line="42" w:lineRule="exact"/>
        <w:rPr>
          <w:sz w:val="20"/>
          <w:szCs w:val="20"/>
          <w:color w:val="auto"/>
        </w:rPr>
      </w:pPr>
    </w:p>
    <w:p>
      <w:pPr>
        <w:jc w:val="both"/>
        <w:ind w:firstLine="5"/>
        <w:spacing w:after="0" w:line="271" w:lineRule="auto"/>
        <w:tabs>
          <w:tab w:leader="none" w:pos="181" w:val="left"/>
        </w:tabs>
        <w:numPr>
          <w:ilvl w:val="0"/>
          <w:numId w:val="1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During the second quarter ended June 30, 2024, the Company granted PRSUs to selected members of AlTi’s executive team. Vesting of the PRSUs is based on meeting certain market conditions and the requisite service period. Unvested PRSUs would be excluded from Basic EPS calculation, but once vested, they would be included in the Basic EPS calculation. The PRSUs would be included in the computation of diluted EPS using the treasury stock method. Assumed proceeds under the treasury stock method consist of unamortized compensation cost. If dilutive, the unvested restricted stock would be considered outstanding as of the later of the beginning of the period or the grant date for diluted EPS computation purposes. If anti-dilutive, it should be excluded from the diluted EPS computation. For the year ended December 31, 2024, the PRSUs were excluded from the Company’s diluted earnings per share calculation as the effects were determined to be anti-dilutive. See discussion of PRSUs in Note 5 (Equity-Based Compensation).</w:t>
      </w:r>
    </w:p>
    <w:p>
      <w:pPr>
        <w:spacing w:after="0" w:line="10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Basic earnings per share is computed by dividing income attributable to controlling interest by the weighted average number of shares of Class A Common Stock outstanding during the period. Diluted earnings per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common share excludes potentially dilutive instruments which were outstanding during the period but were anti-dilutive. The following table shows the computation of basic and diluted earnings per share:</w:t>
      </w:r>
    </w:p>
    <w:p>
      <w:pPr>
        <w:spacing w:after="0" w:line="14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29845</wp:posOffset>
            </wp:positionV>
            <wp:extent cx="207518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7"/>
                <w:szCs w:val="17"/>
                <w:color w:val="auto"/>
              </w:rPr>
            </w:pPr>
          </w:p>
        </w:tc>
        <w:tc>
          <w:tcPr>
            <w:tcW w:w="14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controlling interest - basic and diluted</w:t>
            </w: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(165,584)</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to the Company - diluted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(126,549)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(165,584)</w:t>
            </w:r>
          </w:p>
        </w:tc>
      </w:tr>
      <w:tr>
        <w:trPr>
          <w:trHeight w:val="22"/>
        </w:trPr>
        <w:tc>
          <w:tcPr>
            <w:tcW w:w="8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basic</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79,692,659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61,396,692</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diluted</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79,692,659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61,396,692</w:t>
            </w:r>
          </w:p>
        </w:tc>
      </w:tr>
      <w:tr>
        <w:trPr>
          <w:trHeight w:val="22"/>
        </w:trPr>
        <w:tc>
          <w:tcPr>
            <w:tcW w:w="8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per Class A Common Stock - basic</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per Class A Common Stock - diluted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bl>
    <w:p>
      <w:pPr>
        <w:spacing w:after="0" w:line="21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table presents securities that would have been considered in the calculation of diluted earnings per share if the company had reported net income. As the company was in a net loss position, these securities were not evaluated for potential dilution: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320" w:type="dxa"/>
            <w:vAlign w:val="bottom"/>
            <w:gridSpan w:val="3"/>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22"/>
        </w:trPr>
        <w:tc>
          <w:tcPr>
            <w:tcW w:w="79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and Class B Units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48,352,620</w:t>
            </w:r>
          </w:p>
        </w:tc>
        <w:tc>
          <w:tcPr>
            <w:tcW w:w="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40,668,662</w:t>
            </w:r>
          </w:p>
        </w:tc>
      </w:tr>
      <w:tr>
        <w:trPr>
          <w:trHeight w:val="19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4,992,813</w:t>
            </w:r>
          </w:p>
        </w:tc>
      </w:tr>
      <w:tr>
        <w:trPr>
          <w:trHeight w:val="22"/>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Allianz and Constellation Warrants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Earn-Outs</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12,583,106</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10,396,318</w:t>
            </w:r>
          </w:p>
        </w:tc>
      </w:tr>
      <w:tr>
        <w:trPr>
          <w:trHeight w:val="22"/>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Pointwise Deferred Consideration Shares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829,657</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Acquisition-Related Awards</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1,680,085</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3,245,446</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3,432,030</w:t>
            </w:r>
          </w:p>
        </w:tc>
      </w:tr>
      <w:tr>
        <w:trPr>
          <w:trHeight w:val="22"/>
        </w:trPr>
        <w:tc>
          <w:tcPr>
            <w:tcW w:w="79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2024 and December 31, 2023, the liability associated with the TRA was approximately $28.8 million and $17.6 million, respectively. Payments under the TRA that are on account of liabilities arising in connection with the Business Combination will be revalued at the end of each reporting period with the gain or loss recognized in earnings. As of December 31, 2024 and December 31, 2023, the Company carried $9.4 million and $13.2 million, respectively, of its TRA liability at fair value, as it is contingent consideration from the Business Combination. The remaining portion of the TRA liability is carried at a value equal to the expected future payments under the TRA.</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connection with the TRA, certain parties to the Business Combination who received Class B Units in Umbrella have the ability to exchange Class B Units in Umbrella (along with their paired shares of Class B</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On August 31, 2023, holders of Class B Units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Units exchanged 4,954,518 Class B Paired Interests with the Company, for shares of Class A Common Stock on a 1:1 basis totaling an amount equal to $6.61 multiplied by the total number of shares of Class B Paired Interests exchanged at the time of the transaction. On May 14, 2024, holders of Class B Units exchanged 286,242 Class B Paired Interests with the Company, for shares of Class A Common Stock on a 1:1 basis totaling an amount equal to $4.69 multiplied by the total number of shares of Class B Paired Interests exchanged at the time of the transaction. On August 19, 2024, holders of Class B Units exchanged 1,840,077 Class B Paired Interests with the Company, for shares of Class A Common Stock on a 1:1 basis totaling an amount equal to $4.06 multiplied by the total number of shares of Class B Paired Interests exchanged at the time of the transaction.</w:t>
      </w:r>
    </w:p>
    <w:p>
      <w:pPr>
        <w:spacing w:after="0" w:line="1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December 31, 2024, assuming no material changes in the relevant tax laws and that the Company generates sufficient taxable income to realize the full tax benefit of the increased amortization resulting from the increase in tax basis of certain of AlTi’s assets, we expect to pay approximately $28.8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Business Combination Earn-out Securities, comprised of 3.3 million Class A Shares, 7.1 million shares of Class B Common Stock, and 7.1 million Class B Units (one Class B share and one Class B Unit comprising a Paired Interest, as described in Note 3 (Business Combinations and Divestitures)),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December 31, 2024 and December 31, 2023, the fair value of the earn-out shares was $23.8 million and $62.4 million, respectively. See Note 2 (Summary of Significant Accounting Policies) for additional detail.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 included cash consideration, equity consideration, deferred cash consideration, earn-out consideration, (or AWMS earn-out liability), and the payment of assumed liabilities. During the fourth quarter of 2024, the AWMS earn-out liability was fully paid. As of December 31, 2024 and December 31, 2023, the AWMS earn-out liability of $0.0 million and $1.1 million, respectively, is reported in Earn-out liabilities, at fair value, in the Consolidated Statement of Financial Position. Since the AWMS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to be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EEA Earn-out Liability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December 31, 2024, the EEA earn-out liability of $29.9 million is reported in Earn-out liabilities, at fair value, in the Consolidated Statement of Financial Position. Since the EEA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to be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Pointwise Deferred Consideration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recorded within the Other liabilities line item in the Consolidated Statement of Financial Position.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Envoi Earn-out Liability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2024,the Envoi earn-out consideration liability of $9.6 million and the Envoi earn-out growth consideration liability of $1.3 million are reported in the Earn-out liabilities, at fair value, in the Consolidated Statement of Financial Position. The fair values will be remeasured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which changes in the fair value of the Envoi earn-out liability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Letter of Credit</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December 31, 2024, the Company has existing letters of credit in the amount of $3.4 million under the Facility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From time to time, we may be named as a defendant in legal or regulatory actions. Although there can be no assurance of the outcome of such matters, management’s current assessment is that no loss contingency reserve is required to be recorded as of December 31, 2024 for any potential liability related to any current legal or regulatory proceeding or claim that would individually or in the aggregate materially affect our results of operations, financial condition, or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Home REIT</w:t>
      </w:r>
    </w:p>
    <w:p>
      <w:pPr>
        <w:spacing w:after="0" w:line="20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Home REIT is a real estate investment trust company listed on the London Stock Exchange. AFM UK was its alternative investment fund manager (“AIFM”) until August 21, 2023 and AHRA was its investment adviser until June 30, 2023. Services are no longer provided by any AlTi companies or any legacy Alvarium companies to Home REIT. AFM UK is a wholly owned subsidiary of the Company. AHRA was owned by ARE (another 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It is not possible at this point in time for us to reliably assess what the quantum of such claims might be, or AFM UK’s and/or ARE’s potential exposure, though they may potentially be material. Our intent is that any litigation or other action commenced by current and/or former shareholders of Home REIT against AFM UK and/or ARE will be defended vigorously. However, if any claims were commenced, we would anticipate that such claims may involve complex questions of law and fact, and significant legal expenses may be incurred in defending such litigation.</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 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It is not possible at this point in time for us to reliably assess what the quantum of such claims might be, or AFM UK’s and ARE’s potential exposure, though they may potentially be material. Our intent is that any litigation or other action commenced by Home REIT and/or its directors against AFM UK and/or ARE will be defended vigorously. However, if any claims were commenced, we would anticipate that such claims may involve complex questions of law and fact, and significant legal expenses may be incurred in defending such litigation.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intend to cooperate fully with the UK FCA as it conducts the investigations. We are not able to estimate how long it might take for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UK FCA to complete such investigations, but it is possible that the investigations may continue for a prolonged period, potentially over several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Tolleson Wealth Management</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The lost fee clause is applicable for two years from date of departure and requires payment of 75% of one year of lost revenue for each departing client that follows the former Tolleson employees, to be paid over two years.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September 2024, despite offers by the Company to pay for the departed clients, Tolleson filed a lawsuit against AlTi and the former Tolleson employees. The parties reached an agreement in September 2024, dismissing the litigation and agreeing to mediation.</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As of December 31, 2024, the Company and Tolleson reached a tentative out-of-court settlement agreement during mediation. The settlement consisted of $4.1 million related to 125% of one year of lost revenue for Tolleson and $1 million in attorneys’ fees to be paid by the Company to Tolleson. The Company and Tolleson entered a binding settlement agreement on February 19, 2025, memorializing the terms agreed to in mediation and concluding this matter. On March 13, 2025, the settlement amount of $5.1 million was paid.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2024 and December 31, 2023, there were 93,686,980 and 65,110,875, respectively, shares of Class A Common Stock outstanding. Of those shares, 754,968 are subject to performance targets under the terms of the Business Combination Earn-out as of both December 31, 2024 and December 31, 2023. The holders of the Class A Common Stock represent the controlling interest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B Common Stock</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December 31, 2024 and December 31, 2023, there were 46,138,876 and 53,219,713, respectively, shares of Class B Common Stock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part of the Allianz Transaction, the Company issued 140,000 shares of Series A Preferred Stock to Allianz, which is classified outside of permanent equity as mezzanine equity in the accompanying Consolidated Statement of Financial Position as they are not mandatorily redeemable as of December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C Preferred Stock</w:t>
      </w:r>
    </w:p>
    <w:p>
      <w:pPr>
        <w:spacing w:after="0" w:line="200"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In connection with the Constellation Transaction, the Company issued 150,000 shares of Series C Preferred Stock to Constellation. The Series C Preferred Stock is classified outside of permanent equity as mezzanine equity in the accompanying Consolidated Statement of Financial Position as they are not mandatorily redeemable as of December 31,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Allianz and Constellation Warrants</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In connection with the Constellation and Allianz Transactions, the Company evaluated the Constellation and Allianz Warrants in accordance with ASC 815-40, </w:t>
      </w:r>
      <w:r>
        <w:rPr>
          <w:rFonts w:ascii="Times New Roman" w:cs="Times New Roman" w:eastAsia="Times New Roman" w:hAnsi="Times New Roman"/>
          <w:sz w:val="16"/>
          <w:szCs w:val="16"/>
          <w:i w:val="1"/>
          <w:iCs w:val="1"/>
          <w:color w:val="auto"/>
        </w:rPr>
        <w:t>Contracts in 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Entity’s Own Equity, </w:t>
      </w:r>
      <w:r>
        <w:rPr>
          <w:rFonts w:ascii="Times New Roman" w:cs="Times New Roman" w:eastAsia="Times New Roman" w:hAnsi="Times New Roman"/>
          <w:sz w:val="16"/>
          <w:szCs w:val="16"/>
          <w:color w:val="auto"/>
        </w:rPr>
        <w:t>and concluded that the warrants are derivatives that meet the equity classification criteria. As of December 31, 2024, the Constellation and Allianz Warrants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 million and $6.6 million, respectively, are recorded as a component of equity net of issuance costs in the line item Additional paid-in capital on the Company’s Consolidated Statement of Financial Position.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Subsequent Events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evaluated events and transactions through the date of issuance of these financial statements. Based on management’s evaluation there are no events subsequent to December 31, 2024 that require adjustment to or disclosure in the consolidated financial statements, except as noted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Tolleson Wealth Management</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mentioned in Note 20 (Commitments and Contingencies), the Company and Tolleson entered into an out-of-court settlement memorandum during mediation proceedings related to a dispute involving former Tolleson employees. On February 19, 2025, the Company and Tolleson entered into a binding settlement agreement memorializing the terms agreed to in mediation and concluding this matter. On March 13, 2025, the settlement amount of $5.1 million was paid.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Kontora Family Office GmbH</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On March 6, 2025, the Company announced its agreement to acquire Kontora Family Office GmbH (“Kontora”). Kontora is a multi-family office and asset management company headquartered in Hamburg, Germany, focused on ultra high net worth families, entrepreneurs and select institutions. Kontora has AUM of approximately €14 billion as of the announcement date. The transaction is expected to close early in the second quarter of 2025 and remains subject to customary closing conditions.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Securities Exchange Act of 1934 (the “Exchange Act”)) as of December 31, 2024.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December 31, 2024, our disclosure controls and procedures were not effective due to material weaknesses in internal control over financial reporting, as further described below in Management’s Report on Internal Control Over Financial Reporting.</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Based on its assessment of the Company’s internal control over financial reporting, including the progress during 2024 to remediate control weaknesses previously identified, the following material weaknesses in our internal control over financial reporting remain as of December 31, 2024 , as discussed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management (with the supervision and participation of our Chief Executive Officer and Chief Financial Officer) conducted an evaluation of the effectiveness of our internal control over financial reporting based on the framework in Internal Control - Integrated Framework issued in 2013 by the Committee of Sponsoring Organizations of the Treadway Commission. Based on this evaluation, management concluded that our internal control over financial reporting was not effective as of December 31, 2024.</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previously disclosed in Part I, Item 4 of our Quarterly Report on Form 10-Q for the quarter ended September 30, 2024,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but as of December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color w:val="auto"/>
        </w:rPr>
        <w:t>31, 2024 has not completed its efforts to design and implement a testing plan to determine the effectiveness of controls that support our financial statements and reporting.</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Management has implemented a remediation plan for these material weaknesses, including, among other things, hiring additional accounting personnel,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During 2024, management has made significant progress in enhancing its internal control over financial reporting, as it prepares to implement effective controls with the objective of remediating all previously identified material weaknesses no later than as of December 31, 2025. This progress includes the following:</w:t>
      </w:r>
    </w:p>
    <w:p>
      <w:pPr>
        <w:spacing w:after="0" w:line="154" w:lineRule="exact"/>
        <w:rPr>
          <w:sz w:val="20"/>
          <w:szCs w:val="20"/>
          <w:color w:val="auto"/>
        </w:rPr>
      </w:pPr>
    </w:p>
    <w:p>
      <w:pPr>
        <w:jc w:val="both"/>
        <w:ind w:left="520" w:hanging="260"/>
        <w:spacing w:after="0" w:line="254" w:lineRule="auto"/>
        <w:tabs>
          <w:tab w:leader="none" w:pos="51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has designed and implemented risk assessment review processes that are intended to identify risks that could result, if not detected timely, in material misstatements in our consolidated financial statements. Management believes that such review risk assessment processes have been effectively implemented as of December 31, 2024.</w:t>
      </w:r>
    </w:p>
    <w:p>
      <w:pPr>
        <w:spacing w:after="0" w:line="158" w:lineRule="exact"/>
        <w:rPr>
          <w:rFonts w:ascii="Times New Roman" w:cs="Times New Roman" w:eastAsia="Times New Roman" w:hAnsi="Times New Roman"/>
          <w:sz w:val="16"/>
          <w:szCs w:val="16"/>
          <w:color w:val="auto"/>
        </w:rPr>
      </w:pPr>
    </w:p>
    <w:p>
      <w:pPr>
        <w:jc w:val="both"/>
        <w:ind w:left="520" w:hanging="260"/>
        <w:spacing w:after="0" w:line="248" w:lineRule="auto"/>
        <w:tabs>
          <w:tab w:leader="none" w:pos="51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documenting processes supporting the recording of balances and transactions in the Company’s consolidated financial statements and identifying and documenting controls that are intended to mitigate the risk of material misstatement in account balances and financial statement disclosures. These processes and controls continue to be documented and tested for design effectiveness. The Company intends to complete this exercise by no later than the end of the second fiscal quarter of 2025. The Company intends to begin tests of operating effectiveness of certain controls before the end of the second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process level controls.</w:t>
      </w:r>
    </w:p>
    <w:p>
      <w:pPr>
        <w:spacing w:after="0" w:line="174" w:lineRule="exact"/>
        <w:rPr>
          <w:rFonts w:ascii="Times New Roman" w:cs="Times New Roman" w:eastAsia="Times New Roman" w:hAnsi="Times New Roman"/>
          <w:sz w:val="16"/>
          <w:szCs w:val="16"/>
          <w:color w:val="auto"/>
        </w:rPr>
      </w:pPr>
    </w:p>
    <w:p>
      <w:pPr>
        <w:jc w:val="both"/>
        <w:ind w:left="520" w:hanging="260"/>
        <w:spacing w:after="0" w:line="246" w:lineRule="auto"/>
        <w:tabs>
          <w:tab w:leader="none" w:pos="51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documenting information technology controls related to the Company’s general information technology control environment that mitigates risk associated with items including systems development and change management, appropriate access to systems, and management of the Company’s internal financial and third-party customer data. These information technology processes and controls continue to be documented and tested for design effectiveness. The Company intends to complete this exercise by no later than the end of the second fiscal quarter of 2025. The Company intends to begin tests of operating effectiveness of certain information technology controls before the end of the second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information technology controls.</w:t>
      </w:r>
    </w:p>
    <w:p>
      <w:pPr>
        <w:spacing w:after="0" w:line="1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Based on the progress made during 2024 in completing its remediation plan, management believes that the previously identified material weakness related to the lack of sufficiently documented risk assessments has been remediated. The previously identified material weaknesses related to process level controls and information technology controls that support our financial statements and reporting remain as of December 31, 2024 and are expected to remain until such time as management has successfully completed sufficient tests of design and operating effectiveness on these controls to allow it to conclude that such controls are effective and that the material weaknesses have been remediated.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2024, we estimated that the costs of implementing the remediation plan were $0.8 million, primarily related to the use of third-party advisors to assist with implementing the remediation plan. Going forward we expect to incur additional material costs to complete the remediation plan, including costs incurred by our external auditor to assess whether all material weaknesses have been remediated. We can give no assurance that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86" w:name="page187"/>
    <w:bookmarkEnd w:id="186"/>
    <w:p>
      <w:pPr>
        <w:jc w:val="both"/>
        <w:spacing w:after="0" w:line="252" w:lineRule="auto"/>
        <w:rPr>
          <w:sz w:val="20"/>
          <w:szCs w:val="20"/>
          <w:color w:val="auto"/>
        </w:rPr>
      </w:pPr>
      <w:r>
        <w:rPr>
          <w:rFonts w:ascii="Times New Roman" w:cs="Times New Roman" w:eastAsia="Times New Roman" w:hAnsi="Times New Roman"/>
          <w:sz w:val="16"/>
          <w:szCs w:val="16"/>
          <w:color w:val="auto"/>
        </w:rPr>
        <w:t>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Other than as discussed above, there were no changes in our internal control over financial reporting that occurred during the quarter ended December 31, 2024, covered by this Annual Report that has materially affected, or is reasonably likely to materially affect, our internal control over financial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47" w:lineRule="exact"/>
        <w:rPr>
          <w:sz w:val="20"/>
          <w:szCs w:val="20"/>
          <w:color w:val="auto"/>
        </w:rPr>
      </w:pPr>
    </w:p>
    <w:p>
      <w:pPr>
        <w:jc w:val="both"/>
        <w:ind w:firstLine="5"/>
        <w:spacing w:after="0" w:line="300" w:lineRule="auto"/>
        <w:tabs>
          <w:tab w:leader="none" w:pos="34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14, 2025, the Board determined that, based upon the ongoing transition of duties to the Company’s recently appointed Chief Financial Officer, Michael Harrington, and the involvement of the Company’s President &amp; Chief Operating Officer, Kevin Moran, in the preparation of the Company’s financial statements and this Annual Report on Form 10-K, that Mr. Moran is acting as the Company’s principal financial officer and, by resolution dated such date, designated Mr. Moran as Interim Principal Financial Officer for a period from March 14, 2025 through March 31, 2025. At the end of such interim period, Mr. Harrington will become the Company’s Principal Financial Officer.</w:t>
      </w:r>
    </w:p>
    <w:p>
      <w:pPr>
        <w:spacing w:after="0" w:line="86" w:lineRule="exact"/>
        <w:rPr>
          <w:rFonts w:ascii="Times New Roman" w:cs="Times New Roman" w:eastAsia="Times New Roman" w:hAnsi="Times New Roman"/>
          <w:sz w:val="14"/>
          <w:szCs w:val="14"/>
          <w:color w:val="auto"/>
        </w:rPr>
      </w:pPr>
    </w:p>
    <w:p>
      <w:pPr>
        <w:jc w:val="both"/>
        <w:ind w:firstLine="5"/>
        <w:spacing w:after="0" w:line="254" w:lineRule="auto"/>
        <w:tabs>
          <w:tab w:leader="none" w:pos="39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information required by this item will be included in our Proxy Statement for the 2024 Annual Meeting of Stockholders (the “2025 Proxy Statement”) to be filed with the SEC within 120 days of the year ended December 31, 2024 and is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information required by this item will be included in the 2025 Proxy Statement and is incorporated herein by reference, except as to information disclosed therein pursuant to Item 402(v) of Regulation S-K relating to pay versus performance.</w:t>
      </w:r>
    </w:p>
    <w:p>
      <w:pPr>
        <w:spacing w:after="0" w:line="216" w:lineRule="exact"/>
        <w:rPr>
          <w:sz w:val="20"/>
          <w:szCs w:val="20"/>
          <w:color w:val="auto"/>
        </w:rPr>
      </w:pPr>
    </w:p>
    <w:p>
      <w:pPr>
        <w:ind w:right="1260"/>
        <w:spacing w:after="0" w:line="442"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6"/>
          <w:szCs w:val="16"/>
          <w:color w:val="auto"/>
        </w:rPr>
        <w:t>The information required by this item will be included in the 2025 Proxy Statement and is incorporated herein by reference.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will be included in the 2025 Proxy Statement and is incorporated herein by reference.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will be included in the 2025 Proxy Statement and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independent registered public accounting firm is KPMG LLP, Philadelphia, PA, Auditor ID: 185.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filed the following documents as part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financial statements are listed in the “Index to Consolidated Financial Statements” under Item 8 “Financial Statements and Supplementary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schedules have been omitted because they are either not required, not applicable or the required information is otherwise included.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060" w:type="dxa"/>
            <w:vAlign w:val="bottom"/>
          </w:tcPr>
          <w:p>
            <w:pPr>
              <w:ind w:left="43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8"/>
        </w:trPr>
        <w:tc>
          <w:tcPr>
            <w:tcW w:w="1220" w:type="dxa"/>
            <w:vAlign w:val="bottom"/>
            <w:tcBorders>
              <w:bottom w:val="single" w:sz="8" w:color="auto"/>
            </w:tcBorders>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174"/>
        </w:trPr>
        <w:tc>
          <w:tcPr>
            <w:tcW w:w="122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2.1†</w:t>
            </w:r>
          </w:p>
        </w:tc>
        <w:tc>
          <w:tcPr>
            <w:tcW w:w="10060" w:type="dxa"/>
            <w:vAlign w:val="bottom"/>
          </w:tcPr>
          <w:p>
            <w:pPr>
              <w:ind w:left="40"/>
              <w:spacing w:after="0" w:line="174" w:lineRule="exact"/>
              <w:rPr>
                <w:rFonts w:ascii="Times New Roman" w:cs="Times New Roman" w:eastAsia="Times New Roman" w:hAnsi="Times New Roman"/>
                <w:sz w:val="16"/>
                <w:szCs w:val="16"/>
                <w:color w:val="0000FF"/>
                <w:w w:val="98"/>
              </w:rPr>
            </w:pPr>
            <w:hyperlink r:id="rId246">
              <w:r>
                <w:rPr>
                  <w:rFonts w:ascii="Times New Roman" w:cs="Times New Roman" w:eastAsia="Times New Roman" w:hAnsi="Times New Roman"/>
                  <w:sz w:val="16"/>
                  <w:szCs w:val="16"/>
                  <w:color w:val="0000FF"/>
                  <w:w w:val="98"/>
                </w:rPr>
                <w:t>Amended and Restated Business Combination Agreement, dated October 25, 2022 (incorporated by reference to Exhibit 2.1 to the Company’s Current Report</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on Form 8-K filed October 26, 2022).</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47">
              <w:r>
                <w:rPr>
                  <w:rFonts w:ascii="Times New Roman" w:cs="Times New Roman" w:eastAsia="Times New Roman" w:hAnsi="Times New Roman"/>
                  <w:sz w:val="16"/>
                  <w:szCs w:val="16"/>
                  <w:color w:val="0000FF"/>
                  <w:w w:val="99"/>
                </w:rPr>
                <w:t>Certificate of Incorporation of the Company (incorporated by reference to Exhibit 3.1 to the Company’s Current Report on Form 8-K filed 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48">
              <w:r>
                <w:rPr>
                  <w:rFonts w:ascii="Times New Roman" w:cs="Times New Roman" w:eastAsia="Times New Roman" w:hAnsi="Times New Roman"/>
                  <w:sz w:val="16"/>
                  <w:szCs w:val="16"/>
                  <w:color w:val="0000FF"/>
                  <w:w w:val="98"/>
                </w:rPr>
                <w:t>Certificate of Ownership and Merger of the Company (incorporated by reference to Exhibit 3.1 to the Company’s Current Report on Form 8-K filed April 19,</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60" w:type="dxa"/>
            <w:vAlign w:val="bottom"/>
          </w:tcPr>
          <w:p>
            <w:pPr>
              <w:ind w:left="40"/>
              <w:spacing w:after="0"/>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Amended and Restated Bylaws of the Company (incorporated by reference to Exhibit 3.3 to the Company’s Annual Report on Form 10-K/A filed April 5,</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2024).</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Description of Registrant's Securities.</w:t>
            </w:r>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60" w:type="dxa"/>
            <w:vAlign w:val="bottom"/>
          </w:tcPr>
          <w:p>
            <w:pPr>
              <w:ind w:left="40"/>
              <w:spacing w:after="0"/>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Form of Indemnification Agreement for Executive Officers (incorporated by reference to Exhibit 10.1 to the Company’s Current Report on Form 8-K filed</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51">
              <w:r>
                <w:rPr>
                  <w:rFonts w:ascii="Times New Roman" w:cs="Times New Roman" w:eastAsia="Times New Roman" w:hAnsi="Times New Roman"/>
                  <w:sz w:val="16"/>
                  <w:szCs w:val="16"/>
                  <w:color w:val="0000FF"/>
                  <w:w w:val="99"/>
                </w:rPr>
                <w:t>Form of Indemnification Agreement for Directors (incorporated by reference to Exhibit 10.2 to the Company’s Current Report on Form 8-K filed January 9,</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52">
              <w:r>
                <w:rPr>
                  <w:rFonts w:ascii="Times New Roman" w:cs="Times New Roman" w:eastAsia="Times New Roman" w:hAnsi="Times New Roman"/>
                  <w:sz w:val="16"/>
                  <w:szCs w:val="16"/>
                  <w:color w:val="0000FF"/>
                  <w:w w:val="98"/>
                </w:rPr>
                <w:t>AlTi Global, Inc. 2023 Stock Incentive Plan (incorporated by reference to Exhibit 10.3 to the Company’s Current Report on Form 8-K filed January 9, 2023).</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53">
              <w:r>
                <w:rPr>
                  <w:rFonts w:ascii="Times New Roman" w:cs="Times New Roman" w:eastAsia="Times New Roman" w:hAnsi="Times New Roman"/>
                  <w:sz w:val="16"/>
                  <w:szCs w:val="16"/>
                  <w:color w:val="0000FF"/>
                  <w:w w:val="98"/>
                </w:rPr>
                <w:t>AlTi Global, Inc. 2023 Employee Stock Purchase Plan (incorporated by reference to Exhibit 10.4 to the Company’s Current Report on Form 8-K filed January</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9, 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60" w:type="dxa"/>
            <w:vAlign w:val="bottom"/>
          </w:tcPr>
          <w:p>
            <w:pPr>
              <w:ind w:left="40"/>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Form of Subscription Agreement (incorporated by reference to Exhibit 10.5 to the Company’s Current Report on Form 8-K filed September 23, 2021).</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10.5.1</w:t>
            </w:r>
          </w:p>
        </w:tc>
        <w:tc>
          <w:tcPr>
            <w:tcW w:w="10060" w:type="dxa"/>
            <w:vAlign w:val="bottom"/>
          </w:tcPr>
          <w:p>
            <w:pPr>
              <w:ind w:left="40"/>
              <w:spacing w:after="0"/>
              <w:rPr>
                <w:rFonts w:ascii="Times New Roman" w:cs="Times New Roman" w:eastAsia="Times New Roman" w:hAnsi="Times New Roman"/>
                <w:sz w:val="16"/>
                <w:szCs w:val="16"/>
                <w:color w:val="0000FF"/>
                <w:w w:val="99"/>
              </w:rPr>
            </w:pPr>
            <w:hyperlink r:id="rId255">
              <w:r>
                <w:rPr>
                  <w:rFonts w:ascii="Times New Roman" w:cs="Times New Roman" w:eastAsia="Times New Roman" w:hAnsi="Times New Roman"/>
                  <w:sz w:val="16"/>
                  <w:szCs w:val="16"/>
                  <w:color w:val="0000FF"/>
                  <w:w w:val="99"/>
                </w:rPr>
                <w:t>Form of Amendment to Subscription Agreement (incorporated by reference to Exhibit 10.2 to the Company’s Current Report on Form 8-K filed October 26,</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2022).</w:t>
              </w:r>
            </w:hyperlink>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56">
              <w:r>
                <w:rPr>
                  <w:rFonts w:ascii="Times New Roman" w:cs="Times New Roman" w:eastAsia="Times New Roman" w:hAnsi="Times New Roman"/>
                  <w:sz w:val="16"/>
                  <w:szCs w:val="16"/>
                  <w:color w:val="0000FF"/>
                  <w:w w:val="98"/>
                </w:rPr>
                <w:t>Registration Rights and Lock-Up Agreement, dated as of January 3, 2023, between the Company and the Holders (incorporated by reference to Exhibit 10.6 to</w:t>
              </w:r>
            </w:hyperlink>
          </w:p>
        </w:tc>
      </w:tr>
      <w:tr>
        <w:trPr>
          <w:trHeight w:val="203"/>
        </w:trPr>
        <w:tc>
          <w:tcPr>
            <w:tcW w:w="1220" w:type="dxa"/>
            <w:vAlign w:val="bottom"/>
          </w:tcPr>
          <w:p>
            <w:pPr>
              <w:spacing w:after="0"/>
              <w:rPr>
                <w:sz w:val="17"/>
                <w:szCs w:val="17"/>
                <w:color w:val="auto"/>
              </w:rPr>
            </w:pPr>
          </w:p>
        </w:tc>
        <w:tc>
          <w:tcPr>
            <w:tcW w:w="10060" w:type="dxa"/>
            <w:vAlign w:val="bottom"/>
          </w:tcPr>
          <w:p>
            <w:pPr>
              <w:ind w:left="40"/>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the Company’s Current Report on Form 8-K filed January 9, 2023).</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60" w:type="dxa"/>
            <w:vAlign w:val="bottom"/>
          </w:tcPr>
          <w:p>
            <w:pPr>
              <w:ind w:left="40"/>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Form of Option Agreement (incorporated by reference to Exhibit 10.7 to the Company’s Current Report on Form 8-K filed September 23, 2021).</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10.7.1</w:t>
            </w:r>
          </w:p>
        </w:tc>
        <w:tc>
          <w:tcPr>
            <w:tcW w:w="10060" w:type="dxa"/>
            <w:vAlign w:val="bottom"/>
          </w:tcPr>
          <w:p>
            <w:pPr>
              <w:ind w:left="40"/>
              <w:spacing w:after="0"/>
              <w:rPr>
                <w:rFonts w:ascii="Times New Roman" w:cs="Times New Roman" w:eastAsia="Times New Roman" w:hAnsi="Times New Roman"/>
                <w:sz w:val="16"/>
                <w:szCs w:val="16"/>
                <w:color w:val="0000FF"/>
                <w:w w:val="98"/>
              </w:rPr>
            </w:pPr>
            <w:hyperlink r:id="rId258">
              <w:r>
                <w:rPr>
                  <w:rFonts w:ascii="Times New Roman" w:cs="Times New Roman" w:eastAsia="Times New Roman" w:hAnsi="Times New Roman"/>
                  <w:sz w:val="16"/>
                  <w:szCs w:val="16"/>
                  <w:color w:val="0000FF"/>
                  <w:w w:val="98"/>
                </w:rPr>
                <w:t>Form of Amendment to Option Agreement (incorporated by reference to Exhibit 10.3 to the Company’s Current Report on Form 8-K filed October 26, 2022).</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60" w:type="dxa"/>
            <w:vAlign w:val="bottom"/>
          </w:tcPr>
          <w:p>
            <w:pPr>
              <w:ind w:left="40"/>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Form of Shareholder IRA (incorporated by reference to Exhibit 10.8 to the Company’s Current Report on Form 8-K filed September 23, 2021).</w:t>
              </w:r>
            </w:hyperlink>
          </w:p>
        </w:tc>
      </w:t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60" w:type="dxa"/>
            <w:vAlign w:val="bottom"/>
          </w:tcPr>
          <w:p>
            <w:pPr>
              <w:ind w:left="40"/>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Form of Voting IRA (incorporated by reference to Exhibit 10.9 to the Company’s Current Report on Form 8-K filed September 23, 2021).</w:t>
              </w:r>
            </w:hyperlink>
          </w:p>
        </w:tc>
      </w:tr>
      <w:tr>
        <w:trPr>
          <w:trHeight w:val="732"/>
        </w:trPr>
        <w:tc>
          <w:tcPr>
            <w:tcW w:w="1220" w:type="dxa"/>
            <w:vAlign w:val="bottom"/>
          </w:tcPr>
          <w:p>
            <w:pPr>
              <w:spacing w:after="0"/>
              <w:rPr>
                <w:sz w:val="24"/>
                <w:szCs w:val="24"/>
                <w:color w:val="auto"/>
              </w:rPr>
            </w:pPr>
          </w:p>
        </w:tc>
        <w:tc>
          <w:tcPr>
            <w:tcW w:w="10060" w:type="dxa"/>
            <w:vAlign w:val="bottom"/>
          </w:tcPr>
          <w:p>
            <w:pPr>
              <w:ind w:left="4300"/>
              <w:spacing w:after="0"/>
              <w:rPr>
                <w:sz w:val="20"/>
                <w:szCs w:val="20"/>
                <w:color w:val="auto"/>
              </w:rPr>
            </w:pPr>
            <w:r>
              <w:rPr>
                <w:rFonts w:ascii="Times New Roman" w:cs="Times New Roman" w:eastAsia="Times New Roman" w:hAnsi="Times New Roman"/>
                <w:sz w:val="16"/>
                <w:szCs w:val="16"/>
                <w:color w:val="auto"/>
              </w:rPr>
              <w:t>188</w:t>
            </w:r>
          </w:p>
        </w:tc>
      </w:tr>
      <w:tr>
        <w:trPr>
          <w:trHeight w:val="83"/>
        </w:trPr>
        <w:tc>
          <w:tcPr>
            <w:tcW w:w="1220" w:type="dxa"/>
            <w:vAlign w:val="bottom"/>
            <w:tcBorders>
              <w:bottom w:val="single" w:sz="8" w:color="9A9A9A"/>
            </w:tcBorders>
          </w:tcPr>
          <w:p>
            <w:pPr>
              <w:spacing w:after="0"/>
              <w:rPr>
                <w:sz w:val="7"/>
                <w:szCs w:val="7"/>
                <w:color w:val="auto"/>
              </w:rPr>
            </w:pPr>
          </w:p>
        </w:tc>
        <w:tc>
          <w:tcPr>
            <w:tcW w:w="10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9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420" w:type="dxa"/>
            <w:vAlign w:val="bottom"/>
          </w:tcPr>
          <w:p>
            <w:pPr>
              <w:ind w:left="400"/>
              <w:spacing w:after="0"/>
              <w:rPr>
                <w:rFonts w:ascii="Times New Roman" w:cs="Times New Roman" w:eastAsia="Times New Roman" w:hAnsi="Times New Roman"/>
                <w:sz w:val="16"/>
                <w:szCs w:val="16"/>
                <w:color w:val="0000FF"/>
                <w:w w:val="97"/>
              </w:rPr>
            </w:pPr>
            <w:hyperlink r:id="rId263">
              <w:r>
                <w:rPr>
                  <w:rFonts w:ascii="Times New Roman" w:cs="Times New Roman" w:eastAsia="Times New Roman" w:hAnsi="Times New Roman"/>
                  <w:sz w:val="16"/>
                  <w:szCs w:val="16"/>
                  <w:color w:val="0000FF"/>
                  <w:w w:val="97"/>
                </w:rPr>
                <w:t>Tax Receivable Agreement, dated as of January 3, 2023, between the Company and the TWMH Members, the TIG GP Members and the TIG MGMT Members</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(incorporated by reference to Exhibit 10.10 to the Company’s Current Report on Form 8-K filed January 9,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64">
              <w:r>
                <w:rPr>
                  <w:rFonts w:ascii="Times New Roman" w:cs="Times New Roman" w:eastAsia="Times New Roman" w:hAnsi="Times New Roman"/>
                  <w:sz w:val="16"/>
                  <w:szCs w:val="16"/>
                  <w:color w:val="0000FF"/>
                  <w:w w:val="98"/>
                </w:rPr>
                <w:t>Credit Agreement, dated as of January 3, 2023, between the Company, BMO Harris Bank N.A., the guarantors from time to time party thereto and the lenders</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from time to time party thereto (incorporated by reference to Exhibit 10.11 to the Company’s Current Report on Form 8-K filed January 9,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65">
              <w:r>
                <w:rPr>
                  <w:rFonts w:ascii="Times New Roman" w:cs="Times New Roman" w:eastAsia="Times New Roman" w:hAnsi="Times New Roman"/>
                  <w:sz w:val="16"/>
                  <w:szCs w:val="16"/>
                  <w:color w:val="0000FF"/>
                  <w:w w:val="98"/>
                </w:rPr>
                <w:t>First Amendment to the Credit Agreement, dated March 31, 2023, between the Company, BMO Harris Bank N.A., and the lenders party thereto (incorporated</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by reference to Exhibit 10.1 to the Company’s Quarterly Report on Form 10-Q filed on November 14,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Second Amendment to the Credit Agreement, dated November 10, 2023, between the Company, BMO Harris Bank N.A., and the lenders party thereto</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(incorporated by reference to Exhibit 10.2 to the Company’s Quarterly Report on Form 10-Q filed on November 14,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Third Amendment to the Credit Agreement, dated February 21, 2024, between the Company, BMO Harris Bank N.A., and the lenders party thereto</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(incorporated by reference to Exhibit 10.7 to the Company’s Current Report on Form 8-K filed on February 23, 2024).</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Executive Employment and Restrictive Covenant Agreement, dated as of January 3, 2023, among the Company, TIG Advisors, LLC and Kevin Moran</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(incorporated by reference to Exhibit 10.12 to the Company’s Current Report on Form 8-K filed January 9,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69">
              <w:r>
                <w:rPr>
                  <w:rFonts w:ascii="Times New Roman" w:cs="Times New Roman" w:eastAsia="Times New Roman" w:hAnsi="Times New Roman"/>
                  <w:sz w:val="16"/>
                  <w:szCs w:val="16"/>
                  <w:color w:val="0000FF"/>
                  <w:w w:val="98"/>
                </w:rPr>
                <w:t>Amended and Restated Tiedemann Employment Agreement, dated as of January 3, 2023, by and between the Company and Michael Tiedemann (incorporated</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by reference to Exhibit 10.13 to the Company’s Current Report on Form 8-K filed January 9,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Second Amended and Restated Limited Liability Agreement of Umbrella, dated as of January 3, 2023 (incorporated by reference to Exhibit 10.14 to the</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Company’s Registration Statement on Form S-1 filed January 27,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71">
              <w:r>
                <w:rPr>
                  <w:rFonts w:ascii="Times New Roman" w:cs="Times New Roman" w:eastAsia="Times New Roman" w:hAnsi="Times New Roman"/>
                  <w:sz w:val="16"/>
                  <w:szCs w:val="16"/>
                  <w:color w:val="0000FF"/>
                  <w:w w:val="98"/>
                </w:rPr>
                <w:t>Alvarium Exchange Agreement, dated as of September 19, 2021 (incorporated by reference as Annex L to the Company’s Registration Statement on Form S-4</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filed September 27, 2022).</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Form of RSU Award Agreement under the AlTi Global, Inc. 2023 Stock Incentive Plan (incorporated by reference to Exhibit 10.1.1 to the Company’s</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Registration Statement on Form S-8 filed on March 23, 2023).</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73">
              <w:r>
                <w:rPr>
                  <w:rFonts w:ascii="Times New Roman" w:cs="Times New Roman" w:eastAsia="Times New Roman" w:hAnsi="Times New Roman"/>
                  <w:sz w:val="16"/>
                  <w:szCs w:val="16"/>
                  <w:color w:val="0000FF"/>
                  <w:w w:val="98"/>
                </w:rPr>
                <w:t>Offer Letter, dated September 5, 2023, between the Company and Stephen Yarad (incorporated by reference to Exhibit 10.21 to the Company’s Annual Report</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on Form 10-K filed March 22, 2024).</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74">
              <w:r>
                <w:rPr>
                  <w:rFonts w:ascii="Times New Roman" w:cs="Times New Roman" w:eastAsia="Times New Roman" w:hAnsi="Times New Roman"/>
                  <w:sz w:val="16"/>
                  <w:szCs w:val="16"/>
                  <w:color w:val="0000FF"/>
                  <w:w w:val="98"/>
                </w:rPr>
                <w:t>Investment Agreement, dated February 22, 2024, by and between the Company and Allianz Strategic Investments S.à.r.l. (incorporated by reference to Exhibit</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10.1 to the Company’s Current Report on Form 8-K filed February 23, 2024).</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0420" w:type="dxa"/>
            <w:vAlign w:val="bottom"/>
          </w:tcPr>
          <w:p>
            <w:pPr>
              <w:ind w:left="400"/>
              <w:spacing w:after="0"/>
              <w:rPr>
                <w:rFonts w:ascii="Times New Roman" w:cs="Times New Roman" w:eastAsia="Times New Roman" w:hAnsi="Times New Roman"/>
                <w:sz w:val="16"/>
                <w:szCs w:val="16"/>
                <w:color w:val="0000FF"/>
                <w:w w:val="97"/>
              </w:rPr>
            </w:pPr>
            <w:hyperlink r:id="rId275">
              <w:r>
                <w:rPr>
                  <w:rFonts w:ascii="Times New Roman" w:cs="Times New Roman" w:eastAsia="Times New Roman" w:hAnsi="Times New Roman"/>
                  <w:sz w:val="16"/>
                  <w:szCs w:val="16"/>
                  <w:color w:val="0000FF"/>
                  <w:w w:val="97"/>
                </w:rPr>
                <w:t>Supplemental Series A Preferred Stock Investment Agreement, dated February 22, 2024, by and between the Company and Allianz Strategic Investments S.à.r.l.</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(incorporated by reference to Exhibit 10.2 to the Company’s Current Report on Form 8-K filed February 23, 2024).</w:t>
              </w:r>
            </w:hyperlink>
          </w:p>
        </w:tc>
      </w:tr>
      <w:tr>
        <w:trPr>
          <w:trHeight w:val="22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0420" w:type="dxa"/>
            <w:vAlign w:val="bottom"/>
          </w:tcPr>
          <w:p>
            <w:pPr>
              <w:ind w:left="400"/>
              <w:spacing w:after="0"/>
              <w:rPr>
                <w:rFonts w:ascii="Times New Roman" w:cs="Times New Roman" w:eastAsia="Times New Roman" w:hAnsi="Times New Roman"/>
                <w:sz w:val="16"/>
                <w:szCs w:val="16"/>
                <w:color w:val="0000FF"/>
                <w:w w:val="97"/>
              </w:rPr>
            </w:pPr>
            <w:hyperlink r:id="rId276">
              <w:r>
                <w:rPr>
                  <w:rFonts w:ascii="Times New Roman" w:cs="Times New Roman" w:eastAsia="Times New Roman" w:hAnsi="Times New Roman"/>
                  <w:sz w:val="16"/>
                  <w:szCs w:val="16"/>
                  <w:color w:val="0000FF"/>
                  <w:w w:val="97"/>
                </w:rPr>
                <w:t>Form of Allianz Investor Rights Agreement (incorporated by reference to Exhibit 10.3 to the Company’s Current Report on Form 8-K filed February 23, 2024).</w:t>
              </w:r>
            </w:hyperlink>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0420" w:type="dxa"/>
            <w:vAlign w:val="bottom"/>
          </w:tcPr>
          <w:p>
            <w:pPr>
              <w:ind w:left="400"/>
              <w:spacing w:after="0"/>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Form of Voting Agreement (incorporated by reference to Exhibit 10.4 to the Company’s Current Report on Form 8-K filed February 23, 2024).</w:t>
              </w:r>
            </w:hyperlink>
          </w:p>
        </w:tc>
      </w:tr>
      <w:tr>
        <w:trPr>
          <w:trHeight w:val="222"/>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78">
              <w:r>
                <w:rPr>
                  <w:rFonts w:ascii="Times New Roman" w:cs="Times New Roman" w:eastAsia="Times New Roman" w:hAnsi="Times New Roman"/>
                  <w:sz w:val="16"/>
                  <w:szCs w:val="16"/>
                  <w:color w:val="0000FF"/>
                  <w:w w:val="98"/>
                </w:rPr>
                <w:t>Investment Agreement, dated February 22, 2024, by and between the Company and CWC AlTi Investor LLC (incorporated by reference to Exhibit 10.5 to the</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Company’s Current Report on Form 8-K filed February 23, 2024).</w:t>
              </w:r>
            </w:hyperlink>
          </w:p>
        </w:tc>
      </w:tr>
      <w:tr>
        <w:trPr>
          <w:trHeight w:val="21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0420" w:type="dxa"/>
            <w:vAlign w:val="bottom"/>
          </w:tcPr>
          <w:p>
            <w:pPr>
              <w:ind w:left="400"/>
              <w:spacing w:after="0"/>
              <w:rPr>
                <w:rFonts w:ascii="Times New Roman" w:cs="Times New Roman" w:eastAsia="Times New Roman" w:hAnsi="Times New Roman"/>
                <w:sz w:val="16"/>
                <w:szCs w:val="16"/>
                <w:color w:val="0000FF"/>
                <w:w w:val="98"/>
              </w:rPr>
            </w:pPr>
            <w:hyperlink r:id="rId279">
              <w:r>
                <w:rPr>
                  <w:rFonts w:ascii="Times New Roman" w:cs="Times New Roman" w:eastAsia="Times New Roman" w:hAnsi="Times New Roman"/>
                  <w:sz w:val="16"/>
                  <w:szCs w:val="16"/>
                  <w:color w:val="0000FF"/>
                  <w:w w:val="98"/>
                </w:rPr>
                <w:t>Form of Constellation Investor Rights Agreement (incorporated by reference to Exhibit 10.6 to the Company’s Current Report on Form 8-K filed February 23,</w:t>
              </w:r>
            </w:hyperlink>
          </w:p>
        </w:tc>
      </w:tr>
      <w:tr>
        <w:trPr>
          <w:trHeight w:val="203"/>
        </w:trPr>
        <w:tc>
          <w:tcPr>
            <w:tcW w:w="860" w:type="dxa"/>
            <w:vAlign w:val="bottom"/>
          </w:tcPr>
          <w:p>
            <w:pPr>
              <w:spacing w:after="0"/>
              <w:rPr>
                <w:sz w:val="17"/>
                <w:szCs w:val="17"/>
                <w:color w:val="auto"/>
              </w:rPr>
            </w:pPr>
          </w:p>
        </w:tc>
        <w:tc>
          <w:tcPr>
            <w:tcW w:w="10420" w:type="dxa"/>
            <w:vAlign w:val="bottom"/>
          </w:tcPr>
          <w:p>
            <w:pPr>
              <w:ind w:left="400"/>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2024).</w:t>
              </w:r>
            </w:hyperlink>
          </w:p>
        </w:tc>
      </w:tr>
      <w:tr>
        <w:trPr>
          <w:trHeight w:val="22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18.1*</w:t>
            </w:r>
          </w:p>
        </w:tc>
        <w:tc>
          <w:tcPr>
            <w:tcW w:w="104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Preferability letter of KPMG LLP, dated March 17, 2025 regarding change in accounting policy related to warrants.</w:t>
            </w:r>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04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AlTi Global, Inc. Insider Trading Policy</w:t>
            </w:r>
          </w:p>
        </w:tc>
      </w:tr>
      <w:tr>
        <w:trPr>
          <w:trHeight w:val="732"/>
        </w:trPr>
        <w:tc>
          <w:tcPr>
            <w:tcW w:w="860" w:type="dxa"/>
            <w:vAlign w:val="bottom"/>
          </w:tcPr>
          <w:p>
            <w:pPr>
              <w:spacing w:after="0"/>
              <w:rPr>
                <w:sz w:val="24"/>
                <w:szCs w:val="24"/>
                <w:color w:val="auto"/>
              </w:rPr>
            </w:pPr>
          </w:p>
        </w:tc>
        <w:tc>
          <w:tcPr>
            <w:tcW w:w="10420" w:type="dxa"/>
            <w:vAlign w:val="bottom"/>
          </w:tcPr>
          <w:p>
            <w:pPr>
              <w:ind w:left="4660"/>
              <w:spacing w:after="0"/>
              <w:rPr>
                <w:sz w:val="20"/>
                <w:szCs w:val="20"/>
                <w:color w:val="auto"/>
              </w:rPr>
            </w:pPr>
            <w:r>
              <w:rPr>
                <w:rFonts w:ascii="Times New Roman" w:cs="Times New Roman" w:eastAsia="Times New Roman" w:hAnsi="Times New Roman"/>
                <w:sz w:val="16"/>
                <w:szCs w:val="16"/>
                <w:color w:val="auto"/>
              </w:rPr>
              <w:t>189</w:t>
            </w:r>
          </w:p>
        </w:tc>
      </w:tr>
      <w:tr>
        <w:trPr>
          <w:trHeight w:val="93"/>
        </w:trPr>
        <w:tc>
          <w:tcPr>
            <w:tcW w:w="860" w:type="dxa"/>
            <w:vAlign w:val="bottom"/>
            <w:tcBorders>
              <w:bottom w:val="single" w:sz="8" w:color="9A9A9A"/>
            </w:tcBorders>
          </w:tcPr>
          <w:p>
            <w:pPr>
              <w:spacing w:after="0"/>
              <w:rPr>
                <w:sz w:val="8"/>
                <w:szCs w:val="8"/>
                <w:color w:val="auto"/>
              </w:rPr>
            </w:pPr>
          </w:p>
        </w:tc>
        <w:tc>
          <w:tcPr>
            <w:tcW w:w="10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190" w:name="page191"/>
    <w:bookmarkEnd w:id="190"/>
    <w:tbl>
      <w:tblPr>
        <w:tblLayout w:type="fixed"/>
        <w:tblInd w:w="20" w:type="dxa"/>
        <w:tblCellMar>
          <w:top w:w="0" w:type="dxa"/>
          <w:left w:w="0" w:type="dxa"/>
          <w:bottom w:w="0" w:type="dxa"/>
          <w:right w:w="0" w:type="dxa"/>
        </w:tblCellMar>
      </w:tblP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List of Subsidiaries.</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Consent of KPMG LLP.</w:t>
            </w:r>
          </w:p>
        </w:tc>
      </w:tr>
      <w:tr>
        <w:trPr>
          <w:trHeight w:val="222"/>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w w:val="96"/>
              </w:rPr>
              <w:t>Certification of the Chief Executive Officer pursuant to Rule 13a-14(a) under the Securities Exchange Act of 1934, as adopted pursuant to §302 of the Sarbanes-</w:t>
            </w:r>
          </w:p>
        </w:tc>
      </w:tr>
      <w:tr>
        <w:trPr>
          <w:trHeight w:val="203"/>
        </w:trPr>
        <w:tc>
          <w:tcPr>
            <w:tcW w:w="960" w:type="dxa"/>
            <w:vAlign w:val="bottom"/>
          </w:tcPr>
          <w:p>
            <w:pPr>
              <w:spacing w:after="0"/>
              <w:rPr>
                <w:sz w:val="17"/>
                <w:szCs w:val="17"/>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Oxley Act of 2002.</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w w:val="97"/>
              </w:rPr>
              <w:t>Certification of the Chief Financial Officer pursuant to Rule 13a-14(a) under the Securities Exchange Act of 1934, as adopted pursuant to §302 of the Sarbanes-</w:t>
            </w:r>
          </w:p>
        </w:tc>
      </w:tr>
      <w:tr>
        <w:trPr>
          <w:trHeight w:val="203"/>
        </w:trPr>
        <w:tc>
          <w:tcPr>
            <w:tcW w:w="960" w:type="dxa"/>
            <w:vAlign w:val="bottom"/>
          </w:tcPr>
          <w:p>
            <w:pPr>
              <w:spacing w:after="0"/>
              <w:rPr>
                <w:sz w:val="17"/>
                <w:szCs w:val="17"/>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Oxley Act of 2002</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18 U.S.C. §1350, as adopted pursuant to §906 of the Sarbanes-Oxley Act of 2002</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§1350, as adopted pursuant to §906 of the Sarbanes-Oxley Act of 2002</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97*</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AlTi Global, Inc. Clawback Policy.</w:t>
            </w:r>
          </w:p>
        </w:tc>
      </w:tr>
      <w:tr>
        <w:trPr>
          <w:trHeight w:val="222"/>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Inline XBRL Instance Document—the instance document does not appear in the Interactive Data File because its XBRL tags are embedded within the Inline</w:t>
            </w:r>
          </w:p>
        </w:tc>
      </w:tr>
      <w:tr>
        <w:trPr>
          <w:trHeight w:val="203"/>
        </w:trPr>
        <w:tc>
          <w:tcPr>
            <w:tcW w:w="960" w:type="dxa"/>
            <w:vAlign w:val="bottom"/>
          </w:tcPr>
          <w:p>
            <w:pPr>
              <w:spacing w:after="0"/>
              <w:rPr>
                <w:sz w:val="17"/>
                <w:szCs w:val="17"/>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4" w:lineRule="exact"/>
        <w:rPr>
          <w:sz w:val="20"/>
          <w:szCs w:val="20"/>
          <w:color w:val="auto"/>
        </w:rPr>
      </w:pPr>
    </w:p>
    <w:p>
      <w:pPr>
        <w:ind w:firstLine="5"/>
        <w:spacing w:after="0" w:line="237" w:lineRule="auto"/>
        <w:tabs>
          <w:tab w:leader="none" w:pos="117"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annexes, schedules, and certain exhibits to this Exhibit have been omitted pursuant to Item 601(b)(2) of Regulation S-K. The Company hereby agrees to furnish supplementally a copy of any omitted annex, schedule or exhibit to the SEC upon request.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ALTI GLOBAL, INC</w:t>
            </w:r>
          </w:p>
        </w:tc>
        <w:tc>
          <w:tcPr>
            <w:tcW w:w="0" w:type="dxa"/>
            <w:vAlign w:val="bottom"/>
          </w:tcPr>
          <w:p>
            <w:pPr>
              <w:spacing w:after="0"/>
              <w:rPr>
                <w:sz w:val="1"/>
                <w:szCs w:val="1"/>
                <w:color w:val="auto"/>
              </w:rPr>
            </w:pPr>
          </w:p>
        </w:tc>
      </w:tr>
      <w:tr>
        <w:trPr>
          <w:trHeight w:val="262"/>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March 17, 2025</w:t>
            </w:r>
          </w:p>
        </w:tc>
        <w:tc>
          <w:tcPr>
            <w:tcW w:w="5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 Michael Tiedemann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Michael Tiedemann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March 17, 2025</w:t>
            </w:r>
          </w:p>
        </w:tc>
        <w:tc>
          <w:tcPr>
            <w:tcW w:w="5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 Kevin Moran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Kevin Moran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0" w:type="dxa"/>
            <w:vAlign w:val="bottom"/>
          </w:tcPr>
          <w:p>
            <w:pPr>
              <w:spacing w:after="0"/>
              <w:rPr>
                <w:sz w:val="1"/>
                <w:szCs w:val="1"/>
                <w:color w:val="auto"/>
              </w:rPr>
            </w:pPr>
          </w:p>
        </w:tc>
      </w:tr>
      <w:tr>
        <w:trPr>
          <w:trHeight w:val="240"/>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March 17, 2025</w:t>
            </w:r>
          </w:p>
        </w:tc>
        <w:tc>
          <w:tcPr>
            <w:tcW w:w="5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 Patrick Keenan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Patrick Keenan</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0" w:type="dxa"/>
            <w:vAlign w:val="bottom"/>
          </w:tcPr>
          <w:p>
            <w:pPr>
              <w:spacing w:after="0"/>
              <w:rPr>
                <w:sz w:val="1"/>
                <w:szCs w:val="1"/>
                <w:color w:val="auto"/>
              </w:rPr>
            </w:pP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1280"/>
          </w:cols>
          <w:pgMar w:left="300" w:top="1339" w:right="319" w:bottom="1440"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Tiedemann, certify that:</w:t>
      </w:r>
    </w:p>
    <w:p>
      <w:pPr>
        <w:spacing w:after="0" w:line="30" w:lineRule="exact"/>
        <w:rPr>
          <w:sz w:val="20"/>
          <w:szCs w:val="20"/>
          <w:color w:val="auto"/>
        </w:rPr>
      </w:pPr>
    </w:p>
    <w:p>
      <w:pPr>
        <w:ind w:left="480" w:hanging="461"/>
        <w:spacing w:after="0"/>
        <w:tabs>
          <w:tab w:leader="none" w:pos="4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17, 2025</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10" w:lineRule="auto"/>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3"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4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Kevin Moran, certify that:</w:t>
      </w:r>
    </w:p>
    <w:p>
      <w:pPr>
        <w:spacing w:after="0" w:line="30" w:lineRule="exact"/>
        <w:rPr>
          <w:sz w:val="20"/>
          <w:szCs w:val="20"/>
          <w:color w:val="auto"/>
        </w:rPr>
      </w:pPr>
    </w:p>
    <w:p>
      <w:pPr>
        <w:ind w:left="480" w:hanging="461"/>
        <w:spacing w:after="0"/>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17, 2025</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Kevin Moran</w:t>
      </w:r>
    </w:p>
    <w:p>
      <w:pPr>
        <w:ind w:left="4000"/>
        <w:spacing w:after="0" w:line="226" w:lineRule="auto"/>
        <w:rPr>
          <w:sz w:val="20"/>
          <w:szCs w:val="20"/>
          <w:color w:val="auto"/>
        </w:rPr>
      </w:pPr>
      <w:r>
        <w:rPr>
          <w:rFonts w:ascii="Times New Roman" w:cs="Times New Roman" w:eastAsia="Times New Roman" w:hAnsi="Times New Roman"/>
          <w:sz w:val="14"/>
          <w:szCs w:val="14"/>
          <w:color w:val="auto"/>
        </w:rPr>
        <w:t>President and Chief Operating Officer</w:t>
      </w:r>
    </w:p>
    <w:p>
      <w:pPr>
        <w:ind w:left="40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133" w:right="3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AlTi Global, Inc. (the “Company”) on Form 10-K for the annual period ended December 31, 2024, as filed with the Securities and Exchange Commission (the “Report”), I, Michael Tiedemann, Chief Executive Officer of the Company, certify, pursuant to 18 U.S.C. §1350, as added by §906 of the Sarbanes-Oxley Act of 2002, that:</w:t>
      </w:r>
    </w:p>
    <w:p>
      <w:pPr>
        <w:spacing w:after="0" w:line="1" w:lineRule="exact"/>
        <w:rPr>
          <w:sz w:val="20"/>
          <w:szCs w:val="20"/>
          <w:color w:val="auto"/>
        </w:rPr>
      </w:pPr>
    </w:p>
    <w:p>
      <w:pPr>
        <w:ind w:left="1040" w:hanging="565"/>
        <w:spacing w:after="0"/>
        <w:tabs>
          <w:tab w:leader="none" w:pos="10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60" w:hanging="565"/>
        <w:spacing w:after="0" w:line="239" w:lineRule="auto"/>
        <w:tabs>
          <w:tab w:leader="none" w:pos="10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17, 2025</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3" w:right="3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AlTi Global, Inc. (the “Company”) on Form 10-K for the annual period ended December 31, 2024, as filed with the Securities and Exchange Commission (the “Report”), I, Kevin Moran, President and Chief Operating Officer of the Company, certify, pursuant to 18 U.S.C. §1350, as added by §906 of the Sarbanes-Oxley Act of 2002, that:</w:t>
      </w:r>
    </w:p>
    <w:p>
      <w:pPr>
        <w:spacing w:after="0" w:line="1" w:lineRule="exact"/>
        <w:rPr>
          <w:sz w:val="20"/>
          <w:szCs w:val="20"/>
          <w:color w:val="auto"/>
        </w:rPr>
      </w:pPr>
    </w:p>
    <w:p>
      <w:pPr>
        <w:ind w:left="1040" w:hanging="565"/>
        <w:spacing w:after="0"/>
        <w:tabs>
          <w:tab w:leader="none" w:pos="10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20" w:hanging="565"/>
        <w:spacing w:after="0" w:line="239" w:lineRule="auto"/>
        <w:tabs>
          <w:tab w:leader="none" w:pos="10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17, 2025</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7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Kevin Moran</w:t>
      </w:r>
    </w:p>
    <w:p>
      <w:pPr>
        <w:ind w:left="4000"/>
        <w:spacing w:after="0" w:line="221" w:lineRule="auto"/>
        <w:rPr>
          <w:sz w:val="20"/>
          <w:szCs w:val="20"/>
          <w:color w:val="auto"/>
        </w:rPr>
      </w:pPr>
      <w:r>
        <w:rPr>
          <w:rFonts w:ascii="Times New Roman" w:cs="Times New Roman" w:eastAsia="Times New Roman" w:hAnsi="Times New Roman"/>
          <w:sz w:val="14"/>
          <w:szCs w:val="14"/>
          <w:color w:val="auto"/>
        </w:rPr>
        <w:t>President and Chief Operating Officer</w:t>
      </w:r>
    </w:p>
    <w:p>
      <w:pPr>
        <w:ind w:left="40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133" w:right="319" w:bottom="1440"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x"/>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lvl w:ilvl="1">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lvl w:ilvl="1">
      <w:lvlJc w:val="left"/>
      <w:lvlText w:val="◦"/>
      <w:numFmt w:val="bullet"/>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1)"/>
      <w:numFmt w:val="lowerLetter"/>
      <w:start w:val="1"/>
    </w:lvl>
  </w:abstractNum>
  <w:abstractNum w:abstractNumId="44">
    <w:nsid w:val="60B6DF70"/>
    <w:multiLevelType w:val="hybridMultilevel"/>
    <w:lvl w:ilvl="0">
      <w:lvlJc w:val="left"/>
      <w:lvlText w:val="(%1)"/>
      <w:numFmt w:val="lowerLetter"/>
      <w:start w:val="8"/>
    </w:lvl>
  </w:abstractNum>
  <w:abstractNum w:abstractNumId="45">
    <w:nsid w:val="6A5EE64"/>
    <w:multiLevelType w:val="hybridMultilevel"/>
    <w:lvl w:ilvl="0">
      <w:lvlJc w:val="left"/>
      <w:lvlText w:val="(%1)"/>
      <w:numFmt w:val="lowerLetter"/>
      <w:start w:val="1"/>
    </w:lvl>
  </w:abstractNum>
  <w:abstractNum w:abstractNumId="46">
    <w:nsid w:val="14330624"/>
    <w:multiLevelType w:val="hybridMultilevel"/>
    <w:lvl w:ilvl="0">
      <w:lvlJc w:val="left"/>
      <w:lvlText w:val="(%1)"/>
      <w:numFmt w:val="lowerLetter"/>
      <w:start w:val="6"/>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lowerRoman"/>
      <w:start w:val="4"/>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lvl w:ilvl="1">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1)"/>
      <w:numFmt w:val="decimal"/>
      <w:start w:val="2"/>
    </w:lvl>
    <w:lvl w:ilvl="1">
      <w:lvlJc w:val="left"/>
      <w:lvlText w:val="(%2)"/>
      <w:numFmt w:val="lowerLetter"/>
      <w:start w:val="1"/>
    </w:lvl>
  </w:abstractNum>
  <w:abstractNum w:abstractNumId="61">
    <w:nsid w:val="74DE0EE3"/>
    <w:multiLevelType w:val="hybridMultilevel"/>
    <w:lvl w:ilvl="0">
      <w:lvlJc w:val="left"/>
      <w:lvlText w:val="(%1)"/>
      <w:numFmt w:val="lowerLetter"/>
      <w:start w:val="2"/>
    </w:lvl>
  </w:abstractNum>
  <w:abstractNum w:abstractNumId="62">
    <w:nsid w:val="68EBC550"/>
    <w:multiLevelType w:val="hybridMultilevel"/>
    <w:lvl w:ilvl="0">
      <w:lvlJc w:val="left"/>
      <w:lvlText w:val="(%1)"/>
      <w:numFmt w:val="lowerLetter"/>
      <w:start w:val="3"/>
    </w:lvl>
  </w:abstractNum>
  <w:abstractNum w:abstractNumId="63">
    <w:nsid w:val="2DF6D648"/>
    <w:multiLevelType w:val="hybridMultilevel"/>
    <w:lvl w:ilvl="0">
      <w:lvlJc w:val="left"/>
      <w:lvlText w:val="(%1)"/>
      <w:numFmt w:val="lowerLetter"/>
      <w:start w:val="4"/>
    </w:lvl>
  </w:abstractNum>
  <w:abstractNum w:abstractNumId="64">
    <w:nsid w:val="46B7D447"/>
    <w:multiLevelType w:val="hybridMultilevel"/>
    <w:lvl w:ilvl="0">
      <w:lvlJc w:val="left"/>
      <w:lvlText w:val="(%1)"/>
      <w:numFmt w:val="lowerLetter"/>
      <w:start w:val="5"/>
    </w:lvl>
  </w:abstractNum>
  <w:abstractNum w:abstractNumId="65">
    <w:nsid w:val="4A2AC315"/>
    <w:multiLevelType w:val="hybridMultilevel"/>
    <w:lvl w:ilvl="0">
      <w:lvlJc w:val="left"/>
      <w:lvlText w:val="(%1)"/>
      <w:numFmt w:val="lowerLetter"/>
      <w:start w:val="6"/>
    </w:lvl>
  </w:abstractNum>
  <w:abstractNum w:abstractNumId="66">
    <w:nsid w:val="39EE015C"/>
    <w:multiLevelType w:val="hybridMultilevel"/>
    <w:lvl w:ilvl="0">
      <w:lvlJc w:val="left"/>
      <w:lvlText w:val="(%1)"/>
      <w:numFmt w:val="lowerLetter"/>
      <w:start w:val="7"/>
    </w:lvl>
  </w:abstractNum>
  <w:abstractNum w:abstractNumId="67">
    <w:nsid w:val="57FC4FBB"/>
    <w:multiLevelType w:val="hybridMultilevel"/>
    <w:lvl w:ilvl="0">
      <w:lvlJc w:val="left"/>
      <w:lvlText w:val="(%1)"/>
      <w:numFmt w:val="lowerLetter"/>
      <w:start w:val="8"/>
    </w:lvl>
  </w:abstractNum>
  <w:abstractNum w:abstractNumId="68">
    <w:nsid w:val="CC1016F"/>
    <w:multiLevelType w:val="hybridMultilevel"/>
    <w:lvl w:ilvl="0">
      <w:lvlJc w:val="left"/>
      <w:lvlText w:val="(%1)"/>
      <w:numFmt w:val="lowerRoman"/>
      <w:start w:val="1"/>
    </w:lvl>
  </w:abstractNum>
  <w:abstractNum w:abstractNumId="69">
    <w:nsid w:val="43F18422"/>
    <w:multiLevelType w:val="hybridMultilevel"/>
    <w:lvl w:ilvl="0">
      <w:lvlJc w:val="left"/>
      <w:lvlText w:val="(%1)"/>
      <w:numFmt w:val="lowerLetter"/>
      <w:start w:val="10"/>
    </w:lvl>
  </w:abstractNum>
  <w:abstractNum w:abstractNumId="70">
    <w:nsid w:val="60EF0119"/>
    <w:multiLevelType w:val="hybridMultilevel"/>
    <w:lvl w:ilvl="0">
      <w:lvlJc w:val="left"/>
      <w:lvlText w:val="(%1)"/>
      <w:numFmt w:val="lowerLetter"/>
      <w:start w:val="11"/>
    </w:lvl>
  </w:abstractNum>
  <w:abstractNum w:abstractNumId="71">
    <w:nsid w:val="26F324BA"/>
    <w:multiLevelType w:val="hybridMultilevel"/>
    <w:lvl w:ilvl="0">
      <w:lvlJc w:val="left"/>
      <w:lvlText w:val="(%1)"/>
      <w:numFmt w:val="lowerLetter"/>
      <w:start w:val="12"/>
    </w:lvl>
  </w:abstractNum>
  <w:abstractNum w:abstractNumId="72">
    <w:nsid w:val="7F01579B"/>
    <w:multiLevelType w:val="hybridMultilevel"/>
    <w:lvl w:ilvl="0">
      <w:lvlJc w:val="left"/>
      <w:lvlText w:val="(%1)"/>
      <w:numFmt w:val="lowerLetter"/>
      <w:start w:val="14"/>
    </w:lvl>
  </w:abstractNum>
  <w:abstractNum w:abstractNumId="73">
    <w:nsid w:val="49DA307D"/>
    <w:multiLevelType w:val="hybridMultilevel"/>
    <w:lvl w:ilvl="0">
      <w:lvlJc w:val="left"/>
      <w:lvlText w:val="(%1)"/>
      <w:numFmt w:val="lowerLetter"/>
      <w:start w:val="15"/>
    </w:lvl>
  </w:abstractNum>
  <w:abstractNum w:abstractNumId="74">
    <w:nsid w:val="7055A5F5"/>
    <w:multiLevelType w:val="hybridMultilevel"/>
    <w:lvl w:ilvl="0">
      <w:lvlJc w:val="left"/>
      <w:lvlText w:val="(%1)"/>
      <w:numFmt w:val="lowerLetter"/>
      <w:start w:val="16"/>
    </w:lvl>
  </w:abstractNum>
  <w:abstractNum w:abstractNumId="75">
    <w:nsid w:val="5FB8370B"/>
    <w:multiLevelType w:val="hybridMultilevel"/>
    <w:lvl w:ilvl="0">
      <w:lvlJc w:val="left"/>
      <w:lvlText w:val="(%1)"/>
      <w:numFmt w:val="lowerLetter"/>
      <w:start w:val="17"/>
    </w:lvl>
  </w:abstractNum>
  <w:abstractNum w:abstractNumId="76">
    <w:nsid w:val="50801EE1"/>
    <w:multiLevelType w:val="hybridMultilevel"/>
    <w:lvl w:ilvl="0">
      <w:lvlJc w:val="left"/>
      <w:lvlText w:val="(%1)"/>
      <w:numFmt w:val="lowerLetter"/>
      <w:start w:val="18"/>
    </w:lvl>
  </w:abstractNum>
  <w:abstractNum w:abstractNumId="77">
    <w:nsid w:val="488AC1A"/>
    <w:multiLevelType w:val="hybridMultilevel"/>
    <w:lvl w:ilvl="0">
      <w:lvlJc w:val="left"/>
      <w:lvlText w:val="(%1)"/>
      <w:numFmt w:val="lowerLetter"/>
      <w:start w:val="19"/>
    </w:lvl>
  </w:abstractNum>
  <w:abstractNum w:abstractNumId="78">
    <w:nsid w:val="5FB8011C"/>
    <w:multiLevelType w:val="hybridMultilevel"/>
    <w:lvl w:ilvl="0">
      <w:lvlJc w:val="left"/>
      <w:lvlText w:val="(%1)"/>
      <w:numFmt w:val="lowerLetter"/>
      <w:start w:val="20"/>
    </w:lvl>
  </w:abstractNum>
  <w:abstractNum w:abstractNumId="79">
    <w:nsid w:val="6AA78F7F"/>
    <w:multiLevelType w:val="hybridMultilevel"/>
    <w:lvl w:ilvl="0">
      <w:lvlJc w:val="left"/>
      <w:lvlText w:val="(%1)"/>
      <w:numFmt w:val="lowerLetter"/>
      <w:start w:val="21"/>
    </w:lvl>
  </w:abstractNum>
  <w:abstractNum w:abstractNumId="80">
    <w:nsid w:val="7672BD23"/>
    <w:multiLevelType w:val="hybridMultilevel"/>
    <w:lvl w:ilvl="0">
      <w:lvlJc w:val="left"/>
      <w:lvlText w:val="(%1)"/>
      <w:numFmt w:val="lowerRoman"/>
      <w:start w:val="5"/>
    </w:lvl>
  </w:abstractNum>
  <w:abstractNum w:abstractNumId="81">
    <w:nsid w:val="6FC75AF8"/>
    <w:multiLevelType w:val="hybridMultilevel"/>
    <w:lvl w:ilvl="0">
      <w:lvlJc w:val="left"/>
      <w:lvlText w:val="(%1)"/>
      <w:numFmt w:val="lowerLetter"/>
      <w:start w:val="23"/>
    </w:lvl>
  </w:abstractNum>
  <w:abstractNum w:abstractNumId="82">
    <w:nsid w:val="6A5F7029"/>
    <w:multiLevelType w:val="hybridMultilevel"/>
    <w:lvl w:ilvl="0">
      <w:lvlJc w:val="left"/>
      <w:lvlText w:val="(%1)"/>
      <w:numFmt w:val="lowerRoman"/>
      <w:start w:val="10"/>
    </w:lvl>
  </w:abstractNum>
  <w:abstractNum w:abstractNumId="83">
    <w:nsid w:val="7D5E18F8"/>
    <w:multiLevelType w:val="hybridMultilevel"/>
    <w:lvl w:ilvl="0">
      <w:lvlJc w:val="left"/>
      <w:lvlText w:val="(%1)"/>
      <w:numFmt w:val="lowerLetter"/>
      <w:start w:val="25"/>
    </w:lvl>
  </w:abstractNum>
  <w:abstractNum w:abstractNumId="84">
    <w:nsid w:val="5F3534A4"/>
    <w:multiLevelType w:val="hybridMultilevel"/>
    <w:lvl w:ilvl="0">
      <w:lvlJc w:val="left"/>
      <w:lvlText w:val="(%1)"/>
      <w:numFmt w:val="lowerLetter"/>
      <w:start w:val="26"/>
    </w:lvl>
  </w:abstractNum>
  <w:abstractNum w:abstractNumId="85">
    <w:nsid w:val="73A1821B"/>
    <w:multiLevelType w:val="hybridMultilevel"/>
    <w:lvl w:ilvl="0">
      <w:lvlJc w:val="left"/>
      <w:lvlText w:val="(%1)"/>
      <w:numFmt w:val="decimal"/>
      <w:start w:val="3"/>
    </w:lvl>
  </w:abstractNum>
  <w:abstractNum w:abstractNumId="86">
    <w:nsid w:val="7DE67713"/>
    <w:multiLevelType w:val="hybridMultilevel"/>
    <w:lvl w:ilvl="0">
      <w:lvlJc w:val="left"/>
      <w:lvlText w:val="&amp;"/>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1)"/>
      <w:numFmt w:val="decimal"/>
      <w:start w:val="5"/>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decimal"/>
      <w:start w:val="1"/>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1)"/>
      <w:numFmt w:val="decimal"/>
      <w:start w:val="1"/>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decimal"/>
      <w:start w:val="4"/>
    </w:lvl>
  </w:abstractNum>
  <w:abstractNum w:abstractNumId="109">
    <w:nsid w:val="5C10FE21"/>
    <w:multiLevelType w:val="hybridMultilevel"/>
    <w:lvl w:ilvl="0">
      <w:lvlJc w:val="left"/>
      <w:lvlText w:val="(%1)"/>
      <w:numFmt w:val="decimal"/>
      <w:start w:val="10"/>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246" Type="http://schemas.openxmlformats.org/officeDocument/2006/relationships/hyperlink" Target="https://www.sec.gov/Archives/edgar/data/1838615/000119312522268793/d514195dex21.htm" TargetMode="External"/><Relationship Id="rId247" Type="http://schemas.openxmlformats.org/officeDocument/2006/relationships/hyperlink" Target="https://www.sec.gov/Archives/edgar/data/1838615/000119312523004775/d431644dex31.htm" TargetMode="External"/><Relationship Id="rId248" Type="http://schemas.openxmlformats.org/officeDocument/2006/relationships/hyperlink" Target="https://www.sec.gov/Archives/edgar/data/1838615/000119312523106428/d190022dex31.htm" TargetMode="External"/><Relationship Id="rId249" Type="http://schemas.openxmlformats.org/officeDocument/2006/relationships/hyperlink" Target="https://www.sec.gov/ix?doc=/Archives/edgar/data/0001838615/000162828024015033/alti-20231231.htm" TargetMode="External"/><Relationship Id="rId250" Type="http://schemas.openxmlformats.org/officeDocument/2006/relationships/hyperlink" Target="https://www.sec.gov/Archives/edgar/data/1838615/000119312523004775/d431644dex101.htm" TargetMode="External"/><Relationship Id="rId251" Type="http://schemas.openxmlformats.org/officeDocument/2006/relationships/hyperlink" Target="https://www.sec.gov/Archives/edgar/data/1838615/000119312523004775/d431644dex102.htm" TargetMode="External"/><Relationship Id="rId252" Type="http://schemas.openxmlformats.org/officeDocument/2006/relationships/hyperlink" Target="https://www.sec.gov/Archives/edgar/data/1838615/000119312523004775/d431644dex103.htm" TargetMode="External"/><Relationship Id="rId253" Type="http://schemas.openxmlformats.org/officeDocument/2006/relationships/hyperlink" Target="https://www.sec.gov/Archives/edgar/data/1838615/000119312523004775/d431644dex104.htm" TargetMode="External"/><Relationship Id="rId254" Type="http://schemas.openxmlformats.org/officeDocument/2006/relationships/hyperlink" Target="https://www.sec.gov/Archives/edgar/data/1838615/000121390021049588/ea147796ex10-5_cartesian.htm" TargetMode="External"/><Relationship Id="rId255" Type="http://schemas.openxmlformats.org/officeDocument/2006/relationships/hyperlink" Target="https://www.sec.gov/Archives/edgar/data/1838615/000119312522268793/d514195dex102.htm" TargetMode="External"/><Relationship Id="rId256" Type="http://schemas.openxmlformats.org/officeDocument/2006/relationships/hyperlink" Target="https://www.sec.gov/Archives/edgar/data/1838615/000119312523004775/d431644dex106.htm" TargetMode="External"/><Relationship Id="rId257" Type="http://schemas.openxmlformats.org/officeDocument/2006/relationships/hyperlink" Target="https://www.sec.gov/Archives/edgar/data/1838615/000121390021049588/ea147796ex10-7_cartesian.htm" TargetMode="External"/><Relationship Id="rId258" Type="http://schemas.openxmlformats.org/officeDocument/2006/relationships/hyperlink" Target="https://www.sec.gov/Archives/edgar/data/1838615/000119312522268793/d514195dex103.htm" TargetMode="External"/><Relationship Id="rId259" Type="http://schemas.openxmlformats.org/officeDocument/2006/relationships/hyperlink" Target="https://www.sec.gov/Archives/edgar/data/1838615/000121390021049588/ea147796ex10-8_cartesian.htm" TargetMode="External"/><Relationship Id="rId260" Type="http://schemas.openxmlformats.org/officeDocument/2006/relationships/hyperlink" Target="https://www.sec.gov/Archives/edgar/data/1838615/000121390021049588/ea147796ex10-9_cartesian.htm" TargetMode="External"/><Relationship Id="rId263" Type="http://schemas.openxmlformats.org/officeDocument/2006/relationships/hyperlink" Target="https://www.sec.gov/Archives/edgar/data/1838615/000119312523004775/d431644dex1010.htm" TargetMode="External"/><Relationship Id="rId264" Type="http://schemas.openxmlformats.org/officeDocument/2006/relationships/hyperlink" Target="https://www.sec.gov/ix?doc=/Archives/edgar/data/0001838615/000119312523004775/d431644d8k.htm" TargetMode="External"/><Relationship Id="rId265" Type="http://schemas.openxmlformats.org/officeDocument/2006/relationships/hyperlink" Target="https://www.sec.gov/Archives/edgar/data/1838615/000162828023038993/bmo_alti-firstamendmentt.htm" TargetMode="External"/><Relationship Id="rId266" Type="http://schemas.openxmlformats.org/officeDocument/2006/relationships/hyperlink" Target="https://www.sec.gov/Archives/edgar/data/1838615/000162828023038993/bmoalti-secondamendmentt.htm" TargetMode="External"/><Relationship Id="rId267" Type="http://schemas.openxmlformats.org/officeDocument/2006/relationships/hyperlink" Target="https://www.sec.gov/ix?doc=/Archives/edgar/data/0001838615/000162828024006447/alti-20240222.htm" TargetMode="External"/><Relationship Id="rId268" Type="http://schemas.openxmlformats.org/officeDocument/2006/relationships/hyperlink" Target="https://www.sec.gov/Archives/edgar/data/1838615/000119312523004775/d431644dex1012.htm" TargetMode="External"/><Relationship Id="rId269" Type="http://schemas.openxmlformats.org/officeDocument/2006/relationships/hyperlink" Target="https://www.sec.gov/Archives/edgar/data/1838615/000119312523004775/d431644dex1013.htm" TargetMode="External"/><Relationship Id="rId270" Type="http://schemas.openxmlformats.org/officeDocument/2006/relationships/hyperlink" Target="https://www.sec.gov/Archives/edgar/data/1838615/000119312523017724/d443189dex1014.htm" TargetMode="External"/><Relationship Id="rId271" Type="http://schemas.openxmlformats.org/officeDocument/2006/relationships/hyperlink" Target="https://www.sec.gov/Archives/edgar/data/1838615/000119312522251992/d212761ds4a.htm#rom212761_a14" TargetMode="External"/><Relationship Id="rId272" Type="http://schemas.openxmlformats.org/officeDocument/2006/relationships/hyperlink" Target="https://www.sec.gov/Archives/edgar/data/1838615/000119312523078054/d322938dex1011.htm" TargetMode="External"/><Relationship Id="rId273" Type="http://schemas.openxmlformats.org/officeDocument/2006/relationships/hyperlink" Target="https://www.sec.gov/ix?doc=/Archives/edgar/data/0001838615/000162828024012642/alti-20231231.htm" TargetMode="External"/><Relationship Id="rId274" Type="http://schemas.openxmlformats.org/officeDocument/2006/relationships/hyperlink" Target="https://www.sec.gov/Archives/edgar/data/1838615/000162828024006447/a101-investmentagreemental.htm" TargetMode="External"/><Relationship Id="rId275" Type="http://schemas.openxmlformats.org/officeDocument/2006/relationships/hyperlink" Target="https://www.sec.gov/Archives/edgar/data/1838615/000162828024006447/a102-supplementalseriesapr.htm" TargetMode="External"/><Relationship Id="rId276" Type="http://schemas.openxmlformats.org/officeDocument/2006/relationships/hyperlink" Target="https://www.sec.gov/Archives/edgar/data/1838615/000162828024006447/a103-allianzinvestorrights.htm" TargetMode="External"/><Relationship Id="rId277" Type="http://schemas.openxmlformats.org/officeDocument/2006/relationships/hyperlink" Target="https://www.sec.gov/Archives/edgar/data/1838615/000162828024006447/a104-formofvotingagreement.htm" TargetMode="External"/><Relationship Id="rId278" Type="http://schemas.openxmlformats.org/officeDocument/2006/relationships/hyperlink" Target="https://www.sec.gov/Archives/edgar/data/1838615/000162828024006447/a105-investmentagreementco.htm" TargetMode="External"/><Relationship Id="rId279" Type="http://schemas.openxmlformats.org/officeDocument/2006/relationships/hyperlink" Target="https://www.sec.gov/Archives/edgar/data/1838615/000162828024006447/a106-formofconstellation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2025-03-17T16:23:24Z</dcterms:created>
  <dcterms:modified xsi:type="dcterms:W3CDTF">2025-03-17T16:23:24Z</dcterms:modified>
</cp:coreProperties>
</file>