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40"/>
        <w:gridCol w:w="123"/>
        <w:gridCol w:w="123"/>
        <w:gridCol w:w="2872"/>
        <w:gridCol w:w="2872"/>
        <w:gridCol w:w="4075"/>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xml:space="preserve">☒ </w:t>
            </w:r>
          </w:p>
        </w:tc>
        <w:tc>
          <w:tcPr>
            <w:tcW w:w="9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_________ to 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001-40103</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AlTi Global, Inc.</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8565" w:type="dxa"/>
        <w:jc w:val="left"/>
        <w:tblInd w:w="0" w:type="dxa"/>
        <w:tblLayout w:type="fixed"/>
        <w:tblCellMar>
          <w:top w:w="28" w:type="dxa"/>
          <w:left w:w="28" w:type="dxa"/>
          <w:bottom w:w="28" w:type="dxa"/>
          <w:right w:w="28" w:type="dxa"/>
        </w:tblCellMar>
      </w:tblPr>
      <w:tblGrid>
        <w:gridCol w:w="1983"/>
        <w:gridCol w:w="1747"/>
        <w:gridCol w:w="1760"/>
        <w:gridCol w:w="897"/>
        <w:gridCol w:w="897"/>
        <w:gridCol w:w="1281"/>
      </w:tblGrid>
      <w:tr>
        <w:trPr/>
        <w:tc>
          <w:tcPr>
            <w:tcW w:w="198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92-1552220</w:t>
            </w:r>
          </w:p>
        </w:tc>
      </w:tr>
      <w:tr>
        <w:trPr/>
        <w:tc>
          <w:tcPr>
            <w:tcW w:w="549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2"/>
              </w:rPr>
              <w:t>520 Madison Avenue, 26th Floor</w:t>
            </w:r>
            <w:r>
              <w:rPr>
                <w:color w:val="000000"/>
              </w:rPr>
              <w:t xml:space="preserve"> </w:t>
            </w:r>
            <w:r>
              <w:rPr>
                <w:rFonts w:ascii="Times New Roman;sans-serif" w:hAnsi="Times New Roman;sans-serif"/>
                <w:b/>
                <w:color w:val="000000"/>
                <w:sz w:val="22"/>
              </w:rPr>
              <w:t>New York</w:t>
            </w:r>
            <w:r>
              <w:rPr>
                <w:rFonts w:ascii="Times New Roman;sans-serif" w:hAnsi="Times New Roman;sans-serif"/>
                <w:b/>
                <w:color w:val="000000"/>
                <w:sz w:val="20"/>
              </w:rPr>
              <w:t xml:space="preserve">, </w:t>
            </w:r>
            <w:r>
              <w:rPr>
                <w:rFonts w:ascii="Times New Roman;sans-serif" w:hAnsi="Times New Roman;sans-serif"/>
                <w:b/>
                <w:color w:val="000000"/>
                <w:sz w:val="22"/>
              </w:rPr>
              <w:t>New York</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10022</w:t>
            </w:r>
          </w:p>
        </w:tc>
      </w:tr>
      <w:tr>
        <w:trPr/>
        <w:tc>
          <w:tcPr>
            <w:tcW w:w="549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(212) 396-5904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before="120" w:after="283"/>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613" w:type="dxa"/>
        <w:jc w:val="left"/>
        <w:tblInd w:w="0" w:type="dxa"/>
        <w:tblLayout w:type="fixed"/>
        <w:tblCellMar>
          <w:top w:w="28" w:type="dxa"/>
          <w:left w:w="28" w:type="dxa"/>
          <w:bottom w:w="28" w:type="dxa"/>
          <w:right w:w="28" w:type="dxa"/>
        </w:tblCellMar>
      </w:tblPr>
      <w:tblGrid>
        <w:gridCol w:w="1553"/>
        <w:gridCol w:w="1360"/>
        <w:gridCol w:w="1376"/>
        <w:gridCol w:w="539"/>
        <w:gridCol w:w="539"/>
        <w:gridCol w:w="541"/>
        <w:gridCol w:w="1085"/>
        <w:gridCol w:w="1085"/>
        <w:gridCol w:w="1535"/>
      </w:tblGrid>
      <w:tr>
        <w:trPr/>
        <w:tc>
          <w:tcPr>
            <w:tcW w:w="15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ALTI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Nasdaq Capital Market</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before="12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007" w:type="dxa"/>
        <w:jc w:val="left"/>
        <w:tblInd w:w="0" w:type="dxa"/>
        <w:tblLayout w:type="fixed"/>
        <w:tblCellMar>
          <w:top w:w="28" w:type="dxa"/>
          <w:left w:w="28" w:type="dxa"/>
          <w:bottom w:w="28" w:type="dxa"/>
          <w:right w:w="28" w:type="dxa"/>
        </w:tblCellMar>
      </w:tblPr>
      <w:tblGrid>
        <w:gridCol w:w="695"/>
        <w:gridCol w:w="611"/>
        <w:gridCol w:w="613"/>
        <w:gridCol w:w="120"/>
        <w:gridCol w:w="120"/>
        <w:gridCol w:w="121"/>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62,957,660 shares of Class A Common Stock (as defined herein) and 55,032,961 shares of Class B Common Stock (as defined herein) as of August 11,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jc w:val="left"/>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9601" w:type="dxa"/>
        <w:jc w:val="left"/>
        <w:tblInd w:w="0" w:type="dxa"/>
        <w:tblLayout w:type="fixed"/>
        <w:tblCellMar>
          <w:top w:w="28" w:type="dxa"/>
          <w:left w:w="28" w:type="dxa"/>
          <w:bottom w:w="28" w:type="dxa"/>
          <w:right w:w="28" w:type="dxa"/>
        </w:tblCellMar>
      </w:tblPr>
      <w:tblGrid>
        <w:gridCol w:w="3337"/>
        <w:gridCol w:w="2933"/>
        <w:gridCol w:w="2940"/>
        <w:gridCol w:w="114"/>
        <w:gridCol w:w="114"/>
        <w:gridCol w:w="163"/>
      </w:tblGrid>
      <w:tr>
        <w:trPr/>
        <w:tc>
          <w:tcPr>
            <w:tcW w:w="3337"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3">
              <w:r>
                <w:rPr>
                  <w:rStyle w:val="InternetLink"/>
                  <w:rFonts w:ascii="Times New Roman;sans-serif" w:hAnsi="Times New Roman;sans-serif"/>
                  <w:b w:val="false"/>
                  <w:strike w:val="false"/>
                  <w:dstrike w:val="false"/>
                  <w:color w:val="000000"/>
                  <w:sz w:val="22"/>
                  <w:u w:val="none"/>
                  <w:effect w:val="none"/>
                </w:rPr>
                <w:t>Part I Financial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3">
              <w:r>
                <w:rPr>
                  <w:rStyle w:val="InternetLink"/>
                  <w:rFonts w:ascii="Times New Roman;sans-serif" w:hAnsi="Times New Roman;sans-serif"/>
                  <w:b w:val="false"/>
                  <w:strike w:val="false"/>
                  <w:dstrike w:val="false"/>
                  <w:color w:val="000000"/>
                  <w:sz w:val="22"/>
                  <w:u w:val="none"/>
                  <w:effect w:val="none"/>
                </w:rPr>
                <w:t>8</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6">
              <w:r>
                <w:rPr>
                  <w:rStyle w:val="InternetLink"/>
                  <w:rFonts w:ascii="Times New Roman;sans-serif" w:hAnsi="Times New Roman;sans-serif"/>
                  <w:b w:val="false"/>
                  <w:strike w:val="false"/>
                  <w:dstrike w:val="false"/>
                  <w:color w:val="000000"/>
                  <w:sz w:val="22"/>
                  <w:u w:val="none"/>
                  <w:effect w:val="none"/>
                </w:rPr>
                <w:t>Item 1. Financial Statements (Unaudited)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6">
              <w:r>
                <w:rPr>
                  <w:rStyle w:val="InternetLink"/>
                  <w:rFonts w:ascii="Times New Roman;sans-serif" w:hAnsi="Times New Roman;sans-serif"/>
                  <w:b w:val="false"/>
                  <w:strike w:val="false"/>
                  <w:dstrike w:val="false"/>
                  <w:color w:val="000000"/>
                  <w:sz w:val="22"/>
                  <w:u w:val="none"/>
                  <w:effect w:val="none"/>
                </w:rPr>
                <w:t>8</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6d5ccd9364b844d7a8acfcfd5d45dfa3_19">
              <w:r>
                <w:rPr>
                  <w:rStyle w:val="InternetLink"/>
                  <w:rFonts w:ascii="Times New Roman;sans-serif" w:hAnsi="Times New Roman;sans-serif"/>
                  <w:b w:val="false"/>
                  <w:strike w:val="false"/>
                  <w:dstrike w:val="false"/>
                  <w:color w:val="000000"/>
                  <w:sz w:val="22"/>
                  <w:u w:val="none"/>
                  <w:effect w:val="none"/>
                </w:rPr>
                <w:t>Consolidated Statement of Financial Position (Unaudited)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9">
              <w:r>
                <w:rPr>
                  <w:rStyle w:val="InternetLink"/>
                  <w:rFonts w:ascii="Times New Roman;sans-serif" w:hAnsi="Times New Roman;sans-serif"/>
                  <w:b w:val="false"/>
                  <w:strike w:val="false"/>
                  <w:dstrike w:val="false"/>
                  <w:color w:val="000000"/>
                  <w:sz w:val="22"/>
                  <w:u w:val="none"/>
                  <w:effect w:val="none"/>
                </w:rPr>
                <w:t>9</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6d5ccd9364b844d7a8acfcfd5d45dfa3_22">
              <w:r>
                <w:rPr>
                  <w:rStyle w:val="InternetLink"/>
                  <w:rFonts w:ascii="Times New Roman;sans-serif" w:hAnsi="Times New Roman;sans-serif"/>
                  <w:b w:val="false"/>
                  <w:strike w:val="false"/>
                  <w:dstrike w:val="false"/>
                  <w:color w:val="000000"/>
                  <w:sz w:val="22"/>
                  <w:u w:val="none"/>
                  <w:effect w:val="none"/>
                </w:rPr>
                <w:t>Consolidated Statement of Operations (Unaudited)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22">
              <w:r>
                <w:rPr>
                  <w:rStyle w:val="InternetLink"/>
                  <w:rFonts w:ascii="Times New Roman;sans-serif" w:hAnsi="Times New Roman;sans-serif"/>
                  <w:b w:val="false"/>
                  <w:strike w:val="false"/>
                  <w:dstrike w:val="false"/>
                  <w:color w:val="000000"/>
                  <w:sz w:val="22"/>
                  <w:u w:val="none"/>
                  <w:effect w:val="none"/>
                </w:rPr>
                <w:t>10</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6d5ccd9364b844d7a8acfcfd5d45dfa3_25">
              <w:r>
                <w:rPr>
                  <w:rStyle w:val="InternetLink"/>
                  <w:rFonts w:ascii="Times New Roman;sans-serif" w:hAnsi="Times New Roman;sans-serif"/>
                  <w:b w:val="false"/>
                  <w:strike w:val="false"/>
                  <w:dstrike w:val="false"/>
                  <w:color w:val="000000"/>
                  <w:sz w:val="22"/>
                  <w:u w:val="none"/>
                  <w:effect w:val="none"/>
                </w:rPr>
                <w:t>Consolidated Statement of Changes in Shareholders’ Equity (Unaudited)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25">
              <w:r>
                <w:rPr>
                  <w:rStyle w:val="InternetLink"/>
                  <w:rFonts w:ascii="Times New Roman;sans-serif" w:hAnsi="Times New Roman;sans-serif"/>
                  <w:b w:val="false"/>
                  <w:strike w:val="false"/>
                  <w:dstrike w:val="false"/>
                  <w:color w:val="000000"/>
                  <w:sz w:val="22"/>
                  <w:u w:val="none"/>
                  <w:effect w:val="none"/>
                </w:rPr>
                <w:t>11</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6d5ccd9364b844d7a8acfcfd5d45dfa3_28">
              <w:r>
                <w:rPr>
                  <w:rStyle w:val="InternetLink"/>
                  <w:rFonts w:ascii="Times New Roman;sans-serif" w:hAnsi="Times New Roman;sans-serif"/>
                  <w:b w:val="false"/>
                  <w:strike w:val="false"/>
                  <w:dstrike w:val="false"/>
                  <w:color w:val="000000"/>
                  <w:sz w:val="22"/>
                  <w:u w:val="none"/>
                  <w:effect w:val="none"/>
                </w:rPr>
                <w:t>Consolidated Statement of Cash Flows (Unaudited)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28">
              <w:r>
                <w:rPr>
                  <w:rStyle w:val="InternetLink"/>
                  <w:rFonts w:ascii="Times New Roman;sans-serif" w:hAnsi="Times New Roman;sans-serif"/>
                  <w:b w:val="false"/>
                  <w:strike w:val="false"/>
                  <w:dstrike w:val="false"/>
                  <w:color w:val="000000"/>
                  <w:sz w:val="22"/>
                  <w:u w:val="none"/>
                  <w:effect w:val="none"/>
                </w:rPr>
                <w:t>13</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31">
              <w:r>
                <w:rPr>
                  <w:rStyle w:val="InternetLink"/>
                  <w:rFonts w:ascii="Times New Roman;sans-serif" w:hAnsi="Times New Roman;sans-serif"/>
                  <w:b w:val="false"/>
                  <w:strike w:val="false"/>
                  <w:dstrike w:val="false"/>
                  <w:color w:val="000000"/>
                  <w:sz w:val="22"/>
                  <w:u w:val="none"/>
                  <w:effect w:val="none"/>
                </w:rPr>
                <w:t xml:space="preserve">Notes to </w:t>
              </w:r>
            </w:hyperlink>
            <w:r>
              <w:rPr>
                <w:rFonts w:ascii="Times New Roman;sans-serif" w:hAnsi="Times New Roman;sans-serif"/>
                <w:b w:val="false"/>
                <w:color w:val="000000"/>
                <w:sz w:val="22"/>
              </w:rPr>
              <w:t xml:space="preserve">Condensed </w:t>
            </w:r>
            <w:hyperlink w:anchor="i6d5ccd9364b844d7a8acfcfd5d45dfa3_31">
              <w:r>
                <w:rPr>
                  <w:rStyle w:val="InternetLink"/>
                  <w:rFonts w:ascii="Times New Roman;sans-serif" w:hAnsi="Times New Roman;sans-serif"/>
                  <w:b w:val="false"/>
                  <w:strike w:val="false"/>
                  <w:dstrike w:val="false"/>
                  <w:color w:val="000000"/>
                  <w:sz w:val="22"/>
                  <w:u w:val="none"/>
                  <w:effect w:val="none"/>
                </w:rPr>
                <w:t>Consolidated Financial Statements (Unaudited)</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31">
              <w:r>
                <w:rPr>
                  <w:rStyle w:val="InternetLink"/>
                  <w:rFonts w:ascii="Times New Roman;sans-serif" w:hAnsi="Times New Roman;sans-serif"/>
                  <w:b w:val="false"/>
                  <w:strike w:val="false"/>
                  <w:dstrike w:val="false"/>
                  <w:color w:val="000000"/>
                  <w:sz w:val="22"/>
                  <w:u w:val="none"/>
                  <w:effect w:val="none"/>
                </w:rPr>
                <w:t>15</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97">
              <w:r>
                <w:rPr>
                  <w:rStyle w:val="InternetLink"/>
                  <w:rFonts w:ascii="Times New Roman;sans-serif" w:hAnsi="Times New Roman;sans-serif"/>
                  <w:b w:val="false"/>
                  <w:strike w:val="false"/>
                  <w:dstrike w:val="false"/>
                  <w:color w:val="000000"/>
                  <w:sz w:val="22"/>
                  <w:u w:val="none"/>
                  <w:effect w:val="none"/>
                </w:rPr>
                <w:t>Item 2. Management’s Discussion and Analysis of Financial Condition and Results of Operations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97">
              <w:r>
                <w:rPr>
                  <w:rStyle w:val="InternetLink"/>
                  <w:rFonts w:ascii="Times New Roman;sans-serif" w:hAnsi="Times New Roman;sans-serif"/>
                  <w:b w:val="false"/>
                  <w:strike w:val="false"/>
                  <w:dstrike w:val="false"/>
                  <w:color w:val="000000"/>
                  <w:sz w:val="22"/>
                  <w:u w:val="none"/>
                  <w:effect w:val="none"/>
                </w:rPr>
                <w:t>61</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60">
              <w:r>
                <w:rPr>
                  <w:rStyle w:val="InternetLink"/>
                  <w:rFonts w:ascii="Times New Roman;sans-serif" w:hAnsi="Times New Roman;sans-serif"/>
                  <w:b w:val="false"/>
                  <w:strike w:val="false"/>
                  <w:dstrike w:val="false"/>
                  <w:color w:val="000000"/>
                  <w:sz w:val="22"/>
                  <w:u w:val="none"/>
                  <w:effect w:val="none"/>
                </w:rPr>
                <w:t>Item 3. Quantitative and Qualitative Disclosures about Market Risk</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60">
              <w:r>
                <w:rPr>
                  <w:rStyle w:val="InternetLink"/>
                  <w:rFonts w:ascii="Times New Roman;sans-serif" w:hAnsi="Times New Roman;sans-serif"/>
                  <w:b w:val="false"/>
                  <w:strike w:val="false"/>
                  <w:dstrike w:val="false"/>
                  <w:color w:val="000000"/>
                  <w:sz w:val="22"/>
                  <w:u w:val="none"/>
                  <w:effect w:val="none"/>
                </w:rPr>
                <w:t>80</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63">
              <w:r>
                <w:rPr>
                  <w:rStyle w:val="InternetLink"/>
                  <w:rFonts w:ascii="Times New Roman;sans-serif" w:hAnsi="Times New Roman;sans-serif"/>
                  <w:b w:val="false"/>
                  <w:strike w:val="false"/>
                  <w:dstrike w:val="false"/>
                  <w:color w:val="000000"/>
                  <w:sz w:val="22"/>
                  <w:u w:val="none"/>
                  <w:effect w:val="none"/>
                </w:rPr>
                <w:t>Item 4. Controls and Procedures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63">
              <w:r>
                <w:rPr>
                  <w:rStyle w:val="InternetLink"/>
                  <w:rFonts w:ascii="Times New Roman;sans-serif" w:hAnsi="Times New Roman;sans-serif"/>
                  <w:b w:val="false"/>
                  <w:strike w:val="false"/>
                  <w:dstrike w:val="false"/>
                  <w:color w:val="000000"/>
                  <w:sz w:val="22"/>
                  <w:u w:val="none"/>
                  <w:effect w:val="none"/>
                </w:rPr>
                <w:t>81</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66">
              <w:r>
                <w:rPr>
                  <w:rStyle w:val="InternetLink"/>
                  <w:rFonts w:ascii="Times New Roman;sans-serif" w:hAnsi="Times New Roman;sans-serif"/>
                  <w:b w:val="false"/>
                  <w:strike w:val="false"/>
                  <w:dstrike w:val="false"/>
                  <w:color w:val="000000"/>
                  <w:sz w:val="22"/>
                  <w:u w:val="none"/>
                  <w:effect w:val="none"/>
                </w:rPr>
                <w:t>Part II Other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66">
              <w:r>
                <w:rPr>
                  <w:rStyle w:val="InternetLink"/>
                  <w:rFonts w:ascii="Times New Roman;sans-serif" w:hAnsi="Times New Roman;sans-serif"/>
                  <w:b w:val="false"/>
                  <w:strike w:val="false"/>
                  <w:dstrike w:val="false"/>
                  <w:color w:val="000000"/>
                  <w:sz w:val="22"/>
                  <w:u w:val="none"/>
                  <w:effect w:val="none"/>
                </w:rPr>
                <w:t>83</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69">
              <w:r>
                <w:rPr>
                  <w:rStyle w:val="InternetLink"/>
                  <w:rFonts w:ascii="Times New Roman;sans-serif" w:hAnsi="Times New Roman;sans-serif"/>
                  <w:b w:val="false"/>
                  <w:strike w:val="false"/>
                  <w:dstrike w:val="false"/>
                  <w:color w:val="000000"/>
                  <w:sz w:val="22"/>
                  <w:u w:val="none"/>
                  <w:effect w:val="none"/>
                </w:rPr>
                <w:t>Item 1. Legal Proceedings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69">
              <w:r>
                <w:rPr>
                  <w:rStyle w:val="InternetLink"/>
                  <w:rFonts w:ascii="Times New Roman;sans-serif" w:hAnsi="Times New Roman;sans-serif"/>
                  <w:b w:val="false"/>
                  <w:strike w:val="false"/>
                  <w:dstrike w:val="false"/>
                  <w:color w:val="000000"/>
                  <w:sz w:val="22"/>
                  <w:u w:val="none"/>
                  <w:effect w:val="none"/>
                </w:rPr>
                <w:t>83</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72">
              <w:r>
                <w:rPr>
                  <w:rStyle w:val="InternetLink"/>
                  <w:rFonts w:ascii="Times New Roman;sans-serif" w:hAnsi="Times New Roman;sans-serif"/>
                  <w:b w:val="false"/>
                  <w:strike w:val="false"/>
                  <w:dstrike w:val="false"/>
                  <w:color w:val="000000"/>
                  <w:sz w:val="22"/>
                  <w:u w:val="none"/>
                  <w:effect w:val="none"/>
                </w:rPr>
                <w:t>Item 1A. Risk Factors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72">
              <w:r>
                <w:rPr>
                  <w:rStyle w:val="InternetLink"/>
                  <w:rFonts w:ascii="Times New Roman;sans-serif" w:hAnsi="Times New Roman;sans-serif"/>
                  <w:b w:val="false"/>
                  <w:strike w:val="false"/>
                  <w:dstrike w:val="false"/>
                  <w:color w:val="000000"/>
                  <w:sz w:val="22"/>
                  <w:u w:val="none"/>
                  <w:effect w:val="none"/>
                </w:rPr>
                <w:t>83</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75">
              <w:r>
                <w:rPr>
                  <w:rStyle w:val="InternetLink"/>
                  <w:rFonts w:ascii="Times New Roman;sans-serif" w:hAnsi="Times New Roman;sans-serif"/>
                  <w:b w:val="false"/>
                  <w:strike w:val="false"/>
                  <w:dstrike w:val="false"/>
                  <w:color w:val="000000"/>
                  <w:sz w:val="22"/>
                  <w:u w:val="none"/>
                  <w:effect w:val="none"/>
                </w:rPr>
                <w:t>Item 2. Unregistered Sales of Equity Securities and Use of Proceeds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75">
              <w:r>
                <w:rPr>
                  <w:rStyle w:val="InternetLink"/>
                  <w:rFonts w:ascii="Times New Roman;sans-serif" w:hAnsi="Times New Roman;sans-serif"/>
                  <w:b w:val="false"/>
                  <w:strike w:val="false"/>
                  <w:dstrike w:val="false"/>
                  <w:color w:val="000000"/>
                  <w:sz w:val="22"/>
                  <w:u w:val="none"/>
                  <w:effect w:val="none"/>
                </w:rPr>
                <w:t>83</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78">
              <w:r>
                <w:rPr>
                  <w:rStyle w:val="InternetLink"/>
                  <w:rFonts w:ascii="Times New Roman;sans-serif" w:hAnsi="Times New Roman;sans-serif"/>
                  <w:b w:val="false"/>
                  <w:strike w:val="false"/>
                  <w:dstrike w:val="false"/>
                  <w:color w:val="000000"/>
                  <w:sz w:val="22"/>
                  <w:u w:val="none"/>
                  <w:effect w:val="none"/>
                </w:rPr>
                <w:t>Item 3. Defaults Upon Senior Securities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78">
              <w:r>
                <w:rPr>
                  <w:rStyle w:val="InternetLink"/>
                  <w:rFonts w:ascii="Times New Roman;sans-serif" w:hAnsi="Times New Roman;sans-serif"/>
                  <w:b w:val="false"/>
                  <w:strike w:val="false"/>
                  <w:dstrike w:val="false"/>
                  <w:color w:val="000000"/>
                  <w:sz w:val="22"/>
                  <w:u w:val="none"/>
                  <w:effect w:val="none"/>
                </w:rPr>
                <w:t>83</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81">
              <w:r>
                <w:rPr>
                  <w:rStyle w:val="InternetLink"/>
                  <w:rFonts w:ascii="Times New Roman;sans-serif" w:hAnsi="Times New Roman;sans-serif"/>
                  <w:b w:val="false"/>
                  <w:strike w:val="false"/>
                  <w:dstrike w:val="false"/>
                  <w:color w:val="000000"/>
                  <w:sz w:val="22"/>
                  <w:u w:val="none"/>
                  <w:effect w:val="none"/>
                </w:rPr>
                <w:t>Item 4. Mine Safety Disclosures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81">
              <w:r>
                <w:rPr>
                  <w:rStyle w:val="InternetLink"/>
                  <w:rFonts w:ascii="Times New Roman;sans-serif" w:hAnsi="Times New Roman;sans-serif"/>
                  <w:b w:val="false"/>
                  <w:strike w:val="false"/>
                  <w:dstrike w:val="false"/>
                  <w:color w:val="000000"/>
                  <w:sz w:val="22"/>
                  <w:u w:val="none"/>
                  <w:effect w:val="none"/>
                </w:rPr>
                <w:t>83</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84">
              <w:r>
                <w:rPr>
                  <w:rStyle w:val="InternetLink"/>
                  <w:rFonts w:ascii="Times New Roman;sans-serif" w:hAnsi="Times New Roman;sans-serif"/>
                  <w:b w:val="false"/>
                  <w:strike w:val="false"/>
                  <w:dstrike w:val="false"/>
                  <w:color w:val="000000"/>
                  <w:sz w:val="22"/>
                  <w:u w:val="none"/>
                  <w:effect w:val="none"/>
                </w:rPr>
                <w:t>Item 5. Other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84">
              <w:r>
                <w:rPr>
                  <w:rStyle w:val="InternetLink"/>
                  <w:rFonts w:ascii="Times New Roman;sans-serif" w:hAnsi="Times New Roman;sans-serif"/>
                  <w:b w:val="false"/>
                  <w:strike w:val="false"/>
                  <w:dstrike w:val="false"/>
                  <w:color w:val="000000"/>
                  <w:sz w:val="22"/>
                  <w:u w:val="none"/>
                  <w:effect w:val="none"/>
                </w:rPr>
                <w:t>83</w:t>
              </w:r>
            </w:hyperlink>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87">
              <w:r>
                <w:rPr>
                  <w:rStyle w:val="InternetLink"/>
                  <w:rFonts w:ascii="Times New Roman;sans-serif" w:hAnsi="Times New Roman;sans-serif"/>
                  <w:b w:val="false"/>
                  <w:strike w:val="false"/>
                  <w:dstrike w:val="false"/>
                  <w:color w:val="000000"/>
                  <w:sz w:val="22"/>
                  <w:u w:val="none"/>
                  <w:effect w:val="none"/>
                </w:rPr>
                <w:t xml:space="preserve">Item 6. Exhibits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77</w:t>
            </w:r>
          </w:p>
        </w:tc>
      </w:tr>
      <w:tr>
        <w:trPr/>
        <w:tc>
          <w:tcPr>
            <w:tcW w:w="9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90">
              <w:r>
                <w:rPr>
                  <w:rStyle w:val="InternetLink"/>
                  <w:rFonts w:ascii="Times New Roman;sans-serif" w:hAnsi="Times New Roman;sans-serif"/>
                  <w:b w:val="false"/>
                  <w:strike w:val="false"/>
                  <w:dstrike w:val="false"/>
                  <w:color w:val="000000"/>
                  <w:sz w:val="22"/>
                  <w:u w:val="none"/>
                  <w:effect w:val="none"/>
                </w:rPr>
                <w:t>Signatures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5ccd9364b844d7a8acfcfd5d45dfa3_190">
              <w:r>
                <w:rPr>
                  <w:rStyle w:val="InternetLink"/>
                  <w:rFonts w:ascii="Times New Roman;sans-serif" w:hAnsi="Times New Roman;sans-serif"/>
                  <w:b w:val="false"/>
                  <w:strike w:val="false"/>
                  <w:dstrike w:val="false"/>
                  <w:color w:val="000000"/>
                  <w:sz w:val="22"/>
                  <w:u w:val="none"/>
                  <w:effect w:val="none"/>
                </w:rPr>
                <w:t>85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Defined Terms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Capitalized terms used herein but not otherwise defined herein shall have the respective meanings ascribed to them in the Amended and Restated Business Combination Agreement, a copy of which is attached to our Annual Report on Form 10-K filed April 17, 2023 (the “Annual Report”).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Alvarium” means AlTi Asset Management Holdings 2 Limited, formerly known as Alvarium Investments Limited, an English private limited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Contribution” means the contribution by Cartesian of all the issued and outstanding shares of AlTi Global Topco that it holds to Umbrella.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Contribution Agreement” means the Contribution Agreement, dated as of January 3, 2023, by and among Cartesian and Umbrella.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Exchange” means the exchange by each shareholder of AlTi Global Topco of his, her or its (a) ordinary shares of AlTi Global Topco and (b) class A shares of AlTi Global Topco for Class A Common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AlTi” means AlTi Global, Inc., together with its consolidated subsidiaries.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Reorganization” means a reorganization such that Alvarium is the wholly owned indirect subsidiary of AlTi Global Topco, and AlTi Global Topco is owned solely by the shareholders of Alvarium.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Shareholders” means the shareholders of Alvarium.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Tiedemann” means the Company, prior to being renamed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AlTi Global Topco” means AlTi Global Topco Limited, formerly known as Alvarium Topco, an Isle of Man entity which was established by Alvarium and owned by the Alvarium Shareholders.</w:t>
      </w:r>
    </w:p>
    <w:p>
      <w:pPr>
        <w:pStyle w:val="TextBody"/>
        <w:bidi w:val="0"/>
        <w:spacing w:lineRule="auto" w:line="268" w:before="200" w:after="283"/>
        <w:ind w:left="0" w:right="0" w:hanging="360"/>
        <w:jc w:val="both"/>
        <w:rPr/>
      </w:pPr>
      <w:r>
        <w:rPr>
          <w:color w:val="000000"/>
        </w:rPr>
        <w:t>•“</w:t>
      </w:r>
      <w:r>
        <w:rPr>
          <w:rFonts w:ascii="Times New Roman;sans-serif" w:hAnsi="Times New Roman;sans-serif"/>
          <w:b w:val="false"/>
          <w:color w:val="000000"/>
          <w:sz w:val="22"/>
        </w:rPr>
        <w:t xml:space="preserve">Asset Management” means the Segment that includes the Company's alternatives platform, public and private real estate, co-investment, and strategic advisory (formerly known as merchant banking) businesses.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 xml:space="preserve">AUA” means assets under advisement.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AUM” means assets under management.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Board” means the board of directors of the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Business Combination” means the transactions contemplated by the Business Combination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Business Combination Agreement” means the Amended and Restated Business Combination Agreement, dated as of October 25, 2022, by and among Cartesian, Umbrella Merger Sub, TWMH, TIG GP, TIG MGMT, Alvarium and Umbrella.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Cartesian” means Cartesian Growth Corporation, a Cayman Islands exempted company, prior to the Business Combination.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Cayman Islands Companies Act” means the Cayman Islands Companies Act (as revised) of the Cayman Islands, as the same may be amended from time to time.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Charter” means the certificate of incorporation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A Common Stock” means the Class A Common Stock, par value $0.0001 per share, of the Company, including any shares of such Class A Common Stock issuable upon the exercise of any warrant or other right to acquire shares of such Class A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B Common Stock” means the Class B Common Stock, par value $0.0001 per share, of the Company, including any shares of such Class B Common Stock issuable upon the exercise of any warrant or other right to acquire shares of such Class B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B Units” means the limited liability company interests in Umbrella designated as Class B Common Units in the Umbrella LLC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Closing” means the closing of the Business Combination.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Closing Date” means January 3, 2023, the date on which the Closing occurred.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Code” means the Internal Revenue Code of 1986, as amended.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Common Stock” refers to shares of the Class A Common Stock and the Class B Common Stock, collectively.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Company,” “our,” “we” or “us” means, prior to the Business Combination, Cartesian, as the context suggests, and, following the Business Combination, AlTi.</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Condensed Consolidated Statement of Financial Position” refers to the consolidated balance sheet of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Condensed Consolidated Statement of Operations” refers to the consolidated income statement of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DGCL” refers to the Delaware General Corporation Law, as amended.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DLLCA” means the Delaware Limited Liability Company Act, as amended.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dollars” or “$” refers to U.S. dollars.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Domestication” means the continuation of Cartesian by way of domestication into a Delaware corporation, with the ordinary shares of Cartesian becoming shares of common stock of the Delaware corporation under the applicable provisions of the Cayman Islands Companies Act and the DGCL; the term includes all matters and necessary or ancillary changes in order to effect such Domestication, including the adoption of the Charter consistent with the DGCL and changing the name and registered office of Cartesian.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"Earn-out” means the contingent additional equity consideration issued by the Company to the Sponsor and the Target Companies’ legacy equityholders.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Earn-out Period” means the five years immediately after the Closing Date.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Employee Stock Purchase Plan” means the AlTi Global, Inc. 2023 Employee Stock Purchase Plan.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Equity Incentive Plan” means the AlTi Global, Inc. 2023 Stock Incentive Plan.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ESG” means environmental, social and governance.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ETFs” means Exchange Traded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EU” means European Union.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Exchange Act” means the U.S. Securities Exchange Act of 1934, as amended.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FINRA” means the Financial Industry Regulatory Authority,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FOS” means Family Office Service.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HNWI” means high net worth individual, being an individual having investable assets of $1 million or more, excluding primary residence, collectibles, consumables, and consumer durables.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Impact Investing” means investment practices seeking to generate various levels of financial performance together with the generation of positive measurable environmental and social impacts.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Investment Company Act” means the Investment Company Act of 1940, as amended, and the rules and regulations promulgated thereunder.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Managed Funds” means mutual funds, ETFs, hedge funds, private equity, real estate or other funds.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Nasdaq” means The Nasdaq Capital Market.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NAV” means net asset value.</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PIPE Investors” means the subscribers that agreed to purchase shares of Class A Common Stock at the Closing pursuant to the private placements, including without limitation, as reflected in the subscription agreements between Cartesian and each of the PIPE Investors.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SEC” means the United States Securities and Exchange Commission.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Segment” means collectively, or individually, how the Company manages its business including products and services.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Successor” means AlTi.</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Sponsor” means CGC Sponsor LLC, a Cayman Islands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Target Companies” means, collectively, TWMH, TIG GP, TIG MGMT, and Alvarium.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Tax Receivable Agreement” means that certain Tax Receivable Agreement, dated as of January 3, 2023, between the Company and the TWMH Members, the TIG GP Members, and the TIG MGMT Members.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TIG” means, collectively, the TIG Entities and their subsidiaries and their predecessor entities where applicable.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Entities” means, collectively, TIG GP and TIG MGMT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GP” means TIG Trinity GP,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GP Members” means the former members of TIG GP.</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MGMT” means TIG Trinity Management, LLC, a Delaware limited liability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MGMT Members” means the former members of TIG MGMT.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TIH” means Tiedemann International Holdings, AG.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Transfer Agent” means Continental Stock Transfer &amp; Trust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TRA Recipients” means the TWMH Members, the TIG GP Members and the TIG MGMT Members (including certain of our directors and officers) party to the Tax Receivable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TWMH” means, collectively, Tiedemann Wealth Management Holdings, LLC, a Delaware limited liability company, and its subsidiaries,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TWMH Members” means the former members of TWMH.</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Warrant Agreement” means the Amended and Restated Warrant Agreement, dated January 3, 2023, by and between the Company and Continental Stock Transfer &amp; Trust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Warrants” means the warrants, which were initially issued in the Initial Public Offering, entitling the holder thereof to purchase one of Cartesian’s Class A ordinary shares at an exercise price of $11.50, subject to adjustment.</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 xml:space="preserve">Wealth Management” means the Segment that consists of the Company’s investment management and advisory services, trusts and administrative services, and family office services.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Umbrella” means AlTi Global Capital, LLC (formerly known as Alvarium Tiedemann Capital,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Umbrella LLC Agreement” means the Third Amended and Restated Limited Liability Company Agreement of AlTi Global Capital, LLC, effective as of July 31, 2023.</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US GAAP” means United States generally accepted accounting principles, consistently applied.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Available Information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file annual, quarterly and current reports, proxy statements and other information required by the Exchange Act with the SEC. We make available free of charge on our website (www.alti-global.com) our annual reports on Form 10-K, quarterly reports on Form 10-Q, current reports on Form 8-K, proxy statements and other filing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2"/>
        </w:rPr>
        <w:t>Also posted on our website in the “Investor Relations” section are the charters for our Audit, Finance and Risk Committee, Environmental, Social, Governance and Nominating Committee, and Human Capital and Compensation Committee, as well as our Corporate Governance Guidelines and Code of Business Conduct governing our directors, officers, and employees. Information on or accessible through our website is not a part of or incorporated into this Quarterly Report on Form 10-Q for the period ended</w:t>
      </w:r>
      <w:r>
        <w:rPr>
          <w:color w:val="000000"/>
          <w:shd w:fill="FFFFFF" w:val="clear"/>
        </w:rPr>
        <w:t xml:space="preserve"> </w:t>
      </w:r>
      <w:r>
        <w:rPr>
          <w:rFonts w:ascii="Times New Roman;sans-serif" w:hAnsi="Times New Roman;sans-serif"/>
          <w:b w:val="false"/>
          <w:color w:val="000000"/>
          <w:sz w:val="22"/>
          <w:shd w:fill="FFFFFF" w:val="clear"/>
        </w:rPr>
        <w:t>June 30, 2023 (the</w:t>
      </w:r>
      <w:r>
        <w:rPr>
          <w:color w:val="000000"/>
        </w:rPr>
        <w:t xml:space="preserve"> “</w:t>
      </w:r>
      <w:r>
        <w:rPr>
          <w:rFonts w:ascii="Times New Roman;sans-serif" w:hAnsi="Times New Roman;sans-serif"/>
          <w:b w:val="false"/>
          <w:color w:val="000000"/>
          <w:sz w:val="22"/>
        </w:rPr>
        <w:t>Quarterly Report”) or any other SEC filing. Copies of our SEC filings or corporate governance materials are available without charge upon written request to the Company at its principal place of business. Any materials we file with the SEC are also publicly available through the SEC’s website (www.sec.gov).</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 statements herein, available on our website, or in any of the materials we file with the SEC constitute or should be viewed as constituting an offer to sell, or a solicitation of an offer to buy, securities in any jurisdiction.</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Quarterly Report contains forward-looking statements within the meaning of Section 27A of the Securities Act of 1933, as amended (the “Securities Act”), and Section 21E of the Exchange Act, which reflect our current views with respect to, among other things, future events, operations and financial performance. You can identify these forward-looking statements by the use of forward-looking words such as “outlook,” “believes,” “expects,” “potential,” “continues,” “may,” “will,” “should,” “seeks,” “approximately,” “predicts,” “projects,” “intends,” “plans,” “estimates,” “anticipates,” “target”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uncertainties (some of which are beyond our control) or other assumptions relating to our operations, financial results, financial condition, business prospects, growth strategy and liquidity that may cause actual results or performance to be materially different from those expressed or implied by these forward-looking statements. Some of these factors are described under the headings “Part II. Item 1A. Risk Factors” and “Part 1. Item 2. Management’s Discussion and Analysis of Financial Condition and Results of Operations.” These factors should not be construed as exhaustive and should be read in conjunction with the risk factors and other cautionary statements that are included in this Quarterly Report and in our other periodic filings. If one or more of these or other 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p>
      <w:pPr>
        <w:pStyle w:val="TextBody"/>
        <w:bidi w:val="0"/>
        <w:spacing w:before="120" w:after="283"/>
        <w:jc w:val="center"/>
        <w:rPr/>
      </w:pPr>
      <w:r>
        <w:rPr/>
      </w:r>
    </w:p>
    <w:p>
      <w:pPr>
        <w:pStyle w:val="TextBody"/>
        <w:bidi w:val="0"/>
        <w:spacing w:lineRule="auto" w:line="288" w:before="360" w:after="283"/>
        <w:jc w:val="center"/>
        <w:rPr>
          <w:rFonts w:ascii="Times New Roman;sans-serif" w:hAnsi="Times New Roman;sans-serif"/>
          <w:b/>
          <w:color w:val="000000"/>
          <w:sz w:val="22"/>
        </w:rPr>
      </w:pPr>
      <w:r>
        <w:rPr>
          <w:rFonts w:ascii="Times New Roman;sans-serif" w:hAnsi="Times New Roman;sans-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2"/>
        </w:rPr>
      </w:pPr>
      <w:r>
        <w:rPr>
          <w:rFonts w:ascii="Times New Roman;sans-serif" w:hAnsi="Times New Roman;sans-serif"/>
          <w:b/>
          <w:color w:val="000000"/>
          <w:sz w:val="22"/>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Financial Position (Unaudited)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2409"/>
        <w:gridCol w:w="2106"/>
        <w:gridCol w:w="2120"/>
        <w:gridCol w:w="219"/>
        <w:gridCol w:w="976"/>
        <w:gridCol w:w="121"/>
        <w:gridCol w:w="109"/>
        <w:gridCol w:w="109"/>
        <w:gridCol w:w="109"/>
        <w:gridCol w:w="109"/>
        <w:gridCol w:w="109"/>
        <w:gridCol w:w="109"/>
        <w:gridCol w:w="312"/>
        <w:gridCol w:w="1035"/>
        <w:gridCol w:w="253"/>
      </w:tblGrid>
      <w:tr>
        <w:trPr/>
        <w:tc>
          <w:tcPr>
            <w:tcW w:w="2409"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6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 except share data)</w:t>
            </w:r>
          </w:p>
        </w:tc>
        <w:tc>
          <w:tcPr>
            <w:tcW w:w="13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June 30, </w:t>
              <w:br/>
              <w:t>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br/>
              <w:t>2022 (Predecessor)</w:t>
            </w:r>
          </w:p>
        </w:tc>
      </w:tr>
      <w:tr>
        <w:trPr/>
        <w:tc>
          <w:tcPr>
            <w:tcW w:w="6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Fees receivable, net</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 net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at fair value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 of accumulated amortization</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561,188 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25,464 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held for sale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1,405,745 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91,989 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profit sharing</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member distributions payable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 at fair value</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liability</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Delayed share purchase agreement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 consideration payable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net of unamortized deferred financing cost</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 net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held for sale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382,689 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74,136 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19)</w:t>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Class A, $0.0001 par value, 792,149,819 authorized 62,957,671 outstanding</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Class B, $0.0001 par value, 94,967,039 authorized 55,032,961 outstanding</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516,262 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(accumulated deficit)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AlTi Global, Inc. shareholders' equity</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472,206 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in subsidiaries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550,850 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equity</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1,023,056 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shareholders' equity</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1,405,745 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91,989 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The accompanying notes are an integral part of these condensed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Operations (Unaudited)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tbl>
      <w:tblPr>
        <w:tblW w:w="10205" w:type="dxa"/>
        <w:jc w:val="left"/>
        <w:tblInd w:w="0" w:type="dxa"/>
        <w:tblLayout w:type="fixed"/>
        <w:tblCellMar>
          <w:top w:w="28" w:type="dxa"/>
          <w:left w:w="28" w:type="dxa"/>
          <w:bottom w:w="28" w:type="dxa"/>
          <w:right w:w="28" w:type="dxa"/>
        </w:tblCellMar>
      </w:tblPr>
      <w:tblGrid>
        <w:gridCol w:w="1156"/>
        <w:gridCol w:w="785"/>
        <w:gridCol w:w="790"/>
        <w:gridCol w:w="405"/>
        <w:gridCol w:w="893"/>
        <w:gridCol w:w="150"/>
        <w:gridCol w:w="109"/>
        <w:gridCol w:w="109"/>
        <w:gridCol w:w="109"/>
        <w:gridCol w:w="109"/>
        <w:gridCol w:w="109"/>
        <w:gridCol w:w="109"/>
        <w:gridCol w:w="285"/>
        <w:gridCol w:w="943"/>
        <w:gridCol w:w="160"/>
        <w:gridCol w:w="109"/>
        <w:gridCol w:w="109"/>
        <w:gridCol w:w="109"/>
        <w:gridCol w:w="343"/>
        <w:gridCol w:w="980"/>
        <w:gridCol w:w="153"/>
        <w:gridCol w:w="109"/>
        <w:gridCol w:w="109"/>
        <w:gridCol w:w="109"/>
        <w:gridCol w:w="109"/>
        <w:gridCol w:w="109"/>
        <w:gridCol w:w="109"/>
        <w:gridCol w:w="298"/>
        <w:gridCol w:w="985"/>
        <w:gridCol w:w="244"/>
      </w:tblGrid>
      <w:tr>
        <w:trPr/>
        <w:tc>
          <w:tcPr>
            <w:tcW w:w="115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Period</w:t>
            </w:r>
          </w:p>
        </w:tc>
      </w:tr>
      <w:tr>
        <w:trPr/>
        <w:tc>
          <w:tcPr>
            <w:tcW w:w="27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April 1, 2023 – June 30,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April 1, 2022 – June 30, </w:t>
              <w:br/>
              <w:t>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January 3, 2023 – June 30,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January 1, 2022 – June 30, </w:t>
              <w:br/>
              <w:t>2022 (Predecessor)</w:t>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Management/advisory fees</w:t>
            </w:r>
          </w:p>
        </w:tc>
        <w:tc>
          <w:tcPr>
            <w:tcW w:w="4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Incentive fees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investments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income/fees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109,928 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38,862 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employee benefits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95,808 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technology and telephone</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distribution and marketing</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costs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Travel and entertainment</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 on intangible assets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29,393 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administrative and other</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194,504 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36,609 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income (loss)</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(41,136)</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(84,576)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(Expenses)</w:t>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TRA</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warrant liability</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earn-out liability</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36,877 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dividend income (expense)</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taxes</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(71,640)</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(60,844)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attributed to non-controlling interests in subsidiaries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(35,546)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AlTi Global, Inc.</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(Loss) Income</w:t>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income (loss)</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(43,618)</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 attributed to non-controlling interests in subsidiaries</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(10,681)</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AlTi Global, Inc.</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47,682 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Per Share</w:t>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4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4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of Class A Common Stock Outstanding</w:t>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59,286,346 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58,425,916 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114,319,307 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58,454,342 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731"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731"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Changes in Shareholders’ Equity (Unaudited)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before="360" w:after="283"/>
        <w:jc w:val="both"/>
        <w:rPr/>
      </w:pPr>
      <w:r>
        <w:rPr/>
      </w:r>
    </w:p>
    <w:tbl>
      <w:tblPr>
        <w:tblW w:w="14180" w:type="dxa"/>
        <w:jc w:val="left"/>
        <w:tblInd w:w="0" w:type="dxa"/>
        <w:tblLayout w:type="fixed"/>
        <w:tblCellMar>
          <w:top w:w="28" w:type="dxa"/>
          <w:left w:w="28" w:type="dxa"/>
          <w:bottom w:w="28" w:type="dxa"/>
          <w:right w:w="28" w:type="dxa"/>
        </w:tblCellMar>
      </w:tblPr>
      <w:tblGrid>
        <w:gridCol w:w="618"/>
        <w:gridCol w:w="306"/>
        <w:gridCol w:w="307"/>
        <w:gridCol w:w="109"/>
        <w:gridCol w:w="109"/>
        <w:gridCol w:w="109"/>
        <w:gridCol w:w="480"/>
        <w:gridCol w:w="481"/>
        <w:gridCol w:w="211"/>
        <w:gridCol w:w="109"/>
        <w:gridCol w:w="109"/>
        <w:gridCol w:w="109"/>
        <w:gridCol w:w="318"/>
        <w:gridCol w:w="324"/>
        <w:gridCol w:w="109"/>
        <w:gridCol w:w="109"/>
        <w:gridCol w:w="109"/>
        <w:gridCol w:w="109"/>
        <w:gridCol w:w="480"/>
        <w:gridCol w:w="481"/>
        <w:gridCol w:w="211"/>
        <w:gridCol w:w="109"/>
        <w:gridCol w:w="109"/>
        <w:gridCol w:w="109"/>
        <w:gridCol w:w="236"/>
        <w:gridCol w:w="406"/>
        <w:gridCol w:w="109"/>
        <w:gridCol w:w="109"/>
        <w:gridCol w:w="109"/>
        <w:gridCol w:w="109"/>
        <w:gridCol w:w="231"/>
        <w:gridCol w:w="870"/>
        <w:gridCol w:w="130"/>
        <w:gridCol w:w="109"/>
        <w:gridCol w:w="109"/>
        <w:gridCol w:w="109"/>
        <w:gridCol w:w="231"/>
        <w:gridCol w:w="780"/>
        <w:gridCol w:w="130"/>
        <w:gridCol w:w="109"/>
        <w:gridCol w:w="109"/>
        <w:gridCol w:w="109"/>
        <w:gridCol w:w="283"/>
        <w:gridCol w:w="804"/>
        <w:gridCol w:w="159"/>
        <w:gridCol w:w="109"/>
        <w:gridCol w:w="109"/>
        <w:gridCol w:w="109"/>
        <w:gridCol w:w="248"/>
        <w:gridCol w:w="933"/>
        <w:gridCol w:w="140"/>
        <w:gridCol w:w="109"/>
        <w:gridCol w:w="109"/>
        <w:gridCol w:w="109"/>
        <w:gridCol w:w="196"/>
        <w:gridCol w:w="871"/>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Shareholders'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57,916,649 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55,032,961 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462,275 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590,169 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960,705 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 of AHRA call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partner’s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AHRA deconsolidation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5,041,022 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 (Successor)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62,957,671 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55,032,961 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516,262 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(53,244)</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550,850 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4180" w:type="dxa"/>
        <w:jc w:val="left"/>
        <w:tblInd w:w="0" w:type="dxa"/>
        <w:tblLayout w:type="fixed"/>
        <w:tblCellMar>
          <w:top w:w="28" w:type="dxa"/>
          <w:left w:w="28" w:type="dxa"/>
          <w:bottom w:w="28" w:type="dxa"/>
          <w:right w:w="28" w:type="dxa"/>
        </w:tblCellMar>
      </w:tblPr>
      <w:tblGrid>
        <w:gridCol w:w="618"/>
        <w:gridCol w:w="306"/>
        <w:gridCol w:w="307"/>
        <w:gridCol w:w="109"/>
        <w:gridCol w:w="109"/>
        <w:gridCol w:w="109"/>
        <w:gridCol w:w="480"/>
        <w:gridCol w:w="481"/>
        <w:gridCol w:w="211"/>
        <w:gridCol w:w="109"/>
        <w:gridCol w:w="109"/>
        <w:gridCol w:w="109"/>
        <w:gridCol w:w="318"/>
        <w:gridCol w:w="324"/>
        <w:gridCol w:w="109"/>
        <w:gridCol w:w="109"/>
        <w:gridCol w:w="109"/>
        <w:gridCol w:w="109"/>
        <w:gridCol w:w="480"/>
        <w:gridCol w:w="481"/>
        <w:gridCol w:w="211"/>
        <w:gridCol w:w="109"/>
        <w:gridCol w:w="109"/>
        <w:gridCol w:w="109"/>
        <w:gridCol w:w="236"/>
        <w:gridCol w:w="406"/>
        <w:gridCol w:w="109"/>
        <w:gridCol w:w="109"/>
        <w:gridCol w:w="109"/>
        <w:gridCol w:w="109"/>
        <w:gridCol w:w="231"/>
        <w:gridCol w:w="870"/>
        <w:gridCol w:w="130"/>
        <w:gridCol w:w="109"/>
        <w:gridCol w:w="109"/>
        <w:gridCol w:w="109"/>
        <w:gridCol w:w="231"/>
        <w:gridCol w:w="780"/>
        <w:gridCol w:w="130"/>
        <w:gridCol w:w="109"/>
        <w:gridCol w:w="109"/>
        <w:gridCol w:w="109"/>
        <w:gridCol w:w="283"/>
        <w:gridCol w:w="804"/>
        <w:gridCol w:w="159"/>
        <w:gridCol w:w="109"/>
        <w:gridCol w:w="109"/>
        <w:gridCol w:w="109"/>
        <w:gridCol w:w="248"/>
        <w:gridCol w:w="933"/>
        <w:gridCol w:w="140"/>
        <w:gridCol w:w="109"/>
        <w:gridCol w:w="109"/>
        <w:gridCol w:w="109"/>
        <w:gridCol w:w="196"/>
        <w:gridCol w:w="871"/>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Shareholders'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3, 2023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55,388,023 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55,032,961 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435,859 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606,989 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to Alvarium Employee Benefit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 of AHRA call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partner’s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AHRA deconsolidation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 exercise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5,469,648 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62,957,671 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55,032,961 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516,262 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550,850 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1,023,056 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Changes in Shareholders’ Equity (Unaudited)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before="0" w:after="0"/>
        <w:jc w:val="both"/>
        <w:rPr/>
      </w:pPr>
      <w:r>
        <w:rPr/>
      </w:r>
    </w:p>
    <w:p>
      <w:pPr>
        <w:pStyle w:val="TextBody"/>
        <w:bidi w:val="0"/>
        <w:spacing w:lineRule="auto" w:line="288" w:before="12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unaudited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68"/>
        <w:gridCol w:w="346"/>
        <w:gridCol w:w="348"/>
        <w:gridCol w:w="109"/>
        <w:gridCol w:w="109"/>
        <w:gridCol w:w="109"/>
        <w:gridCol w:w="213"/>
        <w:gridCol w:w="258"/>
        <w:gridCol w:w="110"/>
        <w:gridCol w:w="109"/>
        <w:gridCol w:w="109"/>
        <w:gridCol w:w="109"/>
        <w:gridCol w:w="211"/>
        <w:gridCol w:w="721"/>
        <w:gridCol w:w="109"/>
        <w:gridCol w:w="109"/>
        <w:gridCol w:w="109"/>
        <w:gridCol w:w="109"/>
        <w:gridCol w:w="220"/>
        <w:gridCol w:w="752"/>
        <w:gridCol w:w="113"/>
        <w:gridCol w:w="109"/>
        <w:gridCol w:w="109"/>
        <w:gridCol w:w="109"/>
        <w:gridCol w:w="392"/>
        <w:gridCol w:w="897"/>
        <w:gridCol w:w="204"/>
        <w:gridCol w:w="109"/>
        <w:gridCol w:w="109"/>
        <w:gridCol w:w="109"/>
        <w:gridCol w:w="397"/>
        <w:gridCol w:w="879"/>
        <w:gridCol w:w="206"/>
        <w:gridCol w:w="109"/>
        <w:gridCol w:w="109"/>
        <w:gridCol w:w="109"/>
        <w:gridCol w:w="212"/>
        <w:gridCol w:w="724"/>
        <w:gridCol w:w="163"/>
      </w:tblGrid>
      <w:tr>
        <w:trPr/>
        <w:tc>
          <w:tcPr>
            <w:tcW w:w="7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Members'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Equity</w:t>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 (Predecessor)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capital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tax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unit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 (Predecessor)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68"/>
        <w:gridCol w:w="346"/>
        <w:gridCol w:w="347"/>
        <w:gridCol w:w="109"/>
        <w:gridCol w:w="109"/>
        <w:gridCol w:w="109"/>
        <w:gridCol w:w="213"/>
        <w:gridCol w:w="258"/>
        <w:gridCol w:w="110"/>
        <w:gridCol w:w="109"/>
        <w:gridCol w:w="109"/>
        <w:gridCol w:w="109"/>
        <w:gridCol w:w="211"/>
        <w:gridCol w:w="721"/>
        <w:gridCol w:w="109"/>
        <w:gridCol w:w="109"/>
        <w:gridCol w:w="109"/>
        <w:gridCol w:w="109"/>
        <w:gridCol w:w="220"/>
        <w:gridCol w:w="752"/>
        <w:gridCol w:w="113"/>
        <w:gridCol w:w="109"/>
        <w:gridCol w:w="109"/>
        <w:gridCol w:w="109"/>
        <w:gridCol w:w="392"/>
        <w:gridCol w:w="897"/>
        <w:gridCol w:w="204"/>
        <w:gridCol w:w="109"/>
        <w:gridCol w:w="109"/>
        <w:gridCol w:w="109"/>
        <w:gridCol w:w="397"/>
        <w:gridCol w:w="879"/>
        <w:gridCol w:w="206"/>
        <w:gridCol w:w="109"/>
        <w:gridCol w:w="109"/>
        <w:gridCol w:w="109"/>
        <w:gridCol w:w="212"/>
        <w:gridCol w:w="724"/>
        <w:gridCol w:w="164"/>
      </w:tblGrid>
      <w:tr>
        <w:trPr/>
        <w:tc>
          <w:tcPr>
            <w:tcW w:w="7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Members'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Equity</w:t>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January 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capital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tax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unit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 (Predecessor)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Cash Flows (Unaudited)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80"/>
        <w:gridCol w:w="1840"/>
        <w:gridCol w:w="1853"/>
        <w:gridCol w:w="342"/>
        <w:gridCol w:w="1275"/>
        <w:gridCol w:w="177"/>
        <w:gridCol w:w="109"/>
        <w:gridCol w:w="109"/>
        <w:gridCol w:w="109"/>
        <w:gridCol w:w="109"/>
        <w:gridCol w:w="109"/>
        <w:gridCol w:w="109"/>
        <w:gridCol w:w="403"/>
        <w:gridCol w:w="1179"/>
        <w:gridCol w:w="302"/>
      </w:tblGrid>
      <w:tr>
        <w:trPr/>
        <w:tc>
          <w:tcPr>
            <w:tcW w:w="218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5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58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w:t>
              <w:br/>
              <w:t xml:space="preserve">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June </w:t>
              <w:br/>
              <w:t xml:space="preserve">30, 2022 </w:t>
              <w:br/>
              <w:t>(Predecessor)</w:t>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(used in) operating activities:</w:t>
            </w:r>
          </w:p>
        </w:tc>
        <w:tc>
          <w:tcPr>
            <w:tcW w:w="1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 and deferred financing costs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 on intangible assets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TRA</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on equity method investments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unit compensation</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warrant liability</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earn-out liability</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 expense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Equity-settled share-based payments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(gains)/losses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retirement of debt</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Forgiveness of debt shareholder loan</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Forgiveness of debt of notes receivable from members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interest rate swap</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due to changes in operating assets and liabilities</w:t>
            </w:r>
          </w:p>
        </w:tc>
        <w:tc>
          <w:tcPr>
            <w:tcW w:w="1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from operating leases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profit sharing</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due to former TIG members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activities</w:t>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(Continued on the following page)</w:t>
            </w:r>
          </w:p>
        </w:tc>
        <w:tc>
          <w:tcPr>
            <w:tcW w:w="1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88" w:before="0" w:after="0"/>
        <w:jc w:val="left"/>
        <w:rPr/>
      </w:pPr>
      <w:hyperlink w:anchor="i6d5ccd9364b844d7a8acfcfd5d45dfa3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Cash Flows (Unaudited)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70"/>
        <w:gridCol w:w="1826"/>
        <w:gridCol w:w="1836"/>
        <w:gridCol w:w="367"/>
        <w:gridCol w:w="1257"/>
        <w:gridCol w:w="190"/>
        <w:gridCol w:w="109"/>
        <w:gridCol w:w="109"/>
        <w:gridCol w:w="109"/>
        <w:gridCol w:w="109"/>
        <w:gridCol w:w="109"/>
        <w:gridCol w:w="109"/>
        <w:gridCol w:w="407"/>
        <w:gridCol w:w="1193"/>
        <w:gridCol w:w="305"/>
      </w:tblGrid>
      <w:tr>
        <w:trPr/>
        <w:tc>
          <w:tcPr>
            <w:tcW w:w="217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5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(Continued from the previous page)</w:t>
            </w:r>
          </w:p>
        </w:tc>
        <w:tc>
          <w:tcPr>
            <w:tcW w:w="437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5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w:t>
              <w:br/>
              <w:t xml:space="preserve">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June </w:t>
              <w:br/>
              <w:t xml:space="preserve">30, 2022 </w:t>
              <w:br/>
              <w:t>(Predecessor)</w:t>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 from consolidation of variable interest entity</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for acquisition of TWMH and TIG historical equity</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 of payments of notes receivable from members</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to members</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receipts from the repayment of advances and loans</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investments</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TIH shares</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Holbein</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Payout Right</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AL Wealth Partners, net of cash acquired</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investments</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fixed assets</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(128,548)</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contribution (distribution)</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term notes and lines of credit</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(141,950)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term notes and lines of credit</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188,660 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distributions due to former TIG members</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for purchase of shares to be transferred as part of Alvarium share compensation</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receipts from exercise of Warrants</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w:t>
            </w:r>
          </w:p>
        </w:tc>
        <w:tc>
          <w:tcPr>
            <w:tcW w:w="1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(166,932)</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the period</w:t>
            </w:r>
          </w:p>
        </w:tc>
        <w:tc>
          <w:tcPr>
            <w:tcW w:w="1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194,037 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the period</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balance sheet cash and cash equivalents to cash flows:</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on balance sheet</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included in Assets held for sale (Note 3)</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including cash in Assets held for sale</w:t>
            </w:r>
          </w:p>
        </w:tc>
        <w:tc>
          <w:tcPr>
            <w:tcW w:w="3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Paid During the Period for:</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on term notes and lines of credit</w:t>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(1)Description of the Business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AlTi Global, Inc. (the “Registrant”), a Delaware corporation, together with its consolidated subsidiaries (collectively, the “Company”, “AlTi” or “Successor”) is a multi-disciplinary financial services business, with a diverse array of investment, advisory, and administrative capabilities. The Company is a global organization that manages or advises approximately $68.9 billion in combined assets as of June 30, 2023 (Successor). The Company provides holistic solutions for Wealth Management clients through a full spectrum of Wealth Management services, including discretionary investment management services, non-discretionary investment advisory services, trust services, administration services, and family office services. It also structures, arranges, and provides a network of investors with co-investment opportunities in a variety of alternative assets which are either managed intra-group or by carefully selected managers in the relevant asset class. The Company manages and advises both public and private investment funds and also provides strategic advisory, corporate advisory, brokerage and placement agency services to entrepreneurs, “late stage” companies (particularly in the media, technology and innovation sectors), asset managers, private equity sponsors, and investment funds.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Business Combination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Registrant was initially incorporated in the Cayman Islands as Cartesian Growth Capital, a special purpose acquisition company (“Cartesian SPAC”). In anticipation of the business combination: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holders of the equity of Tiedemann Wealth Management Holdings, LLC, a Delaware limited liability company (“TWMH” or “Predecessor”), TIG Trinity GP, LLC, a Delaware limited liability company (“TIG GP”), TIG Trinity Management, LLC, a Delaware limited liability company (“TIG MGMT” and, together with TIG GP, the “TIG Entities”) contributed their TWMH and TIG equity to AlTi Global Capital, LLC, formerly known as Alvarium Tiedemann Capital, LLC, (“Umbrella”) making TWMH and the TIG wholly owned subsidiaries of Umbrella.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AlTi Asset Management Holdings 2 Limited, formerly known as Alvarium Investments Limited, an English private limited company (“Alvarium”) reorganized such that it became the wholly owned indirect subsidiary of AlTi Global Topco Limited (“AlTi Global Topco”).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Cartesian SPAC formed Rook MS, LLC, a Delaware limited liability company (“Umbrella Merger Sub”)</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Business Combination on January 3, 2023 (“Business Combination Date”):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The Registrant was redomiciled as a Delaware corporation and changed its name to Alvarium Tiedemann Holdings, Inc. Effective April 19, 2023, Alvarium Tiedemann Holding, Inc. changed its name to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Registrant acquired all the outstanding share capital of AlTi Global Topco.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Umbrella Merger Sub, LLC merged into Umbrella with AlTi Global Capital, LLC, formerly known as Alvarium Tiedemann Capital, LLC as the surviving entity.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Company acquired 51% of the equity interests of Umbrella, while the existing TWMH and TIG rollover shareholders hold a 49% economic interest in Umbrella. Umbrella holds 100% of the equity interests of TWMH, TIG, and Alvarium.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Through a series of intercompany transactions, AlTi was restructured to reflect the final structure depicted below: </w:t>
      </w:r>
    </w:p>
    <w:p>
      <w:pPr>
        <w:pStyle w:val="TextBody"/>
        <w:bidi w:val="0"/>
        <w:spacing w:before="200" w:after="283"/>
        <w:jc w:val="center"/>
        <w:rPr/>
      </w:pPr>
      <w:r>
        <w:rPr/>
        <w:drawing>
          <wp:inline distT="0" distB="0" distL="0" distR="0">
            <wp:extent cx="6515100" cy="4886325"/>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6515100" cy="4886325"/>
                    </a:xfrm>
                    <a:prstGeom prst="rect">
                      <a:avLst/>
                    </a:prstGeom>
                  </pic:spPr>
                </pic:pic>
              </a:graphicData>
            </a:graphic>
          </wp:inline>
        </w:drawing>
      </w:r>
    </w:p>
    <w:p>
      <w:pPr>
        <w:pStyle w:val="TextBody"/>
        <w:bidi w:val="0"/>
        <w:spacing w:lineRule="auto" w:line="268" w:before="200" w:after="283"/>
        <w:jc w:val="both"/>
        <w:rPr>
          <w:rFonts w:ascii="Times New Roman;sans-serif" w:hAnsi="Times New Roman;sans-serif"/>
          <w:b/>
          <w:i/>
          <w:color w:val="000000"/>
          <w:sz w:val="22"/>
        </w:rPr>
      </w:pPr>
      <w:r>
        <w:rPr>
          <w:rFonts w:ascii="Times New Roman;sans-serif" w:hAnsi="Times New Roman;sans-serif"/>
          <w:b/>
          <w:i/>
          <w:color w:val="000000"/>
          <w:sz w:val="22"/>
        </w:rPr>
        <w:t>Capital Structure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Registrant has the following classes of shares and other instruments outstanding: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A Shares – Shares of Class A common stock that are publicly traded. Class A Shareholders are entitled to declared dividends from Class A shares. As of June 30, 2023 (Successor), the Class A Shares represent 53% of the total voting power of all shares.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Class B Shares – Shares of Class B common stock that are not publicly traded. Class B shareholders are entitled to distributions declared by the Board. As of June 30, 2023 (Successor), the Class B Shares represent 47% of the total voting power of all shares.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 xml:space="preserve">Warrants – Prior to the Business Combination, the Company issued warrants to purchase Class A Shares at a price of $11.50 per share. Throughout the period from January 3, 2023 to March 31, 2023 (Successor), 428,626 warrants were exercised. On April 3, 2023, 78,864 warrants were exercised. On June 7, 2023, the Company closed an offer and consent solicitation and entered into a warrant amendment, pursuant to which the remaining 19,892,387 warrants were exchanged for Class A Shares. The exercises and exchanges throughout the period from January 3, 2023 to June 30, 2023 (Successor)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resulted in an increase in Additional Paid-in-Capital amount of $29.5 million. Following the exchanges, none of the warrants were outstanding as of June 30, 2023 (Successor).</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number of shares of the Registrant that were outstanding as of June 30, 2023 (Successor):</w:t>
      </w:r>
    </w:p>
    <w:tbl>
      <w:tblPr>
        <w:tblW w:w="2834" w:type="dxa"/>
        <w:jc w:val="left"/>
        <w:tblInd w:w="0" w:type="dxa"/>
        <w:tblLayout w:type="fixed"/>
        <w:tblCellMar>
          <w:top w:w="28" w:type="dxa"/>
          <w:left w:w="28" w:type="dxa"/>
          <w:bottom w:w="28" w:type="dxa"/>
          <w:right w:w="28" w:type="dxa"/>
        </w:tblCellMar>
      </w:tblPr>
      <w:tblGrid>
        <w:gridCol w:w="461"/>
        <w:gridCol w:w="406"/>
        <w:gridCol w:w="408"/>
        <w:gridCol w:w="456"/>
        <w:gridCol w:w="456"/>
        <w:gridCol w:w="647"/>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June 30, </w:t>
              <w:br/>
              <w:t>2023 (Successor)</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shares</w:t>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62,957,671</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shares</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55,032,961</w:t>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Segments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is organized into two operating segments: Wealth Management and Asset Management. Described below are the segments and the revenue generated by each, which broadly fall into three categories: recurring management, advisory, or administration fees; performance or incentive fees; and transaction fees.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Wealth Management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Wealth Management services principally consist of investment management and advisory services, trusts and administrative services, and family office services. Our Wealth Management client base includes high net worth individuals, families, single family offices, foundations, and endowments globally. Investment management or advisory fees are the primary source of revenue in our Wealth Management segment. These fees are generally calculated based on a percentage of the value of each client’s billable assets under management (“AUM”) or assets under advisement (“AUA”) (as applicable). As of June 30, 2023 (Successor), this segment had $48.6 billion in AUM/AUA.</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Investment Management and Advisory Services</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our investment management and advisory services teams, we diversify our clients’ portfolios across risk factors, geographies, traditional asset classes such as money markets, equities and fixed income, and alternative asset classes including private equity, private debt, hedge funds, real estate, and other assets through highly experienced, and hard to access, third-party managers. </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Trusts and Administration Services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trusts and administration services that we provide include entity formation and management, creating or modifying trust instruments and/or administrative practices to meet beneficiary needs, full corporate, trustee-executor, and fiduciary services. We also offer provision of directors and company secretarial services, administering entity ownership of intellectual property (“IP”) rights, advice and administration services in connection with investments in marine and aviation assets, and administering entity ownership of fine art and collectibles.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Family Office Services (FOS)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family office services are tailored outsourced family office solutions and administrative services which we provide primarily to our larger clients. These services include bookkeeping and back-office services, private foundation management and grantmaking, oversight of trust administration, financial tracking and reporting, cash flow management and bill pay, and other financial services.</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0" w:after="0"/>
        <w:jc w:val="left"/>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Asset Management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Asset Management services include alternatives platform, public and private real estate (including co-investment), and strategic advisory businesses.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Alternatives Platform</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Our alternatives platform represents our legacy TIG business which is an alternative asset manager. This platform includes our TIG Arbitrage strategy and funds managed by our External Strategic Managers. Our alternatives platform client base is predominantly comprised of institutional investors. The TIG Arbitrage strategy is our event-driven strategy based in New York through which management fees and incentive fees based on performance are received from the underlying funds and accounts. </w:t>
      </w:r>
      <w:r>
        <w:rPr>
          <w:rFonts w:ascii="Times New Roman;sans-serif" w:hAnsi="Times New Roman;sans-serif"/>
          <w:b w:val="false"/>
          <w:color w:val="231F20"/>
          <w:sz w:val="22"/>
        </w:rPr>
        <w:t>The strategies of our External Strategic Managers include Real Estate Bridge Lending, European Equities and Asian Credit and Special Situations. We receive distributions from our External Strategic Managers through our profit or revenue sharing arrangements that are generated through their management and incentive fees based on performance of the underlying investments.</w:t>
      </w:r>
      <w:r>
        <w:rPr>
          <w:color w:val="000000"/>
        </w:rPr>
        <w:t xml:space="preserve"> </w:t>
      </w:r>
      <w:r>
        <w:rPr>
          <w:rFonts w:ascii="Times New Roman;sans-serif" w:hAnsi="Times New Roman;sans-serif"/>
          <w:b w:val="false"/>
          <w:color w:val="000000"/>
          <w:sz w:val="22"/>
        </w:rPr>
        <w:t xml:space="preserve">As of June 30, 2023 (Successor), this platform had $7.9 billion in AUM/AUA.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Real Estate - Public and Private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real estate business includes fund management services as well as co-investment solutions. As of June 30, 2023 (Successor), this business had approximately $12.4 billion of AUM/AUA.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Fund Management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real estate fund management business manages two funds based in the United Kingdom, LXi REIT plc, a publicly traded real estate investment trust, and Home Long Income Fund, a private fund. Fees from our real estate fund management business are earned from management and advisory services.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Prior to the Business Combination, AlTi RE Limited, formerly known as Alvarium RE Limited (“ARE”), an indirect wholly owned subsidiary of Alvarium, entered into an agreement to sell 100% of the equity of Alvarium Home REIT Advisors Ltd. (“AHRA”), the advisor to the publicly-traded fund Home REIT Plc (“Home REIT”), to a newly formed entity (“NewCo”) owned by the management of AHRA, for aggregate consideration approximately equal to $29 million. The consideration comprised a promissory note maturing December 31, 2023, subject to extension if mutually agreed upon by the parties thereto. Additionally, ARE was granted a call option pursuant to which ARE had the right to repurchase AHRA prior to the repayment of the note for a purchase price equal to the note balance then outstanding thereunder.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Subsidiaries are companies over which a company has the power indirectly and/or directly to control the financial and operating policies so as to obtain benefits. In assessing control for accounting purposes, potential voting rights that are presently exercisable or convertible (including rights which may arise on the exercise of an option) are taken into account. With respect to the AHRA, the above arrangements resulted in AHRA continuing to be consolidated by AlTi after its legal disposal to NewCo. Due to this consolidation, after the Business Combination, an intangible asset was recognized related to the investment advisory agreement between AHRA and Home REIT.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June 30, 2023, the Company entered into a series of agreements that resulted in the deconsolidation of AHRA from the Asset Management segment with immediate effect. The agreements removed ARE’s potential controlling voting rights in AHRA (previously ascertainable on the exercise of the option), and terminated other residual contractual relationships between AHRA and ARE. As a result, these agreements removed AlTi’s control of AHRA from an accounting perspective. AHRA’s results were included in the Company’s Condensed Consolidated Statement of Operations for the period from January 3, 2023 to June 30, 2023 (Successor), but its accounts were removed from the Consolidated Statement of Financial Position as of June 30, 2023 (Successor). The deconsolidation resulted in an intangible asset impairment charge of $29.4 million, which is recorded as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Impairment loss on intangible assets in the Condensed Consolidated Statement of Operations. Assets managed by AHRA, however, have been excluded from the Company’s AUM/AUA metrics since January 3, 2023.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Co-Investment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real estate co-investment business, which was part of the legacy Alvarium business, oversees deal origination, due diligence, documentation, and structuring from inception to exit for a variety of strategies, including forward funding, development, income, value-add and planning. Investors are typically HNWIs, single family offices, and institutional investors. Fees earned related to our real estate co-investment business include private market, incentive fees, management and advisory fees, and placement and brokerage fees. As of June 30, 2023 (Successor), our real estate co-investment platform had deployed more than $7.8 billion of capital (inclusive of capital raised for our public and private real estate funds), of which approximately 14% has been invested by legacy Alvarium shareholders and senior employees.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Strategic Advisory</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strategic advisory division, which was part of the legacy Alvarium business, is a global corporate advisory practice that services companies principally in the media, consumer, healthcare, and technology and innovation sectors, as well as our Wealth Management clients around their operational businesses or family holding companies. Fees earned related to strategic advisory include advisory fees, retainer fees, and project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(2)Summary of Significant Accounting Policies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(a)Basis of Presentation</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accompanying unaudited condensed consolidated financial statements comprise the financial statements of the Company and its subsidiaries for the period from January 3, 2023 to June 30, 2023 (Successor) and the Condensed Consolidated Statement of Financial Position of TWMH and its subsidiaries as of December 31, 2022 (Predecessor) and the Condensed Consolidated Statement of Operations of TWMH for the period from January 1, 2022 to June 30, 2022 (Predecessor). The condensed consolidated financial statements have been prepared under the accrual basis of accounting in accordance with U.S. generally accepted accounting principles (“GAAP”) and conforms to prevailing practices within the financial services industry, as applicable to the Company. The notes are an integral part of the Company’s condensed consolidated financial statements. In the opinion of management, all adjustments necessary for a fair presentation of the Company’s condensed consolidated financial statements have been included and are of a normal and recurring nature.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condensed consolidated financial statements include the accounts of the Company and its subsidiaries. All significant intercompany balances and transactions have been eliminated in consolidation. Certain prior period presentations and disclosures, while not required to be recast, may be reclassified to ensure comparability with current period classifications.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(b)Use of Estimates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preparation of financial statements in conformity with GAAP requires management to make assumptions and estimates that affect the amounts reported in the condensed consolidated financial statements of the Company. The most critical of these estimates are related to (i) the fair value of the investments held by the products the Company manages, as for many products, this impacts the amount of revenues the Company recognizes each period; (ii) the fair values of the Company’s investments and liabilities with respect to the Tax Receivable Agreement (“TRA”), warrants and Earn-out Securities, as changes in these fair values have a direct impact on the Company’s consolidated net income (loss); (iii) the estimate of future taxable income, which impacts the realizability and carrying amount of the Company’s deferred income tax assets; (iv) the qualitative and quantitative assessments of whether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impairments of acquired intangible assets and goodwill exist; and (v) the determination of whether to consolidate a variable interest entity (“VIE”); and (vi) fair value of assets acquired and liabilities assumed in business combinations, including assumptions with respect to future cash inflows and outflows, discount rates, assets useful lives, market multiples, the allocation of purchase price consideration in the business combination valuation of acquired assets and liabilities, the estimated useful lives of intangible assets, goodwill impairment testing, assumptions used to calculate equity-based compensation, and the realization of deferred tax assets. Inherent in such estimates are judgements relating to future cash flows, which include the Company’s interpretation of current economic indicators and market valuations, and assumptions about the Company’s strategic plans with regard to its operations. While management believes that the estimates utilized in preparing the condensed consolidated financial statements are reasonable and prudent, actual results could differ materially from those estimates.</w:t>
      </w:r>
    </w:p>
    <w:p>
      <w:pPr>
        <w:pStyle w:val="TextBody"/>
        <w:bidi w:val="0"/>
        <w:spacing w:lineRule="auto" w:line="288" w:before="200" w:after="283"/>
        <w:ind w:left="0" w:right="0" w:hanging="540"/>
        <w:jc w:val="both"/>
        <w:rPr/>
      </w:pPr>
      <w:r>
        <w:rPr>
          <w:rFonts w:ascii="Times New Roman;sans-serif" w:hAnsi="Times New Roman;sans-serif"/>
          <w:b/>
          <w:i/>
          <w:color w:val="000000"/>
          <w:sz w:val="22"/>
        </w:rPr>
        <w:t>(c)</w:t>
      </w:r>
      <w:r>
        <w:rPr>
          <w:rFonts w:ascii="Times New Roman;sans-serif" w:hAnsi="Times New Roman;sans-serif"/>
          <w:b/>
          <w:i/>
          <w:color w:val="000000"/>
          <w:sz w:val="22"/>
          <w:shd w:fill="FFFFFF" w:val="clear"/>
        </w:rPr>
        <w:t>Consolidation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those entities in which it has a direct or indirect controlling financial interest based on either a variable interest model or voting interest model. The Company determines whether an entity should be consolidated by first evaluating whether it holds a variable interest in the entity. Entities that are not VIEs are further evaluated for consolidation under the voting interest model (“VOE” model).</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 entity is considered to be a VIE if any of the following conditions exist: (a) the total equity investment at risk is not sufficient to permit the entity to finance its activities without additional subordinated financial support, (b) the holders of equity investment at risk, as a group, lack either the direct or indirect ability through voting rights or similar rights to make decisions that have a significant effect on the success of the entity or the obligation to absorb the expected losses or right to receive the expected residual returns, or (c) the voting rights of some equity investors are disproportionate to their obligation to absorb losses of the entity, their rights to receive returns from an entity, or both and substantially all of the entity’s activities either involve or are conducted on behalf of an investor with disproportionately few voting rights.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Fees that are customary and commensurate with the level of services provided by the Company, and where the Company does not hold other economic interests in the entity that would absorb more than an insignificant amount of the expected losses or returns of the entity, are not considered a variable interest. The Company factors in all economic interests, including proportionate interests through related parties, to determine if fees are considered a variable interest. Where the Company’s interests in funds are primarily management fees and insignificant direct or indirect equity interests through related parties, the Company is not considered to have a variable interest in such entities.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all VIEs for which it is the primary beneficiary. An entity is determined to be the primary beneficiary if it holds a controlling financial interest, which is defined as having (a) the power to direct the activities of the VIE that most significantly impact the entity’s economic performance and (b) the obligation to absorb losses of the entity or the right to receive benefits from the entity that could potentially be significant to the VIE. The Company does not consolidate any of the products it manages as it does not hold any direct or indirect interests in such entities that could expose the Company to an obligation to absorb losses of an entity or the right to receive benefits from an entity that could potentially be significant to such entities.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Under the voting interest model, the Company consolidates those entities it controls through a majority voting interest. The Company will generally not consolidate those voting interest entities where a single investor or simple majority of third-party investors with equity have the ability to exercise substantive kick-out or participation rights.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(d)Revenue Recognition</w:t>
      </w:r>
    </w:p>
    <w:p>
      <w:pPr>
        <w:pStyle w:val="TextBody"/>
        <w:bidi w:val="0"/>
        <w:spacing w:lineRule="auto" w:line="288" w:before="200" w:after="283"/>
        <w:jc w:val="both"/>
        <w:rPr/>
      </w:pPr>
      <w:r>
        <w:rPr>
          <w:rFonts w:ascii="Times New Roman;sans-serif" w:hAnsi="Times New Roman;sans-serif"/>
          <w:b w:val="false"/>
          <w:color w:val="000000"/>
          <w:sz w:val="22"/>
        </w:rPr>
        <w:t xml:space="preserve">The Company recognizes revenue in accordance with ASC 606, </w:t>
      </w:r>
      <w:r>
        <w:rPr>
          <w:rFonts w:ascii="Times New Roman;sans-serif" w:hAnsi="Times New Roman;sans-serif"/>
          <w:b w:val="false"/>
          <w:i/>
          <w:color w:val="000000"/>
          <w:sz w:val="22"/>
        </w:rPr>
        <w:t>Revenue from Contracts with Customers.</w:t>
      </w:r>
      <w:r>
        <w:rPr>
          <w:color w:val="000000"/>
        </w:rPr>
        <w:t xml:space="preserve"> </w:t>
      </w:r>
      <w:r>
        <w:rPr>
          <w:rFonts w:ascii="Times New Roman;sans-serif" w:hAnsi="Times New Roman;sans-serif"/>
          <w:b w:val="false"/>
          <w:color w:val="000000"/>
          <w:sz w:val="22"/>
        </w:rPr>
        <w:t>Revenue is recognized when the Company transfers promised goods or services to customers in an amount that reflects the consideration to which the Company expects to be entitled to in exchange for those goods or services. ASC 606 includes a five-step framework that requires an entity to: (i) identify the contract(s) with a customer, which includes assessing the collectability of the consideration to which it will be entitled in exchange for the goods or services transferred to the customer, (ii) identify the performance obligation in the contract, (iii) determine the transaction price, (iv) allocate the transaction price to the performance obligation in the contract, and (v) recognize revenue when the entity satisfies a performance obligation.</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Management/Advisory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Revenues from contracts with customers consist of investment management, trustee, and custody fees. Pursuant to ASC 606, the Company recognizes revenue at the time of transfer of promised goods or services to customers in an amount that reflects the consideration to which the Company expects to be entitled in exchange for those goods or services. Under this standard, revenue is based on a contract with a determinable transaction price and a distinct performance obligation with probable collectability. Revenues cannot be recognized until the performance obligation is satisfied and control is transferred to the customer.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Investment management, trustee and custody fees are recognized over the period in which the investment management services are performed, using a time-based output method to measure progress. The amount of revenue varies from one reporting period to another as levels of AUA change (from inflows, outflows, and market movements) and the number of days in the reporting period change.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services provided to each client account, the Company charges an investment management fee, inclusive of custody and/or trustee fees, based on the fair value of the AUA of such account representing a single performance obligation. For assets for which valuations are not available on a daily basis, the most recent valuation provided to the Company is used as the fair value for the purpose of calculating the quarterly fee. In certain circumstances, fixed fees are charged to customers on a monthly basis. The nature of the Company’s performance obligation is to provide a series of distinct services in which the customer receives the benefits of the services over time. The Company’s performance obligation is satisfied at the end of each month or quarter, as applicable to the contract with the customer.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Fees are charged on a mixture of methodologies that include quarterly in arrears based upon the market value at the end of the quarter, quarterly based on the average daily balance, or monthly.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Receivable balances from contracts with customers are included in the fees receivable line in the Condensed Consolidated Statement of Financial Position. There were no write-offs of such fees receivable as of June 30, 2023 (Successor), and December 31, 2022 (Predecessor).</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Our FOS business is also included in this line item. FOS fees are generally structured to reflect an annual agreed upon fee or they can be structured on a project/time-based fee. FOS fees are typically billed quarterly in arrears. We also generate FOS project/time-based fees arising from accounting, administration fees, set up, FATCA, and other non-investment advisory services.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Incentive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entitled to incentive fees if targeted returns have been achieved in accordance with customer contracts. Incentive fees are calculated using a percentage of net profit from the amount the customers earn. Incentive fees are variable consideration that is generally calculated as applicable to the contract with the customer. We recognize our incentive fees when it is no longer probable that a significant reversal of revenue will occur. Our incentive fees are not subject to clawback provisions.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Distributions from Investments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equity interests in three entities pursuant to which it is entitled to distributions based on the terms of the respective arrangements. Distributions from each investment will be recorded upon receipt of the distribution. These distributions are recurring under investment agreements and are structured as either a profit or revenue share of the investment’s management and incentive fees.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Other Fees and Income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generates fees for advising on capital market transactions such as mergers and acquisitions and capital raising as part of its strategic advisory division. Strategic advisory fees are primarily success-based fees that are typically a percentage of the financial outcome or target achieved in the merger, acquisition, or capital raising. Revenue is recognized at a point in time upon closing of the transaction or upon the final deliverable. Additionally, the Company may receive upfront non-refundable retainer fees to provide future services to clients, which are recognized over the course of the service period.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generates arrangement fees in its co-investment division by arranging private debt or equity financing, generally in connection with an acquisition or an investment. Arrangement fees are typically 50 to 100 basis points of equity value contributed into a transaction. Acquisition fees are typically payable where there are no agency fees or where there is an off-market transaction sourced by the team. Such acquisition fees are usually in the range of 50 to 100 basis points of the purchase price of the relevant acquisition. The equity structures are long-term (five to ten years) closed-ended structures with fees normally ranging between 50 and 175 basis points of the equity value committed or drawn. The debt structure terms are generally between 12 and 36 months. The investment adviser, general partner or other entity entitled to fees in respect of each of our co-investments receives such fees either monthly, quarterly or annually.</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(e)Cash and Cash Equivalents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and cash equivalents primarily consist of cash and money market funds. Cash balances maintained by consolidated VIEs are not considered legally restricted and are included in cash and cash equivalents on the Condensed Consolidated Statement of Financial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was held across our US and international markets. A majority of cash in the U.S. was held in checking accounts within the credit facility bank group, including at a major global financial institution which management believes is creditworthy.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(f)Compensation and Employee Benefits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Cash-Based Compensation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Compensation and benefits consist of salaries, bonuses, commissions, benefits and payroll taxes. Compensation is accrued over the related service period.</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Equity-Based Compensation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Equity-based compensation awards are reviewed to determine whether such awards are equity-classified or liability-classified. Compensation expense related to equity-classified awards is equal to their grant-date fair value and generally recognized on a straight-line basis over the awards’ requisite service period. When certain settlement features require an award to be liability-classified, compensation expense is recognized over the service period, and such amount is adjusted at each statement of financial position date through the settlement date to the then current fair value of such award.</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 tax benefits and deficiencies as income tax benefit or expense in the Condensed Consolidated Statement of Operations.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 xml:space="preserve">(g)Foreign Currency and Transactions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multiple functional currencies across various consolidated entities. All functional currencies that are not the U.S. dollar are converted upon consolidation at the reporting date. Monetary assets and liabilities denominated in foreign currency are remeasured into U.S. dollars at the closing rates of exchange on the date of the Condensed Consolidated Statement of Financial Position. Non-monetary assets and liabilities denominated in foreign currencies are remeasured into U.S. dollars using the historical exchange rate. The profit or loss arising from foreign currency transactions is remeasured using the rate in effect on the date of the relevant transaction. Gains and losses on transactions denominated in foreign currencies due to changes in exchange rates are recorded within “Foreign currency translation adjustments.”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(h)Income Taxes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accounts for income taxes under the asset and liability method in accordance with ASC 740. Under this method, deferred tax assets and liabilities are determined based on differences between the condensed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the Condensed Consolidated Statement of Operations in the period that includes the enactment date. Valuation allowances are established when necessary to reduce deferred tax assets to an amount that, in the opinion of management, is more likely than not to be realized, meaning the likelihood of realization is greater than 50%.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(i)Other assets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Other assets include prepaid expenses, miscellaneous receivables, current income taxes receivable, fixed assets and software licenses. The Company amortizes assets over their respective useful lives, as applicable.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(j)Investments</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Investments in Debt Securities.</w:t>
      </w:r>
      <w:r>
        <w:rPr>
          <w:color w:val="000000"/>
        </w:rPr>
        <w:t xml:space="preserve"> </w:t>
      </w:r>
      <w:r>
        <w:rPr>
          <w:rFonts w:ascii="Times New Roman;sans-serif" w:hAnsi="Times New Roman;sans-serif"/>
          <w:b w:val="false"/>
          <w:color w:val="000000"/>
          <w:sz w:val="22"/>
        </w:rPr>
        <w:t>The Company classifies debt investments as held-to-maturity or trading based on the Company’s intent and ability to hold the debt security to maturity or its intent to sell the security. The Company does not have any held-to-maturity debt investments.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Trading securities are those investments that are purchased principally for the purpose of selling them in the near term. Trading securities are carried at fair value on the Condensed Consolidated Statement of Financial Position with changes in fair value recorded in nonoperating income (expense) on the Condensed Consolidated Statement of Operations.</w:t>
      </w:r>
    </w:p>
    <w:p>
      <w:pPr>
        <w:pStyle w:val="TextBody"/>
        <w:bidi w:val="0"/>
        <w:spacing w:lineRule="auto" w:line="288" w:before="200" w:after="283"/>
        <w:jc w:val="both"/>
        <w:rPr/>
      </w:pPr>
      <w:r>
        <w:rPr>
          <w:rFonts w:ascii="Times New Roman;sans-serif" w:hAnsi="Times New Roman;sans-serif"/>
          <w:b w:val="false"/>
          <w:i/>
          <w:color w:val="000000"/>
          <w:sz w:val="22"/>
        </w:rPr>
        <w:t>Investments in Equity Securities</w:t>
      </w:r>
      <w:r>
        <w:rPr>
          <w:rFonts w:ascii="Times New Roman;sans-serif" w:hAnsi="Times New Roman;sans-serif"/>
          <w:b w:val="false"/>
          <w:color w:val="000000"/>
          <w:sz w:val="22"/>
        </w:rPr>
        <w:t>. Equity securities are generally carried at fair value on the Condensed Consolidated Statement of Financial Position in accordance with ASC 321, “Investments – Equity Securities.” Changes in fair value are recorded in net gains (losses) in the Condensed Consolidated Statement of Operations.</w:t>
      </w:r>
    </w:p>
    <w:p>
      <w:pPr>
        <w:pStyle w:val="TextBody"/>
        <w:bidi w:val="0"/>
        <w:spacing w:lineRule="auto" w:line="288" w:before="200" w:after="283"/>
        <w:jc w:val="both"/>
        <w:rPr/>
      </w:pPr>
      <w:r>
        <w:rPr>
          <w:rFonts w:ascii="Times New Roman;sans-serif" w:hAnsi="Times New Roman;sans-serif"/>
          <w:b w:val="false"/>
          <w:i/>
          <w:color w:val="000000"/>
          <w:sz w:val="22"/>
        </w:rPr>
        <w:t>Equity Method</w:t>
      </w:r>
      <w:r>
        <w:rPr>
          <w:rFonts w:ascii="Times New Roman;sans-serif" w:hAnsi="Times New Roman;sans-serif"/>
          <w:b w:val="false"/>
          <w:color w:val="000000"/>
          <w:sz w:val="22"/>
        </w:rPr>
        <w:t xml:space="preserve">. The Company applies the equity method of accounting for equity investments where the Company does not consolidate the investee but can exert significant influence over the financial and operating policies of the investee. The evaluation of whether the Company exerts control or significant influence over the financial and operational policies of its investees is based on the facts and circumstances surrounding each individual investment. The Company’s share of the investee’s underlying net income or loss is recorded as net gain (loss) on investments within current period earnings. The Company’s share of net income of the investee is recorded based upon the most current information available at the time, which may precede the date of the Condensed Consolidated Statement of Financial Position. Due to the nature and size of its investees, the Company has adopted a lag in reporting for certain equity method investees for which the Company cannot reliably obtain financial information on a regular basis. Distributions received reduce the Company’s carrying value of the investee and the cost basis if deemed to be a return of capital. For certain investments, the Company may apply the alternative fair value option to the investment at initial measurement. The fair value measurement of investments in which the option is elected will be measured in accordance with ASC 825.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equity method investments and nonmarketable investments, impairment evaluation considers qualitative factors, including the financial conditions and specific events related to an investee, which may indicate the fair value of the investment is less than the carrying value. For held-to-maturity investments, impairment is evaluated using market values, when available, or the expected cash flows of the investment.</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(k)Leases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accounts for its leases in accordance with ASC 842, Leases and recognizes a lease         liability and right-of-use asset in the Condensed Consolidated Statement of Financial Position for contracts that it determines are leases or contain a lease. The Company evaluates leases at their inception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At the inception of a finance lease, an asset and finance lease obligation are recorded at an amount equal to the lesser of the present value of the minimum lease payments and the property’s fair market value. Finance lease obligations are classified as either current or long-term based on the due dates of future lease payments, net of interest. The Company’s lease portfolio primarily consists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does not recognize a lease liability or right-of-use asset on the balance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(l)Intangible assets other than goodwill,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recognized certain finite-lived intangible assets as a result of the Business Combination. The Company’s finite-lived intangible assets consist of Trade Names, Customer Relationships, Investment Management Agreements and Backlog. Finite-lived intangible assets are amortized on a straight-line basis over their estimated useful lives.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tests finite-lived intangible assets for impairment if certain events occur or circumstances change indicating that the carrying amount of the intangible asset may not be recoverable. The Company evaluates impairment by comparing the estimated fair value attributable to the intangible asset with its carrying amount. If an impairment exists, the Company adjusts the carrying value to equal the fair value by taking a charge through earnings.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also recognized certain indefinite-lived intangible assets as a result of the Business Combination consisting of certain investment management agreements. These indefinite-lived intangibles are not subject to amortization, but are evaluated for impairment at least annually. In assessing its indefinite-lived intangible assets for impairment, the Company has the option to first perform a qualitative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assessment to determine whether events or circumstances exist that lead to a determination that it is unlikely that the fair value of the indefinite-lived intangible asset is less than its carrying amount. If the Company determines that it is unlikely that the fair value of an indefinite-lived intangible asset is less than its carrying amount, the Company is not required to perform any additional tests in assessing the asset for impairment. However, if the Company concludes otherwise or elects not to perform the qualitative assessment, then it is required to perform a quantitative analysis to determine if the fair value of an indefinite-lived intangible asset is less than its carrying value. If through this quantitative analysis the Company determines the fair value of an indefinite-lived intangible asset exceeds its carrying amount, the indefinite-lived intangible asset is considered not to be impaired. If the Company concludes that the fair value of an indefinite-lived intangible asset is less than its carrying value, an impairment loss will be recognized for the amount by which the carrying amount exceeds the indefinite-lived intangible asset’s fair value.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(m)Goodwill</w:t>
      </w:r>
    </w:p>
    <w:p>
      <w:pPr>
        <w:pStyle w:val="TextBody"/>
        <w:bidi w:val="0"/>
        <w:spacing w:lineRule="auto" w:line="288" w:before="200" w:after="283"/>
        <w:jc w:val="both"/>
        <w:rPr/>
      </w:pPr>
      <w:r>
        <w:rPr>
          <w:rFonts w:ascii="Times New Roman;sans-serif" w:hAnsi="Times New Roman;sans-serif"/>
          <w:b w:val="false"/>
          <w:color w:val="000000"/>
          <w:sz w:val="22"/>
        </w:rPr>
        <w:t xml:space="preserve">Goodwill represents the excess of the purchase price in a business combination over the fair value of the tangible and intangible assets acquired and the liabilities assumed. Under ASC 350, </w:t>
      </w:r>
      <w:r>
        <w:rPr>
          <w:rFonts w:ascii="Times New Roman;sans-serif" w:hAnsi="Times New Roman;sans-serif"/>
          <w:b w:val="false"/>
          <w:i/>
          <w:color w:val="000000"/>
          <w:sz w:val="22"/>
        </w:rPr>
        <w:t>Intangibles—Goodwill and Other</w:t>
      </w:r>
      <w:r>
        <w:rPr>
          <w:rFonts w:ascii="Times New Roman;sans-serif" w:hAnsi="Times New Roman;sans-serif"/>
          <w:b w:val="false"/>
          <w:color w:val="000000"/>
          <w:sz w:val="22"/>
        </w:rPr>
        <w:t>, goodwill is not amortized, but rather is subject to an annual impairment test. Goodwill represents the excess of consideration over identifiable net assets of an acquired business. Goodwill is allocated at a reporting unit level. The Company has two reporting units, Asset Management and Wealth Management, and tests goodwill annually for impairment at each reporting unit. If, after assessing qualitative factors, the Company believes that it is more-likely-than-not that the fair value of the reporting unit inclusive of goodwill is less than its carrying amount, the Company will perform a quantitative assessment to determine whether an impairment exists. If an impairment exists, the Company adjusts the carrying value of goodwill so that the carrying value of the reporting unit is equal to its fair value by taking a charge through earnings. The Company also tests goodwill for impairment in other periods if an event occurs or circumstances change such that it is more-likely-than-not to reduce the fair value of the reporting unit below its carrying amount. No impairments have been recognized to date on the Company’s goodwill.</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(n)Fixed Assets,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Fixed assets are recorded at cost, less accumulated depreciation and amortization, and are included in the “Other assets” line item in the Company’s Condensed Consolidated Statement of Financial Position. Fixed assets are depreciated or amortized on a straight-line basis, with the corresponding depreciation and amortization expense included within general, administrative and other expenses in the Company’s Condensed Consolidated Statement of Operations. The estimated useful life for leasehold improvements is the lesser of the remaining lease term and the life of the asset, while other fixed assets are generally depreciated over a period of two to seven years. Fixed assets are reviewed for impairment whenever events or changes in circumstances indicate that the carrying amount of an asset may not be recoverable.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(o)Debt Obligations,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debt obligations are recorded at amortized cost, net of any debt issuance costs, discounts and premiums. Debt issuances costs are deferred and along with discounts and premiums are amortized to interest expense in the Condensed Consolidated Statement of Operations over the life of the related debt instrument using the effective interest method. Unamortized debt issuance costs, discounts and premiums are written off to net losses on retirement of debt in the Condensed Consolidated Statement of Operations when the Company prepays borrowings prior to maturity.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(p)Tax Receivable Agreement</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TRA liability represents amounts payable to certain pre-Business Combination equity holders of the Company. The portion of the TRA liability related to the Business Combination is deemed contingent consideration payable to the previous owners and is carried at fair value, with changes in fair value reported within other gain (loss) in the Condensed Consolidated Statement of Operations. Future exchanges of Class B Units for Class A Shares may increase the TRA liability. Those increases will be carried at a value equal to the expected future payments due under the TRA. No exchanges have occurred to date. For future increases due to exchanges the Company will record an initial estimate of future payments under the TRA portion as a decrease to additional paid-in capital in the Condensed Consolidated Statement of Financial Position. Subsequent adjustments to the liability for future payments under the TRA related to changes in estimated future tax rates or state income tax apportionment are recognized through current period earnings in the Condensed Consolidated Statement of Operations.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(q)Warrant Liability</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evaluated the Warrants in accordance with ASC 815-40 and concluded that a provision in the warrant agreement related to certain tender or exchange offers precludes the Warrants from being accounted for as components of equity. As the Warrants meet the definition of a derivative, the Warrants are recorded as derivative liabilities on the balance sheet and measured at fair value at each reporting date in accordance with ASC 820, Fair Value Measurement, with changes in fair value recognized in Other Income/(Expenses) in the Condensed Consolidated Statement of Operations in the period of change. Prior to the Business Combination the Sponsor held private warrants that were contributed to the Company and legally cancelled. The contribution and cancellation of these warrants resulted in derecognition of the private warrants and accounted for in additional paid in capital as of January 3, 2023. The Company subsequently issued new warrants with terms identical to those of the public warrants to the Target Companies’ selling shareholders classified as derivative liabilities. On June 7, 2023, the Company closed an offer and consent solicitation and entered into a warrant amendment, pursuant to which the remaining warrants were exchanged. In total, the warrants were exchanged for approximately 4,962,221 shares of the Company's Class A Shares. (See Note 1). Following the exchange, none of the warrants remain outstanding as of June 30, 2023 (Successor).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(r)Earn-out Liability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Earn-out Securities, comprised of 3.3 million Class A Shares, 7.1 million Class B Shares, and 7.1 million Class B Units (one Class B share and one Class B Unit comprising a Paired Interest, as described in Note 3 (Business Combination), are payable to the Sponsor and the selling shareholders of TWMH, TIG, and Alvarium upon the achievement of certain vesting conditions in accordance with the terms of the Business Combination Agreement. Upon the Company’s Class A Share price meeting a volume-weighted average price threshold of $12.50 for 20 out of 30 trading days within five years of the Closing, fifty percent of the Earn-out Securities will vest and be issued in settlement of the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Earn-out Securities will vest and be issued. If, within five years of the Closing, a change of control event occurs (as defined in the Business Combination Agreement), any Earn-out Securities not previously issued will be deemed to have vested and will be issued (or, in the case of the Sponsor, which shares have already been issued, will no longer be subject to forfeiture). The Company evaluated the terms of the earn-out agreement in accordance with ASC 815-40 and concluded that the Earn-out Securities are precluded from being accounted for as a component of equity. Since the earn-out agreement meets the definition of a derivative, the Earn-out Securities are recorded as a derivative liability on the balance sheet and measured at fair value at each reporting date in accordance with ASC 820, Fair Value Measurement, with changes in fair value recognized in Other Income/(Expenses) in the Condensed Consolidated Statement of Operations in the period of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(s)Delayed share purchase agreement</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Prior to the Business Combination, TWMH entered into an agreement to purchase a remaining non-controlling interest in its consolidated subsidiary representing 51.1% of shares in Tiedemann International Holdings, AG (“TIH”). This arrangement was agreed upon for a fixed consideration of $1,818,440 and is accounted for as a liability until it is settled.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(t)Non-controlling Interests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Non-controlling interests in the net assets of consolidated subsidiaries are identified separately from the Company’s equity. Non-controlling interests consist of the amount of those interests at the date of the original business combination and the minority’s share of changes in equity since the date of the combination. The proportions of profit and loss and changes in equity allocated to the owners of the parent and to the non-controlling interests are determined on the basis of existing ownership interests.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(u)Derivative Financial Instruments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accounts for derivative financial instruments in accordance with ASC 815, “Derivatives and Hedging,” which requires the Company to recognize all derivative instruments on the Condensed Consolidated Statement of Financial Position as either assets or liabilities and to measure them at fair value each reporting period unless they qualify for a normal purchases and normal sales exception. Normal purchases and normal sales contracts are those that provide for the purchase or sale of something other than a financial instrument or derivative instrument that will be delivered in quantities expected to be used or sold by a reporting entity over a reasonable period in the normal course of business.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(v)Segment Reporting</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is organized into two operating segments: Wealth Management and Asset Management. Described below are the segments and the revenue generated by each, which broadly fall into three categories: recurring management, advisory, or administration fees; performance or incentive fees; and transaction fees.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Wealth Management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Our Wealth Management services principally consist of investment management and advisory services, trusts and administrative services, and family office services. Our Wealth Management client base includes HNWIs, families, single family offices, foundations, and endowments globally. Investment management or advisory fees are the primary source of revenue in our Wealth Management segment. These fees are generally calculated based on a percentage of the value of each client’s AUM or AUA (as applicable). As of June 30, 2023 (Successor), this segment had $48.6 billion</w:t>
      </w:r>
      <w:r>
        <w:rPr>
          <w:color w:val="000000"/>
        </w:rPr>
        <w:t xml:space="preserve"> </w:t>
      </w:r>
      <w:r>
        <w:rPr>
          <w:rFonts w:ascii="Times New Roman;sans-serif" w:hAnsi="Times New Roman;sans-serif"/>
          <w:b w:val="false"/>
          <w:color w:val="000000"/>
          <w:sz w:val="22"/>
        </w:rPr>
        <w:t>in AUM/AUA.</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Investment Management and Advisory Services</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our investment management and advisory services teams, we diversify our clients’ portfolios across risk factors, geographies, and asset classes including private equity, private debt, hedge funds, real estate, and other assets through highly experienced third-party managers, who may be hard to access. </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Trusts and Administration Services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trusts and administration services that we provide include entity formation and management, creating or modifying trust instruments and/or administrative practices to meet beneficiary needs, full corporate, trustee-executor, and fiduciary services. We also offer provision of directors and company secretarial services, administering entity ownership of IP rights, advice and administration services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investments in marine and aviation assets, and administering entity ownership of fine art and collectibles.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Family Office Services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family office services are tailored outsourced family office solutions and administrative services which we provide primarily to our larger clients. These services include bookkeeping and back-office services, private foundation management and grantmaking, oversight of trust administration, financial tracking and reporting, cash flow management and bill pay, and other financial services.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Asset Management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Asset Management services include alternatives platform, public and private real estate, co-investment, and strategic advisory businesses.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Alternatives Platform</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2"/>
        </w:rPr>
        <w:t xml:space="preserve">Our alternatives platform represents our legacy TIG business which is an alternative asset manager. This platform includes our TIG Arbitrage strategy and funds managed by our External Strategic Managers. Our alternatives platform client base is predominantly comprised of institutional investors. The TIG Arbitrage strategy is our event-driven strategy based in New York through which management fees and incentive fees based on performance are received from the underlying funds and accounts. </w:t>
      </w:r>
      <w:r>
        <w:rPr>
          <w:rFonts w:ascii="Times New Roman;sans-serif" w:hAnsi="Times New Roman;sans-serif"/>
          <w:b w:val="false"/>
          <w:color w:val="231F20"/>
          <w:sz w:val="22"/>
        </w:rPr>
        <w:t>The strategies of our External Strategic Managers include Real Estate Bridge Lending, European Equities and Asian Credit and Special Situations. We receive distributions from our External Strategic Managers through our profit or revenue sharing arrangements that are generated through their management and incentive fees based on performance of the underlying investments.</w:t>
      </w:r>
      <w:r>
        <w:rPr>
          <w:color w:val="000000"/>
        </w:rPr>
        <w:t xml:space="preserve"> </w:t>
      </w:r>
      <w:r>
        <w:rPr>
          <w:rFonts w:ascii="Times New Roman;sans-serif" w:hAnsi="Times New Roman;sans-serif"/>
          <w:b w:val="false"/>
          <w:color w:val="000000"/>
          <w:sz w:val="22"/>
        </w:rPr>
        <w:t>As of June 30, 2023 (Successor), this platform had $7.9 billion in AUM/AUA.</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Real Estate - Public and Private</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2"/>
        </w:rPr>
        <w:t>Our real estate business includes fund management services as well as co-investment solutions.</w:t>
      </w:r>
      <w:r>
        <w:rPr>
          <w:color w:val="000000"/>
        </w:rPr>
        <w:t xml:space="preserve"> </w:t>
      </w:r>
      <w:r>
        <w:rPr>
          <w:rFonts w:ascii="Times New Roman;sans-serif" w:hAnsi="Times New Roman;sans-serif"/>
          <w:b w:val="false"/>
          <w:color w:val="000000"/>
          <w:sz w:val="22"/>
        </w:rPr>
        <w:t xml:space="preserve">As of June 30, 2023 (Successor), this business had approximately $12.4 billion of AUM/AUA.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Fund Management</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2"/>
        </w:rPr>
        <w:t xml:space="preserve">Our real estate fund management business manages two funds based in the United Kingdom, LXi REIT, a publicly traded REIT, and Home Long Income Fund, a private fund. Services offered through these funds </w:t>
      </w:r>
      <w:r>
        <w:rPr>
          <w:rFonts w:ascii="Times New Roman;sans-serif" w:hAnsi="Times New Roman;sans-serif"/>
          <w:b w:val="false"/>
          <w:color w:val="231F20"/>
          <w:sz w:val="22"/>
        </w:rPr>
        <w:t>include investments, financial planning and strategy, sales and marketing, and back and middle office infrastructure/administration</w:t>
      </w:r>
      <w:r>
        <w:rPr>
          <w:rFonts w:ascii="Times New Roman;sans-serif" w:hAnsi="Times New Roman;sans-serif"/>
          <w:b w:val="false"/>
          <w:color w:val="000000"/>
          <w:sz w:val="22"/>
        </w:rPr>
        <w:t xml:space="preserve">. The funds are marketed primarily in the United Kingdom to institutional investors, primarily pension funds, as well as to retail investors. Fees from our real estate fund management business are earned from management and advisory fees.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Co-Investment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real estate co-investment business, which was part of the legacy Alvarium business, oversees deal origination, due diligence, documentation, and structuring from inception to exit for a variety of strategies including forward funding, development, income, value-add and planning. Investors are typically HNWIs, single family offices, and institutional investors. Fees earned related to our real estate co-investment business include private market, incentive fees, management and advisory fees, and placement and brokerage fees. As of June 30, 2023 (Successor), our real estate co-investment platform has deployed more than $7.8 billion of capital (inclusive of capital raised for our public and private real estate funds), of which approximately 14% has been invested by legacy Alvarium shareholders and senior employees.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Strategic Advisory</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strategic advisory division, which was part of the legacy Alvarium business, is a global corporate advisory practice that services companies principally in the media, consumer, healthcare, and technology and innovation sectors, as well as our Wealth Management clients around their operational businesses or family holding companies. Fees earned related to our strategic advisory business include advisory fees, retainer fees, and project fees. </w:t>
      </w:r>
    </w:p>
    <w:p>
      <w:pPr>
        <w:pStyle w:val="TextBody"/>
        <w:bidi w:val="0"/>
        <w:spacing w:before="0" w:after="0"/>
        <w:jc w:val="both"/>
        <w:rPr/>
      </w:pPr>
      <w:r>
        <w:rPr/>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(w)Other Income / Expenses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Other income and expenses is comprised of unrealized gains (losses) on investments, interest and dividend income (expense), income from equity method investees, and other items.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holds investments in common stock, mutual funds, exchange-traded funds, and exchange-traded notes, which represent investments in equity and debt securities. The Company earns realized and unrealized gains and losses which depend on investment performance.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Interest income is earned through its investments in exchange-traded notes. These generally include debt securities held on a short- or medium-term basis when the Company has excess cash. The Company recognizes and records interest income using the effective interest method.</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Dividend income is earned through investments in common stock, mutual funds, and exchange-traded funds. Dividend income is recorded on the ex-dividend date.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holds interests in various affiliated limited partnerships and limited liability companies, whose purpose is to achieve capital appreciation through investments in financial instruments and investment vehicles. The Company accounts for investments in which it has significant influence but not a controlling financial interest using the equity method of accounting and may earn income related to its equity in income of equity method investees. The equity method investments are in various fund complexes, including funds focused on infrastructure and utilities, high income yields, and multi-strategy, among </w:t>
      </w:r>
    </w:p>
    <w:p>
      <w:pPr>
        <w:pStyle w:val="TextBody"/>
        <w:bidi w:val="0"/>
        <w:spacing w:before="60" w:after="283"/>
        <w:jc w:val="both"/>
        <w:rPr/>
      </w:pPr>
      <w:r>
        <w:rPr/>
      </w:r>
    </w:p>
    <w:p>
      <w:pPr>
        <w:pStyle w:val="TextBody"/>
        <w:bidi w:val="0"/>
        <w:spacing w:lineRule="auto" w:line="288" w:before="6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(x)Held for Sale Accounting</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In circumstances when the Company is evaluating its components, we may establish plans that require us to evaluate whether a component qualifies for held-for-sale accounting under ASC 360, </w:t>
      </w:r>
      <w:r>
        <w:rPr>
          <w:rFonts w:ascii="Times New Roman;sans-serif" w:hAnsi="Times New Roman;sans-serif"/>
          <w:b w:val="false"/>
          <w:i/>
          <w:color w:val="000000"/>
          <w:sz w:val="22"/>
        </w:rPr>
        <w:t>Property, Plant, and Equipment</w:t>
      </w:r>
      <w:r>
        <w:rPr>
          <w:rFonts w:ascii="Times New Roman;sans-serif" w:hAnsi="Times New Roman;sans-serif"/>
          <w:b w:val="false"/>
          <w:color w:val="000000"/>
          <w:sz w:val="22"/>
        </w:rPr>
        <w:t xml:space="preserve">. If a sale is deemed probable within a twelve-month period, the component is classified to either the assets held for sale or liabilities held for sale line items on the Consolidated Statement of Financial Position. The disposal group will be measured at the lower of its carrying amount or fair value less cost to sell. Any long-lived assets shall not be depreciated or amortized while classified as held for sale.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(y)Recent Accounting Pronouncements</w:t>
      </w:r>
    </w:p>
    <w:p>
      <w:pPr>
        <w:pStyle w:val="TextBody"/>
        <w:bidi w:val="0"/>
        <w:spacing w:lineRule="auto" w:line="288" w:before="200" w:after="283"/>
        <w:jc w:val="both"/>
        <w:rPr/>
      </w:pPr>
      <w:r>
        <w:rPr>
          <w:rFonts w:ascii="Times New Roman;sans-serif" w:hAnsi="Times New Roman;sans-serif"/>
          <w:b w:val="false"/>
          <w:color w:val="000000"/>
          <w:sz w:val="22"/>
        </w:rPr>
        <w:t xml:space="preserve">In October 2021, the FASB issued ASU 2021-08, Business Combinations (Topic 805): Accounting for Contract Assets and Contract Liabilities from Contracts with Customers, which modifies ASC 805 to require an acquiring entity in a business combination to recognize and measure contract assets and contract liabilities acquired in a business combination in accordance with ASC 606, </w:t>
      </w:r>
      <w:r>
        <w:rPr>
          <w:rFonts w:ascii="Times New Roman;sans-serif" w:hAnsi="Times New Roman;sans-serif"/>
          <w:b w:val="false"/>
          <w:i/>
          <w:color w:val="000000"/>
          <w:sz w:val="22"/>
        </w:rPr>
        <w:t>Revenue from Contracts with Customers</w:t>
      </w:r>
      <w:r>
        <w:rPr>
          <w:rFonts w:ascii="Times New Roman;sans-serif" w:hAnsi="Times New Roman;sans-serif"/>
          <w:b w:val="false"/>
          <w:color w:val="000000"/>
          <w:sz w:val="22"/>
        </w:rPr>
        <w:t xml:space="preserve">. At the acquisition date, an acquirer should account for the related revenue contracts in accordance with ASC 606 as if it had originated the contracts. Under current GAAP, an acquirer generally recognizes such items at fair value on the acquisition date. This guidance is effective for annual and interim periods beginning after December 15, 2022, with early adoption permitted.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Company adopted this guidance on January 1, 2022 and applied the guidance prospectively to business combinations that occurred after this date. The adoption of this guidance did not have a material effect on the Company’s condensed consolidated financial statements.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June 2022, the FASB issued ASU 2022-03, Fair Value Measurement (Topic 820): Fair Value Measurement of Equity Securities Subject to Contractual Sale Restrictions. The amendments in this update clarify the guidance in ASC 820 when measuring the fair value of an equity security subject to contractual sale restrictions and introduce new disclosure requirements related to such equity securities. The amendments are effective for fiscal years beginning after December 15, 2023, with early adoption permitted. The Company does not expect the impact of this guidance to be material to its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considered all newly issued accounting guidance that is applicable to its operations and the preparation of its unaudited condensed consolidated statements, including those it has not yet adopted. The Company does not believe that any such guidance has or will have a material effect on its financial position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(3)Business Combinations and Divestitures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January 3, 2023, the Company entered into the Business Combination described in Note 1 (Description of the Business). The primary purpose of the Business Combination was to combine established high-growth companies that can benefit from access to capital and public markets and continue value-creation by management.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Business Combination is a forward merger and is accounted for using the acquisition method of accounting. The Company is the accounting acquirer and Umbrella, including the Target Companies, is the accounting acquiree. The Company has been determined to be the accounting acquirer because Umbrella meets the definition of a VIE, and the Company is the primary beneficiary of Umbrella. ASC 805 requires the primary beneficiary of a VIE to be identified as the accounting acquirer. The Company is the primary beneficiary because it controls all activities of Umbrella, and the non-managing members of Umbrella do not have substantive kick-out or participating rights.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Business Combination met the requirements to be considered a business combination under ASC 805. The assets and liabilities acquired from the Target Companies, affected for preliminary adjustments to reflect fair market values assigned to assets purchased and liabilities assumed, and results of operations, are included in the Company’s condensed consolidated financial statements from the date of acquisition. The Company has allocated the purchase price to the tangible and identifiable intangible assets based on their estimated fair market values at the acquisition date as required under ASC 805. The excess of the purchase price over the fair value of the net identifiable tangible and intangible assets was recorded as goodwill and is deductible for tax purposes.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Business Combination resulted in the Company acquiring 51% of the equity interests of Umbrella which holds 100% of the equity interests of Alvarium, TWMH, and TIG. The remainder of Umbrella is held by the historical equity holders of TWMH and TIG through their ownership of Class B Units, which are presented as non-controlling interest on the Company’s Condensed Consolidated Statement of Financial Position.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a result of the Business Combination, Umbrella, which represents substantially all of the economic activity of the Company, became a subsidiary of the Company. Since the Company is the sole managing member of Umbrella following the Business Combination, the Class B Units held by the former equity holders of TWMH and TIG are classified as non-controlling interests in the Company’s financial statements. An allocation of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income or loss representing the percentage of ownership of Umbrella not controlled by the Company will be attributed to the non-controlling interests in the Company’s Condensed Consolidated Statement of Operations.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Class B Unit of Umbrella is paired with a share of Class B Common Stock (collectively, the “Paired Interests”). Pursuant to the Umbrella LLC Agreement, a Paired Interest is exchangeable on certain dates designated by the Company for a share of Class A Common Stock on a one-for-one basis, subject to equitable adjustments for stock splits, stock dividends and reclassifications. As the holder exchanges the Paired Interests pursuant to the Umbrella LLC Agreement, the shares of Class B Common Stock included in the Paired Interests will automatically be canceled and the Class B Common Units included in the Paired Interests shall be automatically transferred to the Issuer and converted into and become an equal number of Class A Common Units in Umbrella. Alternatively, if approved by the disinterested members of the board of directors of the Company, such Class B Common Stock can be settled in cash funded from the proceeds of a private sale or a public offering of Class A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Sponsor, in connection with the Business Combination, purchased 8,625,000 shares of Class B Common Stock (the “Founder Shares”) for $25,000 (approximately $0.03 per share). These shares had no value until the Business Combination completed. At this point, the Founder Shares automatically converted into Class A Common Stock. This conversion was solely contingent upon the completion of the business combination and did not include any future service requirements. As such, this cost of 8,625,000 shares at $10.33 per share for $89.1 million will be presented “on the line” and is not reflected in either predecessor or successor financial statement periods. “On the line” describes those expenses triggered by the consummation of a business combination that are not recognized in the Condensed Consolidated Statement of Operations as they are not directly attributable to either period but instead were contingent on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part of the Business Combination, the Company incurred $17.8 million of acquisition-related costs during the three months ended March 31, 2023 (Successor) which are included predominantly in the “Professional fees” line in the Condensed Consolidated Statements of Operations. The Predecessor incurred $1.0 million of acquisition-related costs during the three months ended March 31, 2022 (Predecessor). In addition, the Company incurred $4.6 million of debt issuance costs related to debt issued to finance the Business Combination. Of the total debt issuance costs, $1.8 million is related to the Term Loan and drawn amount of the Revolver and is recorded as an offset to the “Debt, net of unamortized deferred financing cost” line item of the Condensed Consolidated Statement of Financial Position. $2.8 million of the debt issuance costs related to the undrawn amount of the Revolver were recorded in the “Other assets” line item of the Condensed Consolidated Statements of Financial Position.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Business Combination was accounted for using the acquisition method of accounting, and the fair value of the total purchase consideration transferred was $1,071.1 million. Included in total purchase consideration is contingent consideration of $85.1 million, which is payable to the selling shareholders upon achievement of certain volume-weighted average price targets for the shares of Class A Common Stock or upon a change of control of the Company occurring between the Closing Date and the fifth anniversary of the Closing Date. The contingent consideration was measured at fair value at the acquisition date and recorded as a liability in the “Earn-out liability” line of the Condensed Consolidated Statement of Financial Position. See Note 2 (Summary of Significant Accounting Policies)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tbl>
      <w:tblPr>
        <w:tblW w:w="5660" w:type="dxa"/>
        <w:jc w:val="left"/>
        <w:tblInd w:w="0" w:type="dxa"/>
        <w:tblLayout w:type="fixed"/>
        <w:tblCellMar>
          <w:top w:w="28" w:type="dxa"/>
          <w:left w:w="28" w:type="dxa"/>
          <w:bottom w:w="28" w:type="dxa"/>
          <w:right w:w="28" w:type="dxa"/>
        </w:tblCellMar>
      </w:tblPr>
      <w:tblGrid>
        <w:gridCol w:w="1503"/>
        <w:gridCol w:w="1321"/>
        <w:gridCol w:w="1330"/>
        <w:gridCol w:w="226"/>
        <w:gridCol w:w="1126"/>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Amount </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consideration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Equity consideration:</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Class A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294,159 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Class B</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573,205 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Warrants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Earn-out consideration</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85,097 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 Receivable Agreement</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of assumed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purchase consideration transferred</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1,071,116 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consideration transferred is subject to customary closing adjustments in the post-combination period. While the valuation of consideration transferred is substantially completed, fair value estimates related to the consideration transferred are subject to adjustment for up to one year after the closing date of the acquisition as additional information becomes available. Valuations subject to adjustment include, but are not limited to, the Tax Receivable Agreement and Earn-out consideration as management continues to review the estimated fair values and evaluate the assumed tax position. When the valuation is final, any changes to the preliminary valuation of consideration transferred could result in adjustments to identified intangibles and goodwill. The fair values of consideration transferred is expected to be finalized during the remeasurement period, which ends on December 31, 2023. During the period from April 1, 2023 to June 30, 2023 (Successor), the Company recognized measurement period adjustments as discussed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fair values of the assets acquired and liabilities assumed in connection with the Business Combination (in thousands):</w:t>
      </w:r>
    </w:p>
    <w:tbl>
      <w:tblPr>
        <w:tblW w:w="6374" w:type="dxa"/>
        <w:jc w:val="left"/>
        <w:tblInd w:w="0" w:type="dxa"/>
        <w:tblLayout w:type="fixed"/>
        <w:tblCellMar>
          <w:top w:w="28" w:type="dxa"/>
          <w:left w:w="28" w:type="dxa"/>
          <w:bottom w:w="28" w:type="dxa"/>
          <w:right w:w="28" w:type="dxa"/>
        </w:tblCellMar>
      </w:tblPr>
      <w:tblGrid>
        <w:gridCol w:w="1682"/>
        <w:gridCol w:w="1478"/>
        <w:gridCol w:w="1489"/>
        <w:gridCol w:w="259"/>
        <w:gridCol w:w="1290"/>
        <w:gridCol w:w="176"/>
      </w:tblGrid>
      <w:tr>
        <w:trPr/>
        <w:tc>
          <w:tcPr>
            <w:tcW w:w="168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Business </w:t>
              <w:br/>
              <w:t xml:space="preserve">Combination </w:t>
              <w:br/>
              <w:t>Date Fair Value</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and cash equivalents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24,047 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 receivable</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41,691 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Investments at fair value</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148,674 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Equity method investments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42,186 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Property, plant and equipment</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520,161 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Goodwill</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545,492 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right-of-use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28,487 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assets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47,147 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1,401,881</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payable and accrued expenses</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75,846 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Accrued compensation and profit sharing</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Accrued member distributions payable</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12,803 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Delayed share purchase agreement</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Earn-in consideration payable</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liabilities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29,047 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Debt</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124,533 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Deferred tax liability, net</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43,906 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liabilities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15,482 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Liabilities Assumed</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330,005</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 and Liabilities Assumed</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1,071,876</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Non-controlling interest in subsidiaries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1,071,116</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the period from January 3, 2023 to June 30, 2023 (Successor), cash and cash equivalents at the beginning of the period of $194.0 million included the proceeds from the PIPE Investors related to the private placement issuances, remaining cash held in the trust account, and the beginning balance sheet cash from each of Alvarium, TIG, and TWMH.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While the valuation of acquired assets and liabilities is substantially complete, fair value estimates are subject to adjustment for up to one year after the closing date of the acquisition as additional information becomes available. Valuations subject to adjustment include, but are not limited to, equity method investments, intangible assets, and the Tax Receivable Agreement liability, as management continues to review the estimated fair values and evaluate the assumed tax position. The fair values of assets acquired and liabilities assumed is expected to be finalized during the measurement period, which ends no later than December 31, 2023.</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six months ended June 30, 2023 (Successor), the Company made certain measurement period adjustments to the preliminary purchase price allocation, which resulted in an increase to goodwill of $20.7 million. The increase was primarily due to a $21.6 million decrease in the fair value of acquired intangible assets, a $5.5 million decrease in the fair value of acquired equity method investments, offset by a $6.4 million decrease to deferred tax liabilities that arose from the measurement period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fair values of assets acquired and liabilities assumed are expected to be finalized during the measurement period, which ends no later than December 31, 2023.</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result of the measurement period adjustments, the Company was required to adjust amortization expense associated with the intangible assets recognized during the first quarter. For the second quarter, Depreciation and amortization in the Condensed Consolidated Statement of Operations includes $3.6 million of amortization related to the intangible assets, offset by a decrease of $0.6 million related to the first quarter adjustment of amortization expense.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the measurement period adjustments relating to equity method investments, there was no income statement impact due to equity method investments being reported on a lag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Fair Value of Net Assets Acquired and Intangibles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the exception of operating right-of-use assets and operating lease liabilities accounted for under Topic 842, in accordance with Accounting Standards Codification, or ASC 805, the assets and liabilities were recorded at their respective fair values as of January 3, 2023. The Company developed the fair value of intangible assets, which include trade names, customer relationships, investment management agreements, developed technology and backlog, using various techniques including discounted cash flow, relief from royalty, multi-period excess earnings, and a Monte Carlo simulation approach. The Company developed the fair value of equity method investments using various techniques including discounted cash flow and a guideline public company approach. The investments at fair value and earn-in consideration are carried at fair value and no adjustment was made. For all other major assets and liabilities acquired, the Company determined that book value approximated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Goodwill is comprised of expected synergies for the combined operations and the assembled workforce acquired in the Business Combination, which does not qualify as a separately recognized intangible asset. Goodwill is allocated between the two reporting segments: Wealth Management and Asset Management. The goodwill allocation between Wealth Management and Asset Management is $294.1 million and $251.4 million, respectively.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Below is a summary of the intangible assets acquired in the Business Combination (in thousands):</w:t>
      </w:r>
    </w:p>
    <w:tbl>
      <w:tblPr>
        <w:tblW w:w="8815" w:type="dxa"/>
        <w:jc w:val="left"/>
        <w:tblInd w:w="0" w:type="dxa"/>
        <w:tblLayout w:type="fixed"/>
        <w:tblCellMar>
          <w:top w:w="28" w:type="dxa"/>
          <w:left w:w="28" w:type="dxa"/>
          <w:bottom w:w="28" w:type="dxa"/>
          <w:right w:w="28" w:type="dxa"/>
        </w:tblCellMar>
      </w:tblPr>
      <w:tblGrid>
        <w:gridCol w:w="1835"/>
        <w:gridCol w:w="1612"/>
        <w:gridCol w:w="1622"/>
        <w:gridCol w:w="315"/>
        <w:gridCol w:w="1318"/>
        <w:gridCol w:w="151"/>
        <w:gridCol w:w="109"/>
        <w:gridCol w:w="109"/>
        <w:gridCol w:w="109"/>
        <w:gridCol w:w="478"/>
        <w:gridCol w:w="478"/>
        <w:gridCol w:w="679"/>
      </w:tblGrid>
      <w:tr>
        <w:trPr/>
        <w:tc>
          <w:tcPr>
            <w:tcW w:w="183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Acquisition 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Estimated Life </w:t>
              <w:br/>
              <w:t>(Years)</w:t>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Trade Names</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14,695 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11.5</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Customer Relationships</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163,392 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27.1</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 Management Agreements (definite life)</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94,575 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18.4</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Investment Management Agreements (indefinite life)</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245,900 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Indefinite</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Developed Technology</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Backlog</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0.5</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Intangible Assets</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520,161 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intangible assets acquired and subject to amortization have a weighted average useful life of 23.1 years.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i/>
          <w:color w:val="000000"/>
          <w:sz w:val="22"/>
        </w:rPr>
      </w:pPr>
      <w:r>
        <w:rPr>
          <w:rFonts w:ascii="Times New Roman;sans-serif" w:hAnsi="Times New Roman;sans-serif"/>
          <w:b/>
          <w:i/>
          <w:color w:val="000000"/>
          <w:sz w:val="22"/>
        </w:rPr>
        <w:t>AL Wealth Partners Pte. Ltd.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6, 2023, (the “Acquisition Date”), the Company acquired all of the issued and outstanding ownership and membership interests of AL Wealth Partners Pte. Ltd. (“AL Wealth Partners”) pursuant to the terms of the share purchase agreement (the “Purchase Agreement”) between the Company and AL Wealth Partners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2"/>
        </w:rPr>
        <w:t>Acquisition”). The primary purpose of the Acquisition is to acquire AL Wealth Partners’ extensive business within Southeast Asia to further expand the Company’s global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Acquisition met the requirements to be considered a business combination under ASC 805. The assets and liabilities acquired from AL Wealth Partners, affected for preliminary adjustments to reflect the fair market values assigned to assets purchased and liabilities assumed, and results of operations, are included in the Company’s consolidated financial statements from the Acquisition Date. The Company has allocated the purchase price to the tangible and identifiable intangible assets and liabilities assumed based on their estimated fair market values at the acquisition date as required under ASC 805.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Acquisition was accounted for using the acquisition method of accounting and the fair value of the total purchase consideration transferred was $15.5 million, with the total amount paid in cash. The Company will make second and third payments to the sellers of AL Wealth Partners on the third and fifth anniversary of the Acquisition Date, respectively. Management has determined that these payments are compensatory in nature and will be treated as future compensation expense. There is no contingent consideration as part of the Acquisition.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incurred $0.3 million of direct acquisition-related expenses, which are recognized in the Professional fees line item of the Condensed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fair values of the assets acquired and liabilities assumed in connection with the Acquisition:</w:t>
      </w:r>
    </w:p>
    <w:p>
      <w:pPr>
        <w:pStyle w:val="TextBody"/>
        <w:bidi w:val="0"/>
        <w:spacing w:before="0" w:after="0"/>
        <w:jc w:val="both"/>
        <w:rPr/>
      </w:pPr>
      <w:r>
        <w:rPr/>
      </w:r>
    </w:p>
    <w:tbl>
      <w:tblPr>
        <w:tblW w:w="6479" w:type="dxa"/>
        <w:jc w:val="left"/>
        <w:tblInd w:w="0" w:type="dxa"/>
        <w:tblLayout w:type="fixed"/>
        <w:tblCellMar>
          <w:top w:w="28" w:type="dxa"/>
          <w:left w:w="28" w:type="dxa"/>
          <w:bottom w:w="28" w:type="dxa"/>
          <w:right w:w="28" w:type="dxa"/>
        </w:tblCellMar>
      </w:tblPr>
      <w:tblGrid>
        <w:gridCol w:w="1683"/>
        <w:gridCol w:w="1479"/>
        <w:gridCol w:w="1487"/>
        <w:gridCol w:w="342"/>
        <w:gridCol w:w="1253"/>
        <w:gridCol w:w="235"/>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Acquisition Date </w:t>
              <w:br/>
              <w:t>Fair Value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and cash equivalents</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1,092 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 receivable</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1,952 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Property, plant and equipment</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654 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12,300 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right-of-use assets</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assets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w:t>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17,530</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payable and accrued expenses</w:t>
            </w:r>
          </w:p>
        </w:tc>
        <w:tc>
          <w:tcPr>
            <w:tcW w:w="1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358 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lease liabilities </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liabilities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1,581 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Liabilities Assumed</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2,987</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 and Liabilities Assumed</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14,543</w:t>
            </w:r>
            <w:r>
              <w:rPr>
                <w:color w:val="000000"/>
              </w:rPr>
              <w:t>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Goodwill Implied </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987</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purchase price allocation is preliminary and subject to change during the measurement period, which is not to exceed one year from the Acquisition Date. During the period from January 3, 2023 to June 30, 2023 (Successor), there were no measurement period adjustments made to the assets acquired or liabilities assumed. When the valuation is final, changes to the valuation of acquired assets and liabilities could result in adjustments to identified intangibles and goodwill.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Fair Value of Net Assets Acquired and Intangibles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Goodwill is comprised of expected synergies</w:t>
      </w:r>
      <w:r>
        <w:rPr>
          <w:color w:val="000000"/>
        </w:rPr>
        <w:t xml:space="preserve"> </w:t>
      </w:r>
      <w:r>
        <w:rPr>
          <w:rFonts w:ascii="Times New Roman;sans-serif" w:hAnsi="Times New Roman;sans-serif"/>
          <w:b w:val="false"/>
          <w:color w:val="000000"/>
          <w:sz w:val="22"/>
        </w:rPr>
        <w:t xml:space="preserve">for the combined operations, including employees and customer relationships acquired in the Business Combination. The total amount of goodwill arising in the transaction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allocated to the Company’s Wealth Management segment. The components of goodwill do not qualify as a separately recognized intangible asset. The Company will test for impairment annually to determine changes in goodwill at the Wealth Management reporting unit.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Below is a summary of the intangible assets acquired in the Acquisition:</w:t>
      </w:r>
    </w:p>
    <w:p>
      <w:pPr>
        <w:pStyle w:val="TextBody"/>
        <w:bidi w:val="0"/>
        <w:spacing w:before="0" w:after="0"/>
        <w:jc w:val="left"/>
        <w:rPr/>
      </w:pPr>
      <w:r>
        <w:rPr/>
      </w:r>
    </w:p>
    <w:tbl>
      <w:tblPr>
        <w:tblW w:w="7870" w:type="dxa"/>
        <w:jc w:val="left"/>
        <w:tblInd w:w="0" w:type="dxa"/>
        <w:tblLayout w:type="fixed"/>
        <w:tblCellMar>
          <w:top w:w="28" w:type="dxa"/>
          <w:left w:w="28" w:type="dxa"/>
          <w:bottom w:w="28" w:type="dxa"/>
          <w:right w:w="28" w:type="dxa"/>
        </w:tblCellMar>
      </w:tblPr>
      <w:tblGrid>
        <w:gridCol w:w="847"/>
        <w:gridCol w:w="744"/>
        <w:gridCol w:w="748"/>
        <w:gridCol w:w="550"/>
        <w:gridCol w:w="2016"/>
        <w:gridCol w:w="269"/>
        <w:gridCol w:w="109"/>
        <w:gridCol w:w="109"/>
        <w:gridCol w:w="109"/>
        <w:gridCol w:w="692"/>
        <w:gridCol w:w="692"/>
        <w:gridCol w:w="98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Estimated Life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Customer Relationships</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12,300 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Intangible Assets</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20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12,300</w:t>
            </w:r>
            <w:r>
              <w:rPr>
                <w:color w:val="000000"/>
              </w:rPr>
              <w:t>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fair value for customer relationships was determined using the multi-period excess earnings method. The intangible assets are subject to amortization over a useful life of 10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results of operations for the acquisition have been included in the Company’s Condensed Consolidated Financial Statements from the date of acquisition. The acquisition did not have a material impact on the Company’s Condensed Consolidated Financial Statements, and, therefore, historical and pro forma disclosures have not been presented.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Alvarium Home REIT Advisors Ltd (“AHRA”)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June 30, 2023, the Company entered into a series of agreements that resulted in the deconsolidation of AHRA from the Asset Management segment with immediate effect. The agreements removed ARE’s potential controlling voting rights in AHRA (previously ascertainable on the exercise of the option), and terminated other residual contractual relationships between AHRA and ARE. As a result, these agreements removed AlTi’s control of AHRA from an accounting perspective. AHRA’s results were included in the Company’s Condensed Consolidated Statement of Operations for the period from January 3, 2023 to June 30, 2023 (Successor), but its accounts were removed from the Consolidated Statement of Financial Position as of June 30, 2023 (Successor). The deconsolidation resulted in an intangible asset impairment charge of $29.4 million, which is recorded as an Impairment loss on intangible assets in the Condensed Consolidated Statement of Operations. Assets managed by AHRA, however, have been excluded from the Company’s AUM/AUA metrics since January 3,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Assets Held for Sale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FOS is a part of the Company’s Wealth Management segment. The Company met the criteria required to classify this expected disposal as an asset held for sale. The disposal of FOS is expected to occur within the next twelve months. This expected disposal represents a strategic shift that will not have a major impact on the Company’s operations, and as such, is not classified as a discontinued operation. The assets and liabilities of FOS are presented separately as held for sale in the Condensed Consolidated Statement of Financial Position as of June 30, 2023 (Successor).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carrying amounts of the major classes of assets and liabilities of FOS presented as held for sale at June 30, 2023 (Successor) is as follows:</w:t>
      </w:r>
    </w:p>
    <w:tbl>
      <w:tblPr>
        <w:tblW w:w="6820" w:type="dxa"/>
        <w:jc w:val="left"/>
        <w:tblInd w:w="0" w:type="dxa"/>
        <w:tblLayout w:type="fixed"/>
        <w:tblCellMar>
          <w:top w:w="28" w:type="dxa"/>
          <w:left w:w="28" w:type="dxa"/>
          <w:bottom w:w="28" w:type="dxa"/>
          <w:right w:w="28" w:type="dxa"/>
        </w:tblCellMar>
      </w:tblPr>
      <w:tblGrid>
        <w:gridCol w:w="1515"/>
        <w:gridCol w:w="1330"/>
        <w:gridCol w:w="1339"/>
        <w:gridCol w:w="109"/>
        <w:gridCol w:w="109"/>
        <w:gridCol w:w="109"/>
        <w:gridCol w:w="442"/>
        <w:gridCol w:w="1544"/>
        <w:gridCol w:w="323"/>
      </w:tblGrid>
      <w:tr>
        <w:trPr/>
        <w:tc>
          <w:tcPr>
            <w:tcW w:w="151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20"/>
              </w:rPr>
            </w:pPr>
            <w:r>
              <w:rPr>
                <w:rFonts w:ascii="Calibri;sans-serif" w:hAnsi="Calibri;sans-serif"/>
                <w:b/>
                <w:color w:val="000000"/>
                <w:sz w:val="20"/>
              </w:rPr>
              <w:t>As of</w:t>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 (Successor)</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11,050</w:t>
            </w:r>
            <w:r>
              <w:rPr>
                <w:color w:val="000000"/>
              </w:rPr>
              <w:t>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(2,694)</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(4)Revenue</w:t>
      </w:r>
    </w:p>
    <w:p>
      <w:pPr>
        <w:pStyle w:val="TextBody"/>
        <w:bidi w:val="0"/>
        <w:spacing w:before="0" w:after="0"/>
        <w:ind w:left="0" w:right="0" w:hanging="180"/>
        <w:jc w:val="both"/>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represents the Company’s revenue disaggregated by fee type for the periods presented below: </w:t>
      </w:r>
    </w:p>
    <w:tbl>
      <w:tblPr>
        <w:tblW w:w="10205" w:type="dxa"/>
        <w:jc w:val="left"/>
        <w:tblInd w:w="0" w:type="dxa"/>
        <w:tblLayout w:type="fixed"/>
        <w:tblCellMar>
          <w:top w:w="28" w:type="dxa"/>
          <w:left w:w="28" w:type="dxa"/>
          <w:bottom w:w="28" w:type="dxa"/>
          <w:right w:w="28" w:type="dxa"/>
        </w:tblCellMar>
      </w:tblPr>
      <w:tblGrid>
        <w:gridCol w:w="760"/>
        <w:gridCol w:w="629"/>
        <w:gridCol w:w="480"/>
        <w:gridCol w:w="310"/>
        <w:gridCol w:w="1134"/>
        <w:gridCol w:w="149"/>
        <w:gridCol w:w="109"/>
        <w:gridCol w:w="109"/>
        <w:gridCol w:w="109"/>
        <w:gridCol w:w="109"/>
        <w:gridCol w:w="109"/>
        <w:gridCol w:w="109"/>
        <w:gridCol w:w="312"/>
        <w:gridCol w:w="1145"/>
        <w:gridCol w:w="153"/>
        <w:gridCol w:w="109"/>
        <w:gridCol w:w="109"/>
        <w:gridCol w:w="109"/>
        <w:gridCol w:w="309"/>
        <w:gridCol w:w="1298"/>
        <w:gridCol w:w="149"/>
        <w:gridCol w:w="109"/>
        <w:gridCol w:w="109"/>
        <w:gridCol w:w="109"/>
        <w:gridCol w:w="109"/>
        <w:gridCol w:w="109"/>
        <w:gridCol w:w="109"/>
        <w:gridCol w:w="324"/>
        <w:gridCol w:w="1189"/>
        <w:gridCol w:w="229"/>
      </w:tblGrid>
      <w:tr>
        <w:trPr/>
        <w:tc>
          <w:tcPr>
            <w:tcW w:w="76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1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2023 – June 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2022 – June 30, 2022 </w:t>
              <w:b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June 30, 2022 </w:t>
              <w:br/>
              <w:t>(Predecessor)</w:t>
            </w:r>
          </w:p>
        </w:tc>
      </w:tr>
      <w:tr>
        <w:trPr/>
        <w:tc>
          <w:tcPr>
            <w:tcW w:w="1869"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47,440 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18,892 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93,910 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38,862 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Incentive fees</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from investments</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12,233 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fees/income</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Income</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51,881 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18,892 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109,928 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38,862 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tbl>
      <w:tblPr>
        <w:tblW w:w="8572" w:type="dxa"/>
        <w:jc w:val="left"/>
        <w:tblInd w:w="0" w:type="dxa"/>
        <w:tblLayout w:type="fixed"/>
        <w:tblCellMar>
          <w:top w:w="28" w:type="dxa"/>
          <w:left w:w="28" w:type="dxa"/>
          <w:bottom w:w="28" w:type="dxa"/>
          <w:right w:w="28" w:type="dxa"/>
        </w:tblCellMar>
      </w:tblPr>
      <w:tblGrid>
        <w:gridCol w:w="1395"/>
        <w:gridCol w:w="1225"/>
        <w:gridCol w:w="1234"/>
        <w:gridCol w:w="347"/>
        <w:gridCol w:w="1270"/>
        <w:gridCol w:w="167"/>
        <w:gridCol w:w="109"/>
        <w:gridCol w:w="109"/>
        <w:gridCol w:w="109"/>
        <w:gridCol w:w="109"/>
        <w:gridCol w:w="109"/>
        <w:gridCol w:w="109"/>
        <w:gridCol w:w="426"/>
        <w:gridCol w:w="1562"/>
        <w:gridCol w:w="292"/>
      </w:tblGrid>
      <w:tr>
        <w:trPr/>
        <w:tc>
          <w:tcPr>
            <w:tcW w:w="13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June 30, 2023 </w:t>
              <w:b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2022 </w:t>
              <w:br/>
              <w:t>(Predecessor)</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Management/Advisory fees receivable</w:t>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30,544 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20,019 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28,513 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19,540 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Incentive fees receivable</w:t>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Other fees/income receivable</w:t>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Deferred management/advisory fees</w:t>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(945)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Deferred other fees/income</w:t>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(5)Equity-Based Compensation and Earn-in Expenses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Business Combination, certain of TWMH’s restricted units vested and the Company granted fully vested shares to Alvarium’s employees, resulting in compensation expense of $4.2 million and $24.6 million, respectively, during the period from January 3, 2023 to June 30, 2023 (Successor). The $24.6 million consisted of $21.0 million related to the acceleration of 2.1 million earn-out shares at closing and $3.6 million for 360,485 shares related to another transaction completed in contemplation of and for the benefit of the acquirer under Topic 805. None of these stock awards were outstanding after the Business Combination.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Upon completion of the Business Combination, the Company issued 60,800 shares of Class A Common Stock to employees of the Company. These awards vested in full immediately and had a fair value of $10.00 per share, resulting in compensation expense of $0.6 million during the period from January 3, 2023 to June 30, 2023 (Successor).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During the period from January 3, 2023 to June 30, 2023 (Successor), the Company granted 4,603,871 shares of Class A Common Stock with a fair value of $8.39 per share to employees as restricted units, vesting over a three year period, resulting in compensation expense of $1.5 million, which is included in Compensation and employee benefits in the Condensed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TMWH’s historical acquisition of Holbein Partners, LLP (“Holbein”), certain employees of Holbein are entitled to receive a combination of cash and shares of the Company based on Holbein revenues in 2023 and 2024 (the “Holbein Earn-Ins”). The Holbein Earn-Ins were measured at fair value using estimates of future revenues as of the closing date. The earn-ins are expected to be paid in a combination of 50% cash and 50% the Company’s equity on the second and third anniversaries of the closing date of January 7, 2022. The Company recognized an expense for the earn-ins of $1.1 and $0.7 million for the period from April 1, 2023 to June 30, 2023 (Successor) and the period from April 1, 2022 to June 30, 2022 (Predecessor), respectively,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$2.1 million and $1.5 million for the period from January 3, 2023 to June 30, 2023 (Successor) and the period from January 1, 2022 to June 30, 2022 (Predecessor), respectively, which is included in Compensation and employee benefits in the Condensed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Separate from the compensatory Holbein Earn-Ins, the Holbein acquisition consideration included contingent consideration that was measured at fair value using estimates of future revenues as of the closing date. This contingent consideration is recorded as a liability of $1.7 million as of June 30, 2023 (Successor) and $1.5 million as of December 31, 2022 (Predecessor) in the “Earn-in consideration payable” line of the Condensed Consolidated Statement of Financial Condition. The contingent consideration is expected to be paid in a combination of cash and the Company’s equity on the second and third anniversary of the closing date.</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(6)Income Taxes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computation of the effective tax rate and provision at each interim period requires the use of certain estimates and significant judgment including, but not limited to, the expected operating income for the year, projections of the proportion of income that is subject to tax, permanent differences between the Company’s GAAP earnings and taxable income, and the likelihood of recovering deferred tax assets existing as of the balance sheet date. The estimates used to compute the provision for income taxes may change throughout the year as new events occur, additional information is obtained or as tax laws and regulations change. Accordingly, the effective tax rate for future interim periods may vary materially.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a domestic corporation for U.S. federal income tax purposes and is subject to U.S. federal and state and local corporate-level income taxes on its share of taxable income from the Umbrella Partnership. Further, the Company’s income tax provision and related income tax assets and liabilities are based on, among other things, an estimate of the impact of exchanges of Warrants and Class B Units for Class A Shares, inclusive of an analysis of tax basis and state tax implications of the Umbrella partnership and their underlying assets and liabilities. The Company’s estimate is based on the most recent information available. The tax basis and state impact of the Umbrella Partnership and their underlying assets and liabilities are based on estimates subject to finalization of the Company’s tax returns. The Umbrella Partnership for U.S. federal income tax purposes and taxable entities for certain state and local taxes, such as New York City and Connecticut UBT.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had an effective tax rate of (110.3)% and 15.1% for the periods from April 1, 2023 to June 30, 2023 (Successor) and from January 3, 2023 to June 30, 2023 (Successor), respectively, and 10.8% and 14.4% for the three and six months ended June 30, 2022 (Predecessor), respectively. The effective tax rates differed from the statutory rate primarily due to the portion of income allocated to noncontrolling interests, nondeductible compensation and state and local taxes.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regularly evaluates the realizability of its deferred tax asset and may recognize or adjust any valuation allowance when it is more-likely-than-not that all or a portion of the deferred tax asset may not be realized. As of June 30, 2023 (Successor), the Company has recorded valuation allowances against a portion of its deferred tax assets generated by its subsidiaries in the United Kingdom. The Company files its tax returns as prescribed by the tax laws of the jurisdictions in which it operates. In the normal course of business, the tax years that remain open under the statute of limitations may be subject to examinations by the appropriate tax authorities.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2023 (Successor) and June 30, 2022 (Predecessor), the Company has evaluated its tax filing positions and has not recorded a reserve for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(7)Fair Value Disclosures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Observable inputs are those that market participants would use in pricing the asset or liability based on market data obtained from sources independent of the Company. Unobservable inputs reflect the Company’s assumptions about the inputs market participants would use in pricing the asset or liability and are developed based on the best information available in the circumstances. The inputs are summarized in the three broad levels listed below:</w:t>
      </w:r>
    </w:p>
    <w:p>
      <w:pPr>
        <w:pStyle w:val="TextBody"/>
        <w:bidi w:val="0"/>
        <w:spacing w:lineRule="auto" w:line="288" w:before="200" w:after="283"/>
        <w:jc w:val="both"/>
        <w:rPr/>
      </w:pPr>
      <w:r>
        <w:rPr>
          <w:color w:val="000000"/>
        </w:rPr>
        <w:t>•</w:t>
      </w:r>
      <w:r>
        <w:rPr>
          <w:rFonts w:ascii="Times New Roman;sans-serif" w:hAnsi="Times New Roman;sans-serif"/>
          <w:b w:val="false"/>
          <w:color w:val="000000"/>
          <w:sz w:val="22"/>
        </w:rPr>
        <w:t>Level 1 – Valuations based on unadjusted quoted prices in active markets for identical assets or liabilities that the Company has the ability to access.</w:t>
      </w:r>
    </w:p>
    <w:p>
      <w:pPr>
        <w:pStyle w:val="TextBody"/>
        <w:bidi w:val="0"/>
        <w:spacing w:lineRule="auto" w:line="288" w:before="200" w:after="283"/>
        <w:jc w:val="both"/>
        <w:rPr/>
      </w:pPr>
      <w:r>
        <w:rPr>
          <w:color w:val="000000"/>
        </w:rPr>
        <w:t>•</w:t>
      </w:r>
      <w:r>
        <w:rPr>
          <w:rFonts w:ascii="Times New Roman;sans-serif" w:hAnsi="Times New Roman;sans-serif"/>
          <w:b w:val="false"/>
          <w:color w:val="000000"/>
          <w:sz w:val="22"/>
        </w:rPr>
        <w:t>Level 2 – Valuations based on quoted prices in markets that are not active or for which all significant inputs are observable, either directly or indirectly.</w:t>
      </w:r>
    </w:p>
    <w:p>
      <w:pPr>
        <w:pStyle w:val="TextBody"/>
        <w:bidi w:val="0"/>
        <w:spacing w:lineRule="auto" w:line="288" w:before="200" w:after="283"/>
        <w:jc w:val="both"/>
        <w:rPr/>
      </w:pPr>
      <w:r>
        <w:rPr>
          <w:color w:val="000000"/>
        </w:rPr>
        <w:t>•</w:t>
      </w:r>
      <w:r>
        <w:rPr>
          <w:rFonts w:ascii="Times New Roman;sans-serif" w:hAnsi="Times New Roman;sans-serif"/>
          <w:b w:val="false"/>
          <w:color w:val="000000"/>
          <w:sz w:val="22"/>
        </w:rPr>
        <w:t>Level 3 – Valuations based on inputs that are unobservable and significant to the overall fair value measurement.</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Level 2 Valuation Techniques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financial instruments classified within Level 2 of the fair value hierarchy is an interest rate swap. The valuation techniques used to value financial instruments classified within Level 2 of the fair value hierarchy are as follows: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The interest rate swap is valued based on observable values of underlying interest rates. </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Level 3 Valuation Techniques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the Company exercised significant judgement over unobservable inputs, the fair values of these financial instruments are considered Level 3 measurements: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The Company utilized a Monte Carlo simulation to measure the Earn-out and TRA liabilities. This simulation uses rates to appropriately capture the risk associated with each obligation. The Company adjusts the liabilities to fair value each reporting period based on certain metrics within the respective agreements. Changes in the fair value are recognized in other expense in the Condensed Consolidated Statement of Operations. Refer to the valuation methodologies table below for further analysis of level 3 valuations.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fair value of the Earn-in consideration is based on expected future revenues discounted at the revenue discount rate less the risk-free rate of return. The Company adjusts the liabilities to fair value each reporting period based on certain metrics within the respective agreements. Changes in the fair value are recognized in other expense in the Condensed Consolidated Statement of Operations. Refer to the valuation methodologies table below for further analysis of level 3 valuations.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Company utilized a Discounted Cash Flow simulation to determine the fair value of the External Strategic Managers. 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underlying External Strategic Manager, with consideration for general growth in the asset management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categorization, as of June 30, 2023 (Successor) and December 31, 2022 (Predecessor), of the Company’s financial instruments based on the inputs utilized in determining the value of such financial instruments: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Investments at fair value as of June 30, 2023 (Successor) and December 31, 2022 (Predecessor) are presented below:</w:t>
      </w:r>
    </w:p>
    <w:p>
      <w:pPr>
        <w:pStyle w:val="TextBody"/>
        <w:bidi w:val="0"/>
        <w:spacing w:before="0" w:after="0"/>
        <w:jc w:val="both"/>
        <w:rPr/>
      </w:pPr>
      <w:r>
        <w:rPr/>
      </w:r>
    </w:p>
    <w:tbl>
      <w:tblPr>
        <w:tblW w:w="9672" w:type="dxa"/>
        <w:jc w:val="left"/>
        <w:tblInd w:w="0" w:type="dxa"/>
        <w:tblLayout w:type="fixed"/>
        <w:tblCellMar>
          <w:top w:w="28" w:type="dxa"/>
          <w:left w:w="28" w:type="dxa"/>
          <w:bottom w:w="28" w:type="dxa"/>
          <w:right w:w="28" w:type="dxa"/>
        </w:tblCellMar>
      </w:tblPr>
      <w:tblGrid>
        <w:gridCol w:w="1140"/>
        <w:gridCol w:w="1001"/>
        <w:gridCol w:w="1009"/>
        <w:gridCol w:w="316"/>
        <w:gridCol w:w="679"/>
        <w:gridCol w:w="175"/>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2023 (Successor)</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Exchange-traded funds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 External Strategic Managers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163,376 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Investments – Affiliated Funds</w:t>
            </w:r>
            <w:r>
              <w:rPr>
                <w:rFonts w:ascii="Times New Roman;sans-serif" w:hAnsi="Times New Roman;sans-serif"/>
                <w:b/>
                <w:color w:val="000000"/>
                <w:sz w:val="12"/>
              </w:rPr>
              <w:t>(1)</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163,376 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54,884 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liability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 consideration payable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71,651 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pPr>
      <w:r>
        <w:rPr>
          <w:rFonts w:ascii="Times New Roman;sans-serif" w:hAnsi="Times New Roman;sans-serif"/>
          <w:b/>
          <w:color w:val="000000"/>
          <w:sz w:val="12"/>
          <w:shd w:fill="FFFFFF" w:val="clear"/>
        </w:rPr>
        <w:t>(1)</w:t>
      </w:r>
      <w:r>
        <w:rPr>
          <w:color w:val="000000"/>
          <w:shd w:fill="FFFFFF" w:val="clear"/>
        </w:rPr>
        <w:t xml:space="preserve"> </w:t>
      </w:r>
      <w:r>
        <w:rPr>
          <w:rFonts w:ascii="Times New Roman;sans-serif" w:hAnsi="Times New Roman;sans-serif"/>
          <w:b w:val="false"/>
          <w:color w:val="000000"/>
          <w:sz w:val="20"/>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Condensed Consolidated Statement of Financial Position.</w:t>
      </w:r>
    </w:p>
    <w:p>
      <w:pPr>
        <w:pStyle w:val="TextBody"/>
        <w:bidi w:val="0"/>
        <w:spacing w:before="0" w:after="0"/>
        <w:jc w:val="left"/>
        <w:rPr/>
      </w:pPr>
      <w:r>
        <w:rPr/>
      </w:r>
    </w:p>
    <w:tbl>
      <w:tblPr>
        <w:tblW w:w="8560" w:type="dxa"/>
        <w:jc w:val="left"/>
        <w:tblInd w:w="0" w:type="dxa"/>
        <w:tblLayout w:type="fixed"/>
        <w:tblCellMar>
          <w:top w:w="28" w:type="dxa"/>
          <w:left w:w="28" w:type="dxa"/>
          <w:bottom w:w="28" w:type="dxa"/>
          <w:right w:w="28" w:type="dxa"/>
        </w:tblCellMar>
      </w:tblPr>
      <w:tblGrid>
        <w:gridCol w:w="803"/>
        <w:gridCol w:w="706"/>
        <w:gridCol w:w="711"/>
        <w:gridCol w:w="316"/>
        <w:gridCol w:w="679"/>
        <w:gridCol w:w="175"/>
        <w:gridCol w:w="109"/>
        <w:gridCol w:w="109"/>
        <w:gridCol w:w="109"/>
        <w:gridCol w:w="416"/>
        <w:gridCol w:w="894"/>
        <w:gridCol w:w="234"/>
        <w:gridCol w:w="109"/>
        <w:gridCol w:w="109"/>
        <w:gridCol w:w="109"/>
        <w:gridCol w:w="395"/>
        <w:gridCol w:w="1123"/>
        <w:gridCol w:w="221"/>
        <w:gridCol w:w="109"/>
        <w:gridCol w:w="109"/>
        <w:gridCol w:w="109"/>
        <w:gridCol w:w="196"/>
        <w:gridCol w:w="55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 (Predecessor)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Exchange-traded funds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 consideration payable</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Payout right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Reconciliation of Fair Value Measurements Categorized within Level 3</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Unrealized gains and losses on the Company’s assets and liabilities carried at fair value on a recurring basis are included within other loss in the Condensed Consolidated Statement of Operations. There were no transfers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or out of Level 3. The following table sets forth a summary of changes in the fair value of Level 3 measurements as of June 30, 2023 (Successor) and December 31, 2022 (Predecessor):</w:t>
      </w:r>
    </w:p>
    <w:tbl>
      <w:tblPr>
        <w:tblW w:w="8356" w:type="dxa"/>
        <w:jc w:val="left"/>
        <w:tblInd w:w="0" w:type="dxa"/>
        <w:tblLayout w:type="fixed"/>
        <w:tblCellMar>
          <w:top w:w="28" w:type="dxa"/>
          <w:left w:w="28" w:type="dxa"/>
          <w:bottom w:w="28" w:type="dxa"/>
          <w:right w:w="28" w:type="dxa"/>
        </w:tblCellMar>
      </w:tblPr>
      <w:tblGrid>
        <w:gridCol w:w="624"/>
        <w:gridCol w:w="548"/>
        <w:gridCol w:w="552"/>
        <w:gridCol w:w="244"/>
        <w:gridCol w:w="805"/>
        <w:gridCol w:w="135"/>
        <w:gridCol w:w="109"/>
        <w:gridCol w:w="109"/>
        <w:gridCol w:w="109"/>
        <w:gridCol w:w="196"/>
        <w:gridCol w:w="646"/>
        <w:gridCol w:w="109"/>
        <w:gridCol w:w="109"/>
        <w:gridCol w:w="109"/>
        <w:gridCol w:w="109"/>
        <w:gridCol w:w="551"/>
        <w:gridCol w:w="1568"/>
        <w:gridCol w:w="311"/>
        <w:gridCol w:w="109"/>
        <w:gridCol w:w="109"/>
        <w:gridCol w:w="109"/>
        <w:gridCol w:w="196"/>
        <w:gridCol w:w="73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Liabilities as of June 30, 2023 (Successor)</w:t>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Earn-out </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Earn-in consideration payable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Settlements</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losses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8358" w:type="dxa"/>
        <w:jc w:val="left"/>
        <w:tblInd w:w="0" w:type="dxa"/>
        <w:tblLayout w:type="fixed"/>
        <w:tblCellMar>
          <w:top w:w="28" w:type="dxa"/>
          <w:left w:w="28" w:type="dxa"/>
          <w:bottom w:w="28" w:type="dxa"/>
          <w:right w:w="28" w:type="dxa"/>
        </w:tblCellMar>
      </w:tblPr>
      <w:tblGrid>
        <w:gridCol w:w="662"/>
        <w:gridCol w:w="582"/>
        <w:gridCol w:w="586"/>
        <w:gridCol w:w="553"/>
        <w:gridCol w:w="1571"/>
        <w:gridCol w:w="306"/>
        <w:gridCol w:w="192"/>
        <w:gridCol w:w="192"/>
        <w:gridCol w:w="192"/>
        <w:gridCol w:w="346"/>
        <w:gridCol w:w="983"/>
        <w:gridCol w:w="192"/>
        <w:gridCol w:w="192"/>
        <w:gridCol w:w="192"/>
        <w:gridCol w:w="192"/>
        <w:gridCol w:w="192"/>
        <w:gridCol w:w="109"/>
        <w:gridCol w:w="109"/>
        <w:gridCol w:w="109"/>
        <w:gridCol w:w="196"/>
        <w:gridCol w:w="55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Liabilities as of December 31, 2022 (Predecessor)</w:t>
            </w:r>
          </w:p>
        </w:tc>
        <w:tc>
          <w:tcPr>
            <w:tcW w:w="1233" w:type="dxa"/>
            <w:gridSpan w:val="6"/>
            <w:tcBorders/>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Earn-in consideration payable</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Payout right</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into Level 3</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out of Level 3</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138" w:type="dxa"/>
        <w:jc w:val="left"/>
        <w:tblInd w:w="0" w:type="dxa"/>
        <w:tblLayout w:type="fixed"/>
        <w:tblCellMar>
          <w:top w:w="28" w:type="dxa"/>
          <w:left w:w="28" w:type="dxa"/>
          <w:bottom w:w="28" w:type="dxa"/>
          <w:right w:w="28" w:type="dxa"/>
        </w:tblCellMar>
      </w:tblPr>
      <w:tblGrid>
        <w:gridCol w:w="1139"/>
        <w:gridCol w:w="1000"/>
        <w:gridCol w:w="1010"/>
        <w:gridCol w:w="285"/>
        <w:gridCol w:w="1071"/>
        <w:gridCol w:w="158"/>
        <w:gridCol w:w="109"/>
        <w:gridCol w:w="109"/>
        <w:gridCol w:w="109"/>
        <w:gridCol w:w="278"/>
        <w:gridCol w:w="794"/>
        <w:gridCol w:w="157"/>
        <w:gridCol w:w="109"/>
        <w:gridCol w:w="109"/>
        <w:gridCol w:w="109"/>
        <w:gridCol w:w="196"/>
        <w:gridCol w:w="646"/>
        <w:gridCol w:w="109"/>
        <w:gridCol w:w="109"/>
        <w:gridCol w:w="109"/>
        <w:gridCol w:w="109"/>
        <w:gridCol w:w="391"/>
        <w:gridCol w:w="291"/>
        <w:gridCol w:w="219"/>
        <w:gridCol w:w="109"/>
        <w:gridCol w:w="109"/>
        <w:gridCol w:w="109"/>
        <w:gridCol w:w="196"/>
        <w:gridCol w:w="736"/>
        <w:gridCol w:w="154"/>
      </w:tblGrid>
      <w:tr>
        <w:trPr/>
        <w:tc>
          <w:tcPr>
            <w:tcW w:w="113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Assets as of June 30, 2023 (Successor)</w:t>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Realized and </w:t>
              <w:br/>
              <w:t xml:space="preserve">Unrealized </w:t>
              <w:br/>
              <w:t>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Sales and </w:t>
              <w:br/>
              <w:t>Maturities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 External Strategic Managers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146,130 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Valuation Methodologies for Fair Value Measurements Categorized within Level 3 as of June 30, 2023 (Successor)</w:t>
      </w:r>
    </w:p>
    <w:tbl>
      <w:tblPr>
        <w:tblW w:w="10205" w:type="dxa"/>
        <w:jc w:val="left"/>
        <w:tblInd w:w="0" w:type="dxa"/>
        <w:tblLayout w:type="fixed"/>
        <w:tblCellMar>
          <w:top w:w="28" w:type="dxa"/>
          <w:left w:w="28" w:type="dxa"/>
          <w:bottom w:w="28" w:type="dxa"/>
          <w:right w:w="28" w:type="dxa"/>
        </w:tblCellMar>
      </w:tblPr>
      <w:tblGrid>
        <w:gridCol w:w="775"/>
        <w:gridCol w:w="606"/>
        <w:gridCol w:w="611"/>
        <w:gridCol w:w="196"/>
        <w:gridCol w:w="736"/>
        <w:gridCol w:w="109"/>
        <w:gridCol w:w="109"/>
        <w:gridCol w:w="109"/>
        <w:gridCol w:w="109"/>
        <w:gridCol w:w="440"/>
        <w:gridCol w:w="440"/>
        <w:gridCol w:w="442"/>
        <w:gridCol w:w="109"/>
        <w:gridCol w:w="109"/>
        <w:gridCol w:w="109"/>
        <w:gridCol w:w="469"/>
        <w:gridCol w:w="469"/>
        <w:gridCol w:w="471"/>
        <w:gridCol w:w="109"/>
        <w:gridCol w:w="109"/>
        <w:gridCol w:w="109"/>
        <w:gridCol w:w="278"/>
        <w:gridCol w:w="213"/>
        <w:gridCol w:w="456"/>
        <w:gridCol w:w="109"/>
        <w:gridCol w:w="109"/>
        <w:gridCol w:w="109"/>
        <w:gridCol w:w="637"/>
        <w:gridCol w:w="637"/>
        <w:gridCol w:w="912"/>
      </w:tblGrid>
      <w:tr>
        <w:trPr/>
        <w:tc>
          <w:tcPr>
            <w:tcW w:w="77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Impact to Valuation from an Increase in Input</w:t>
            </w:r>
          </w:p>
        </w:tc>
      </w:tr>
      <w:tr>
        <w:trPr/>
        <w:tc>
          <w:tcPr>
            <w:tcW w:w="1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16.5%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Level 3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Correlation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4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Cost of debt 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5.5% - 7.1%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Equity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7.8% - 13.1%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 consideration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bl>
    <w:p>
      <w:pPr>
        <w:pStyle w:val="TextBody"/>
        <w:bidi w:val="0"/>
        <w:spacing w:before="200" w:after="283"/>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Valuation Methodologies for Fair Value Measurements Categorized within Level 3 as of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fair value of earn-in consideration is based on expected future revenues discounted at the revenue discount rate less the risk-free rate of return, which approximated 6.8% as of December 31, 2022. It is classified as Level 3 within the fair value hierarchy. As of December 31, 2022, carrying value approximates fair value.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fair value of the payout right is based on expected future payments weighted on the probability of a successful company sale transaction, discounted at the estimated term to transaction closing less the risk-free rate, which approximated 100% as of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(8)Equity Method Investments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June 30, 2023 (Successor) and December 31, 2022 (Predecessor), the Company had $38.7 million and an immaterial amount of equity method investments, respectively, recorded within equity method investments on the condensed consolidated statements of financial position. In accordance with GAAP, certain equity method investees do not account for both their financial assets and liabilities under fair value measures; therefore, the Company’s investment in such equity method investees may not represent fair value.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the period from January 3, 2023 to June 30, 2023 (Successor), the Company recognized $0.3 million of impairment on its equity method investments. Additionally, as part of the Business Combination, AlTi acquired the right to carried interest on several projects. These are held as assets at cost less impairment. We therefore assess for indicators of impairment every quarter, and as a result of a number of factors, namely market conditions, we recognized an impairment to these assets of $1.8 million in Gain (loss) on investments in the Consolidated Statement of Operations.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(9)Investments at Fair Value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Investments at fair value consist of investments for which the fair value option has been elected. The primary reasons for electing the fair value option are to: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Reflect economic events in earnings on a timely basis;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Mitigate volatility in earnings from using different measurement attributes;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Address simplification and cost-benefit considerations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Such election is irrevocable and is applied on an investment-by-investment basis at initial recognition or at other eligible election dates. Changes in the fair value of such instruments are recognized in Investment income (loss) in the Condensed Consolidated Statement of Operations.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Cost and Fair Value of Investments at fair value as of June 30, 2023 (Successor) and December 31, 2022 (Predecessor) are presented below:</w:t>
      </w:r>
    </w:p>
    <w:tbl>
      <w:tblPr>
        <w:tblW w:w="8849" w:type="dxa"/>
        <w:jc w:val="left"/>
        <w:tblInd w:w="0" w:type="dxa"/>
        <w:tblLayout w:type="fixed"/>
        <w:tblCellMar>
          <w:top w:w="28" w:type="dxa"/>
          <w:left w:w="28" w:type="dxa"/>
          <w:bottom w:w="28" w:type="dxa"/>
          <w:right w:w="28" w:type="dxa"/>
        </w:tblCellMar>
      </w:tblPr>
      <w:tblGrid>
        <w:gridCol w:w="1162"/>
        <w:gridCol w:w="1020"/>
        <w:gridCol w:w="1028"/>
        <w:gridCol w:w="211"/>
        <w:gridCol w:w="826"/>
        <w:gridCol w:w="109"/>
        <w:gridCol w:w="109"/>
        <w:gridCol w:w="109"/>
        <w:gridCol w:w="109"/>
        <w:gridCol w:w="211"/>
        <w:gridCol w:w="826"/>
        <w:gridCol w:w="109"/>
        <w:gridCol w:w="109"/>
        <w:gridCol w:w="109"/>
        <w:gridCol w:w="109"/>
        <w:gridCol w:w="109"/>
        <w:gridCol w:w="109"/>
        <w:gridCol w:w="109"/>
        <w:gridCol w:w="247"/>
        <w:gridCol w:w="546"/>
        <w:gridCol w:w="127"/>
        <w:gridCol w:w="127"/>
        <w:gridCol w:w="127"/>
        <w:gridCol w:w="127"/>
        <w:gridCol w:w="270"/>
        <w:gridCol w:w="598"/>
        <w:gridCol w:w="197"/>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June 30, 2023 </w:t>
              <w:b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2022 </w:t>
              <w:br/>
              <w:t>(Predecessor)</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Investments at Fair Value: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Exchange-traded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TIG Arbitrage Associates Master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TIG Arbitrage Enhanced Master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TIG Arbitrage Enhanced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Arkkan Opportunities Feeder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Arkkan Capital Management Limited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Zebedee Asset Management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Romspen Investment Corporation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Investments at fair value include unrealized gains (losses) and realized gains (losses) in the Condensed Consolidated Statement of Financial Position.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breakdown of unrealized gains (losses) and realized gains (losses) for the relevant periods are as follows:</w:t>
      </w:r>
    </w:p>
    <w:tbl>
      <w:tblPr>
        <w:tblW w:w="10205" w:type="dxa"/>
        <w:jc w:val="left"/>
        <w:tblInd w:w="0" w:type="dxa"/>
        <w:tblLayout w:type="fixed"/>
        <w:tblCellMar>
          <w:top w:w="28" w:type="dxa"/>
          <w:left w:w="28" w:type="dxa"/>
          <w:bottom w:w="28" w:type="dxa"/>
          <w:right w:w="28" w:type="dxa"/>
        </w:tblCellMar>
      </w:tblPr>
      <w:tblGrid>
        <w:gridCol w:w="927"/>
        <w:gridCol w:w="678"/>
        <w:gridCol w:w="683"/>
        <w:gridCol w:w="304"/>
        <w:gridCol w:w="985"/>
        <w:gridCol w:w="156"/>
        <w:gridCol w:w="109"/>
        <w:gridCol w:w="109"/>
        <w:gridCol w:w="109"/>
        <w:gridCol w:w="109"/>
        <w:gridCol w:w="109"/>
        <w:gridCol w:w="109"/>
        <w:gridCol w:w="474"/>
        <w:gridCol w:w="845"/>
        <w:gridCol w:w="246"/>
        <w:gridCol w:w="109"/>
        <w:gridCol w:w="109"/>
        <w:gridCol w:w="109"/>
        <w:gridCol w:w="349"/>
        <w:gridCol w:w="1021"/>
        <w:gridCol w:w="181"/>
        <w:gridCol w:w="109"/>
        <w:gridCol w:w="109"/>
        <w:gridCol w:w="109"/>
        <w:gridCol w:w="109"/>
        <w:gridCol w:w="109"/>
        <w:gridCol w:w="109"/>
        <w:gridCol w:w="427"/>
        <w:gridCol w:w="974"/>
        <w:gridCol w:w="320"/>
      </w:tblGrid>
      <w:tr>
        <w:trPr/>
        <w:tc>
          <w:tcPr>
            <w:tcW w:w="92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22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2023 – June 30,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2022 – June 30, </w:t>
              <w:br/>
              <w:t>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30,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June 30, </w:t>
              <w:br/>
              <w:t>2022 (Predecessor)</w:t>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Gains (Losses) on Investments at FV:</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Realized gains (losses) </w:t>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gains (losses) </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gains (losses) on Investments at fair value</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(10)Intangible Assets,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of Intangible assets, net reported on the Condensed Consolidated Statement of Financial Position.</w:t>
      </w:r>
    </w:p>
    <w:tbl>
      <w:tblPr>
        <w:tblW w:w="10205" w:type="dxa"/>
        <w:jc w:val="left"/>
        <w:tblInd w:w="0" w:type="dxa"/>
        <w:tblLayout w:type="fixed"/>
        <w:tblCellMar>
          <w:top w:w="28" w:type="dxa"/>
          <w:left w:w="28" w:type="dxa"/>
          <w:bottom w:w="28" w:type="dxa"/>
          <w:right w:w="28" w:type="dxa"/>
        </w:tblCellMar>
      </w:tblPr>
      <w:tblGrid>
        <w:gridCol w:w="832"/>
        <w:gridCol w:w="372"/>
        <w:gridCol w:w="375"/>
        <w:gridCol w:w="425"/>
        <w:gridCol w:w="425"/>
        <w:gridCol w:w="427"/>
        <w:gridCol w:w="109"/>
        <w:gridCol w:w="109"/>
        <w:gridCol w:w="109"/>
        <w:gridCol w:w="211"/>
        <w:gridCol w:w="826"/>
        <w:gridCol w:w="109"/>
        <w:gridCol w:w="109"/>
        <w:gridCol w:w="109"/>
        <w:gridCol w:w="109"/>
        <w:gridCol w:w="224"/>
        <w:gridCol w:w="785"/>
        <w:gridCol w:w="118"/>
        <w:gridCol w:w="109"/>
        <w:gridCol w:w="109"/>
        <w:gridCol w:w="109"/>
        <w:gridCol w:w="216"/>
        <w:gridCol w:w="655"/>
        <w:gridCol w:w="111"/>
        <w:gridCol w:w="109"/>
        <w:gridCol w:w="109"/>
        <w:gridCol w:w="109"/>
        <w:gridCol w:w="276"/>
        <w:gridCol w:w="827"/>
        <w:gridCol w:w="144"/>
        <w:gridCol w:w="109"/>
        <w:gridCol w:w="109"/>
        <w:gridCol w:w="109"/>
        <w:gridCol w:w="213"/>
        <w:gridCol w:w="837"/>
        <w:gridCol w:w="162"/>
      </w:tblGrid>
      <w:tr>
        <w:trPr/>
        <w:tc>
          <w:tcPr>
            <w:tcW w:w="83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2023 (Successor)</w:t>
            </w:r>
          </w:p>
        </w:tc>
      </w:tr>
      <w:tr>
        <w:trPr/>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Held for 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Carrying </w:t>
              <w:br/>
              <w:t>Amount</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Investment management agreements</w:t>
            </w:r>
            <w:r>
              <w:rPr>
                <w:color w:val="000000"/>
              </w:rPr>
              <w:t xml:space="preserve"> </w:t>
            </w:r>
            <w:r>
              <w:rPr>
                <w:rFonts w:ascii="Times New Roman;sans-serif" w:hAnsi="Times New Roman;sans-serif"/>
                <w:b w:val="false"/>
                <w:color w:val="000000"/>
                <w:sz w:val="13"/>
              </w:rPr>
              <w:t>(1)</w:t>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internally developed software</w:t>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w:t>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intangible assets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253,579 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Non-amortized intangible assets </w:t>
            </w:r>
            <w:r>
              <w:rPr>
                <w:rFonts w:ascii="Times New Roman;sans-serif" w:hAnsi="Times New Roman;sans-serif"/>
                <w:b w:val="false"/>
                <w:color w:val="000000"/>
                <w:sz w:val="13"/>
              </w:rPr>
              <w:t>(2)</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management agreements</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499,479 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During the period from January 3, 2023 to June 30, 2023 (Successor), the Company deconsolidated AHRA (see Note 3) and as a result, recorded an impairment charge of $29.4 million to the carrying value of AHRA’s investment advisory agreement with Home REIT, which is recorded in the line item Impairment loss on intangible assets in the Condensed Consolidated Statement of Operations.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The Company’s non-amortized intangible assets consist of management contracts for open-ended fund products, in which there is no contractual termination date.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period from April 1, 2023 to June 30, 2023 (Successor), the Company made certain measurement period adjustments to the preliminary purchase price allocation, which resulted in a decrease to Intangible assets, net of $21.6 million (See Note 3). </w:t>
      </w:r>
    </w:p>
    <w:tbl>
      <w:tblPr>
        <w:tblW w:w="9444" w:type="dxa"/>
        <w:jc w:val="left"/>
        <w:tblInd w:w="0" w:type="dxa"/>
        <w:tblLayout w:type="fixed"/>
        <w:tblCellMar>
          <w:top w:w="28" w:type="dxa"/>
          <w:left w:w="28" w:type="dxa"/>
          <w:bottom w:w="28" w:type="dxa"/>
          <w:right w:w="28" w:type="dxa"/>
        </w:tblCellMar>
      </w:tblPr>
      <w:tblGrid>
        <w:gridCol w:w="1205"/>
        <w:gridCol w:w="1058"/>
        <w:gridCol w:w="1066"/>
        <w:gridCol w:w="504"/>
        <w:gridCol w:w="504"/>
        <w:gridCol w:w="506"/>
        <w:gridCol w:w="109"/>
        <w:gridCol w:w="109"/>
        <w:gridCol w:w="109"/>
        <w:gridCol w:w="211"/>
        <w:gridCol w:w="721"/>
        <w:gridCol w:w="109"/>
        <w:gridCol w:w="109"/>
        <w:gridCol w:w="109"/>
        <w:gridCol w:w="109"/>
        <w:gridCol w:w="279"/>
        <w:gridCol w:w="835"/>
        <w:gridCol w:w="145"/>
        <w:gridCol w:w="109"/>
        <w:gridCol w:w="109"/>
        <w:gridCol w:w="109"/>
        <w:gridCol w:w="256"/>
        <w:gridCol w:w="877"/>
        <w:gridCol w:w="187"/>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 (Predecessor)</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Carrying </w:t>
              <w:b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internally developed software</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Amortization expense of approximately $3.3 million and $0.5 million for the periods from April 1, 2023 to June 30, 2023 (Successor) and from April 1, 2022 to June 30, 2022 (Predecessor), respectively, and $7.6 million and $1.0 million for the periods from January 3, 2023 to June 30, 2023 (Successor) and from January 1, 2022 to June 30, 2022 (Predecessor), respectively, were recognized.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estimated future amortization for finite-lived intangible assets for each of the next five years and thereafter are as follows:</w:t>
      </w:r>
    </w:p>
    <w:tbl>
      <w:tblPr>
        <w:tblW w:w="3553" w:type="dxa"/>
        <w:jc w:val="left"/>
        <w:tblInd w:w="0" w:type="dxa"/>
        <w:tblLayout w:type="fixed"/>
        <w:tblCellMar>
          <w:top w:w="28" w:type="dxa"/>
          <w:left w:w="28" w:type="dxa"/>
          <w:bottom w:w="28" w:type="dxa"/>
          <w:right w:w="28" w:type="dxa"/>
        </w:tblCellMar>
      </w:tblPr>
      <w:tblGrid>
        <w:gridCol w:w="624"/>
        <w:gridCol w:w="548"/>
        <w:gridCol w:w="552"/>
        <w:gridCol w:w="324"/>
        <w:gridCol w:w="1269"/>
        <w:gridCol w:w="236"/>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June 30, 2023 </w:t>
              <w:br/>
              <w:t>(Successor)</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beyond</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209,682 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253,579 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(11)Other assets,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of Other assets, net reported on the Condensed Consolidated Statement of Financial Position.</w:t>
      </w:r>
    </w:p>
    <w:p>
      <w:pPr>
        <w:pStyle w:val="TextBody"/>
        <w:bidi w:val="0"/>
        <w:spacing w:before="0" w:after="0"/>
        <w:jc w:val="both"/>
        <w:rPr/>
      </w:pPr>
      <w:r>
        <w:rPr/>
      </w:r>
    </w:p>
    <w:tbl>
      <w:tblPr>
        <w:tblW w:w="8408" w:type="dxa"/>
        <w:jc w:val="left"/>
        <w:tblInd w:w="0" w:type="dxa"/>
        <w:tblLayout w:type="fixed"/>
        <w:tblCellMar>
          <w:top w:w="28" w:type="dxa"/>
          <w:left w:w="28" w:type="dxa"/>
          <w:bottom w:w="28" w:type="dxa"/>
          <w:right w:w="28" w:type="dxa"/>
        </w:tblCellMar>
      </w:tblPr>
      <w:tblGrid>
        <w:gridCol w:w="1337"/>
        <w:gridCol w:w="1172"/>
        <w:gridCol w:w="1180"/>
        <w:gridCol w:w="362"/>
        <w:gridCol w:w="1236"/>
        <w:gridCol w:w="187"/>
        <w:gridCol w:w="109"/>
        <w:gridCol w:w="109"/>
        <w:gridCol w:w="109"/>
        <w:gridCol w:w="109"/>
        <w:gridCol w:w="109"/>
        <w:gridCol w:w="109"/>
        <w:gridCol w:w="489"/>
        <w:gridCol w:w="1430"/>
        <w:gridCol w:w="361"/>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June 30, 2023 </w:t>
              <w:b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2022 </w:t>
              <w:br/>
              <w:t>(Predecessor)</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difference</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15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Sundry receivables</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receivables</w:t>
            </w:r>
            <w:r>
              <w:rPr>
                <w:color w:val="000000"/>
              </w:rPr>
              <w:t xml:space="preserve"> </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assets, net</w:t>
            </w:r>
            <w:r>
              <w:rPr>
                <w:color w:val="000000"/>
              </w:rPr>
              <w:t xml:space="preserve"> </w:t>
            </w:r>
            <w:r>
              <w:rPr>
                <w:rFonts w:ascii="Times New Roman;sans-serif" w:hAnsi="Times New Roman;sans-serif"/>
                <w:b w:val="false"/>
                <w:color w:val="000000"/>
                <w:sz w:val="13"/>
              </w:rPr>
              <w:t>(1)</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 xml:space="preserve">As of June 30, 2023 (Successor), this amount includes $9.2 million in receivables due from related parties. Refer to Note 16 (Related Party Transactions)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(12)Leases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adopted ASC 842 as of January 1, 2022, on a modified retrospective basis with no cumulative adjustment to equity as of the adoption date. The Company has presented financial results and applied its accounting policies for the period beginning January 1, 2022 under ASC 842 for the predecessor and successor periods. The Company elected to take the practical expedient to not separate lease and non-lease components as part of the adoption. Lease agreements entered into after the adoption of ASC 842 that include lease and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lease components are accounted for as a single lease component. Since January 1, 2022, the Company’s operating leases, excluding those with terms less than 12 months, have been discounted and recorded as assets and liabilities on the Company’s Condensed Consolidated Statement of Financial Position. The Company primarily has non-cancellable operating leases for office spaces across various countries. We categorize leases as either operating or finance leases at the commencement date of the respective lease.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components of lease costs are as follows:</w:t>
      </w:r>
    </w:p>
    <w:tbl>
      <w:tblPr>
        <w:tblW w:w="10205" w:type="dxa"/>
        <w:jc w:val="left"/>
        <w:tblInd w:w="0" w:type="dxa"/>
        <w:tblLayout w:type="fixed"/>
        <w:tblCellMar>
          <w:top w:w="28" w:type="dxa"/>
          <w:left w:w="28" w:type="dxa"/>
          <w:bottom w:w="28" w:type="dxa"/>
          <w:right w:w="28" w:type="dxa"/>
        </w:tblCellMar>
      </w:tblPr>
      <w:tblGrid>
        <w:gridCol w:w="563"/>
        <w:gridCol w:w="440"/>
        <w:gridCol w:w="442"/>
        <w:gridCol w:w="372"/>
        <w:gridCol w:w="1090"/>
        <w:gridCol w:w="193"/>
        <w:gridCol w:w="109"/>
        <w:gridCol w:w="109"/>
        <w:gridCol w:w="109"/>
        <w:gridCol w:w="109"/>
        <w:gridCol w:w="109"/>
        <w:gridCol w:w="109"/>
        <w:gridCol w:w="399"/>
        <w:gridCol w:w="1166"/>
        <w:gridCol w:w="207"/>
        <w:gridCol w:w="109"/>
        <w:gridCol w:w="109"/>
        <w:gridCol w:w="109"/>
        <w:gridCol w:w="397"/>
        <w:gridCol w:w="1162"/>
        <w:gridCol w:w="206"/>
        <w:gridCol w:w="109"/>
        <w:gridCol w:w="109"/>
        <w:gridCol w:w="109"/>
        <w:gridCol w:w="109"/>
        <w:gridCol w:w="109"/>
        <w:gridCol w:w="109"/>
        <w:gridCol w:w="413"/>
        <w:gridCol w:w="1209"/>
        <w:gridCol w:w="311"/>
      </w:tblGrid>
      <w:tr>
        <w:trPr/>
        <w:tc>
          <w:tcPr>
            <w:tcW w:w="56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1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2023 – June 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2022 – June 30, 2022 </w:t>
              <w:b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 2023– June 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June 30, 2022 </w:t>
              <w:br/>
              <w:t>(Predecessor)</w:t>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6,076 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Supplemental cash flow information and non-cash activity related to our operating leases are as follows:</w:t>
      </w:r>
    </w:p>
    <w:tbl>
      <w:tblPr>
        <w:tblW w:w="10205" w:type="dxa"/>
        <w:jc w:val="left"/>
        <w:tblInd w:w="0" w:type="dxa"/>
        <w:tblLayout w:type="fixed"/>
        <w:tblCellMar>
          <w:top w:w="28" w:type="dxa"/>
          <w:left w:w="28" w:type="dxa"/>
          <w:bottom w:w="28" w:type="dxa"/>
          <w:right w:w="28" w:type="dxa"/>
        </w:tblCellMar>
      </w:tblPr>
      <w:tblGrid>
        <w:gridCol w:w="1623"/>
        <w:gridCol w:w="1379"/>
        <w:gridCol w:w="1390"/>
        <w:gridCol w:w="570"/>
        <w:gridCol w:w="1670"/>
        <w:gridCol w:w="296"/>
        <w:gridCol w:w="109"/>
        <w:gridCol w:w="109"/>
        <w:gridCol w:w="109"/>
        <w:gridCol w:w="109"/>
        <w:gridCol w:w="109"/>
        <w:gridCol w:w="109"/>
        <w:gridCol w:w="663"/>
        <w:gridCol w:w="1468"/>
        <w:gridCol w:w="492"/>
      </w:tblGrid>
      <w:tr>
        <w:trPr/>
        <w:tc>
          <w:tcPr>
            <w:tcW w:w="162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43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June 30, 2022 </w:t>
              <w:br/>
              <w:t>(Predecessor)</w:t>
            </w:r>
          </w:p>
        </w:tc>
      </w:tr>
      <w:tr>
        <w:trPr/>
        <w:tc>
          <w:tcPr>
            <w:tcW w:w="4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cash flow information:</w:t>
            </w:r>
          </w:p>
        </w:tc>
        <w:tc>
          <w:tcPr>
            <w:tcW w:w="2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from operating leases</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activity:</w:t>
            </w:r>
          </w:p>
        </w:tc>
        <w:tc>
          <w:tcPr>
            <w:tcW w:w="2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Weighted-average remaining lease term and discount rate for our operating leases are as follows:</w:t>
      </w:r>
    </w:p>
    <w:tbl>
      <w:tblPr>
        <w:tblW w:w="6105" w:type="dxa"/>
        <w:jc w:val="left"/>
        <w:tblInd w:w="0" w:type="dxa"/>
        <w:tblLayout w:type="fixed"/>
        <w:tblCellMar>
          <w:top w:w="28" w:type="dxa"/>
          <w:left w:w="28" w:type="dxa"/>
          <w:bottom w:w="28" w:type="dxa"/>
          <w:right w:w="28" w:type="dxa"/>
        </w:tblCellMar>
      </w:tblPr>
      <w:tblGrid>
        <w:gridCol w:w="1207"/>
        <w:gridCol w:w="1059"/>
        <w:gridCol w:w="1064"/>
        <w:gridCol w:w="565"/>
        <w:gridCol w:w="565"/>
        <w:gridCol w:w="1645"/>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2023 (Successor)</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6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Future minimum lease payments for the Company’s operating leases as of June 30, 2023 (Successor), are as follows: </w:t>
      </w:r>
    </w:p>
    <w:tbl>
      <w:tblPr>
        <w:tblW w:w="6419" w:type="dxa"/>
        <w:jc w:val="left"/>
        <w:tblInd w:w="0" w:type="dxa"/>
        <w:tblLayout w:type="fixed"/>
        <w:tblCellMar>
          <w:top w:w="28" w:type="dxa"/>
          <w:left w:w="28" w:type="dxa"/>
          <w:bottom w:w="28" w:type="dxa"/>
          <w:right w:w="28" w:type="dxa"/>
        </w:tblCellMar>
      </w:tblPr>
      <w:tblGrid>
        <w:gridCol w:w="971"/>
        <w:gridCol w:w="854"/>
        <w:gridCol w:w="860"/>
        <w:gridCol w:w="725"/>
        <w:gridCol w:w="2480"/>
        <w:gridCol w:w="529"/>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Future Minimum Rental Operating Leases</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2023</w:t>
            </w:r>
          </w:p>
        </w:tc>
        <w:tc>
          <w:tcPr>
            <w:tcW w:w="7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beyond</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31,844 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28,925 </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(13)Goodwill,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of Goodwill, net reported on the Condensed Consolidated Statement of Financial Position.</w:t>
      </w:r>
    </w:p>
    <w:tbl>
      <w:tblPr>
        <w:tblW w:w="10205" w:type="dxa"/>
        <w:jc w:val="left"/>
        <w:tblInd w:w="0" w:type="dxa"/>
        <w:tblLayout w:type="fixed"/>
        <w:tblCellMar>
          <w:top w:w="28" w:type="dxa"/>
          <w:left w:w="28" w:type="dxa"/>
          <w:bottom w:w="28" w:type="dxa"/>
          <w:right w:w="28" w:type="dxa"/>
        </w:tblCellMar>
      </w:tblPr>
      <w:tblGrid>
        <w:gridCol w:w="1248"/>
        <w:gridCol w:w="1081"/>
        <w:gridCol w:w="1089"/>
        <w:gridCol w:w="319"/>
        <w:gridCol w:w="1254"/>
        <w:gridCol w:w="166"/>
        <w:gridCol w:w="109"/>
        <w:gridCol w:w="109"/>
        <w:gridCol w:w="109"/>
        <w:gridCol w:w="342"/>
        <w:gridCol w:w="1344"/>
        <w:gridCol w:w="178"/>
        <w:gridCol w:w="109"/>
        <w:gridCol w:w="109"/>
        <w:gridCol w:w="109"/>
        <w:gridCol w:w="109"/>
        <w:gridCol w:w="109"/>
        <w:gridCol w:w="109"/>
        <w:gridCol w:w="426"/>
        <w:gridCol w:w="1459"/>
        <w:gridCol w:w="318"/>
      </w:tblGrid>
      <w:tr>
        <w:trPr/>
        <w:tc>
          <w:tcPr>
            <w:tcW w:w="1248"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Asset Management </w:t>
              <w:br/>
              <w:t xml:space="preserve">As of June 30, 2023 </w:t>
              <w:br/>
              <w:t xml:space="preserve">(Successor)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Wealth Management </w:t>
              <w:br/>
              <w:t xml:space="preserve">As of June 30, 2023 </w:t>
              <w:b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2022 </w:t>
              <w:br/>
              <w:t>(Predecessor)</w:t>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goodwill:</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294,119 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during the period</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and other adjustments</w:t>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3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goodwill</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263,429 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297,759 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25,464 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period from April 1, 2023 to June 30, 2023 (Successor), the Company made certain measurement period adjustments to the preliminary purchase price allocation, which resulted in an increase to goodwill of $20.7 million (See Note 3). For the periods from January 3, 2023 to June 30, 2023 (Successor) and from January 1, 2022 to June 30, 2022 (Predecessor), no triggering events were identified, and no impairment charge was recognized on goodwill from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(14)Debt, net of unamortized deferred financing cost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outstanding debt obligations of the Company as of June 30, 2023 (Successor):</w:t>
      </w:r>
    </w:p>
    <w:tbl>
      <w:tblPr>
        <w:tblW w:w="7279" w:type="dxa"/>
        <w:jc w:val="left"/>
        <w:tblInd w:w="0" w:type="dxa"/>
        <w:tblLayout w:type="fixed"/>
        <w:tblCellMar>
          <w:top w:w="28" w:type="dxa"/>
          <w:left w:w="28" w:type="dxa"/>
          <w:bottom w:w="28" w:type="dxa"/>
          <w:right w:w="28" w:type="dxa"/>
        </w:tblCellMar>
      </w:tblPr>
      <w:tblGrid>
        <w:gridCol w:w="896"/>
        <w:gridCol w:w="786"/>
        <w:gridCol w:w="792"/>
        <w:gridCol w:w="272"/>
        <w:gridCol w:w="1141"/>
        <w:gridCol w:w="131"/>
        <w:gridCol w:w="109"/>
        <w:gridCol w:w="109"/>
        <w:gridCol w:w="109"/>
        <w:gridCol w:w="226"/>
        <w:gridCol w:w="946"/>
        <w:gridCol w:w="109"/>
        <w:gridCol w:w="109"/>
        <w:gridCol w:w="109"/>
        <w:gridCol w:w="109"/>
        <w:gridCol w:w="226"/>
        <w:gridCol w:w="94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2023 (Successor)</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w:t>
            </w:r>
          </w:p>
          <w:p>
            <w:pPr>
              <w:pStyle w:val="TableContents"/>
              <w:bidi w:val="0"/>
              <w:spacing w:lineRule="auto" w:line="288" w:before="0" w:after="0"/>
              <w:jc w:val="center"/>
              <w:rPr/>
            </w:pPr>
            <w:r>
              <w:rPr>
                <w:rFonts w:ascii="Times New Roman;sans-serif" w:hAnsi="Times New Roman;sans-serif"/>
                <w:b w:val="false"/>
                <w:color w:val="000000"/>
                <w:sz w:val="20"/>
              </w:rPr>
              <w:t xml:space="preserve">Value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w:t>
            </w:r>
          </w:p>
          <w:p>
            <w:pPr>
              <w:pStyle w:val="TableContents"/>
              <w:bidi w:val="0"/>
              <w:spacing w:lineRule="auto" w:line="288" w:before="0" w:after="0"/>
              <w:jc w:val="center"/>
              <w:rPr/>
            </w:pPr>
            <w:r>
              <w:rPr>
                <w:rFonts w:ascii="Times New Roman;sans-serif" w:hAnsi="Times New Roman;sans-serif"/>
                <w:b w:val="false"/>
                <w:color w:val="000000"/>
                <w:sz w:val="20"/>
              </w:rPr>
              <w:t xml:space="preserve">Value </w:t>
            </w:r>
            <w:r>
              <w:rPr>
                <w:rFonts w:ascii="Times New Roman;sans-serif" w:hAnsi="Times New Roman;sans-serif"/>
                <w:b/>
                <w:color w:val="000000"/>
                <w:sz w:val="13"/>
              </w:rPr>
              <w:t>(2)</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Credit Agreement</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 Loans</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97,500 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Revolving Credit Facility</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73,250 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Promissory Notes</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Debt</w:t>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170,750 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169,094 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170,750 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color w:val="000000"/>
          <w:sz w:val="14"/>
        </w:rPr>
        <w:t>(1)</w:t>
      </w:r>
      <w:r>
        <w:rPr>
          <w:color w:val="000000"/>
        </w:rPr>
        <w:t xml:space="preserve"> </w:t>
      </w:r>
      <w:r>
        <w:rPr>
          <w:rFonts w:ascii="Times New Roman;sans-serif" w:hAnsi="Times New Roman;sans-serif"/>
          <w:b w:val="false"/>
          <w:color w:val="000000"/>
          <w:sz w:val="18"/>
        </w:rPr>
        <w:t>Represents debt outstanding net of unamortized debt issuance costs.</w:t>
      </w:r>
    </w:p>
    <w:p>
      <w:pPr>
        <w:pStyle w:val="TextBody"/>
        <w:bidi w:val="0"/>
        <w:spacing w:lineRule="auto" w:line="268" w:before="0" w:after="0"/>
        <w:jc w:val="both"/>
        <w:rPr/>
      </w:pPr>
      <w:r>
        <w:rPr>
          <w:rFonts w:ascii="Times New Roman;sans-serif" w:hAnsi="Times New Roman;sans-serif"/>
          <w:b/>
          <w:color w:val="000000"/>
          <w:sz w:val="14"/>
        </w:rPr>
        <w:t>(2</w:t>
      </w: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18"/>
        </w:rPr>
        <w:t>The fair value of the Term Loans and Revolving Credit Facility approximates carrying value as of June 30, 2023 (Successor) due to the recent issuance of the debt instruments. The fair value is categorized as Level 3 under ASC 820.</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Credit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3, 2023, the Company entered into a credit agreement (the “Credit Agreement”) with BMO Harris Bank N.A., as administrative agent, for a senior secured credit facility (the “Credit Facility”) in an aggregate principal amount of $250.0 million, consisting of term loan commitments for an aggregate principal amount of $100.0 million (the “Term Loans”) and a revolving credit facility with commitments for an aggregate commitment amount of $150.0 million (the “Revolving Credit Facility”), with an accordion option to increase the revolving commitments an additional $75.0 million to $225.0 million total. Upon the de-SPAC event, the Company had initially acquired legacy debt obligations from its subsidiaries in the amount of $124.4 million. Subsequently, after the closing of the Business Combination, the Company obtained additional financing through the BMO Credit Facility from which proceeds from borrowings were used to repay outstanding debt obligations acquired through the transaction, and also for working capital and general corporate purposes, including, without limitation, permitted acquisitions.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Term Loans and Revolving Credit Facility bear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The margin ranges between 1.0% and 2.0% for base rate loans and between 2.0% and 3.0% for SOFR loans. The Company will pay a commitment fee based on the average daily unused portion 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 The Term Loan is subject to quarterly amortization payments and will mature on January 3, 2028. The Revolving Credit Facility will terminate on January 3, 2028. As of June 30, 2023 (Successor), total outstanding debt, net of unamortized deferred financing costs amounted to $169.1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summarize outstanding debt obligations of the Company as of December 31, 2022 (Predecessor):</w:t>
      </w:r>
    </w:p>
    <w:tbl>
      <w:tblPr>
        <w:tblW w:w="5591" w:type="dxa"/>
        <w:jc w:val="left"/>
        <w:tblInd w:w="0" w:type="dxa"/>
        <w:tblLayout w:type="fixed"/>
        <w:tblCellMar>
          <w:top w:w="28" w:type="dxa"/>
          <w:left w:w="28" w:type="dxa"/>
          <w:bottom w:w="28" w:type="dxa"/>
          <w:right w:w="28" w:type="dxa"/>
        </w:tblCellMar>
      </w:tblPr>
      <w:tblGrid>
        <w:gridCol w:w="896"/>
        <w:gridCol w:w="787"/>
        <w:gridCol w:w="792"/>
        <w:gridCol w:w="300"/>
        <w:gridCol w:w="1099"/>
        <w:gridCol w:w="145"/>
        <w:gridCol w:w="109"/>
        <w:gridCol w:w="109"/>
        <w:gridCol w:w="109"/>
        <w:gridCol w:w="233"/>
        <w:gridCol w:w="853"/>
        <w:gridCol w:w="159"/>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2022 </w:t>
              <w:br/>
              <w:t>(Predecessor)</w:t>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w:t>
            </w:r>
          </w:p>
          <w:p>
            <w:pPr>
              <w:pStyle w:val="TableContents"/>
              <w:bidi w:val="0"/>
              <w:spacing w:lineRule="auto" w:line="288" w:before="0" w:after="0"/>
              <w:jc w:val="center"/>
              <w:rPr/>
            </w:pPr>
            <w:r>
              <w:rPr>
                <w:rFonts w:ascii="Times New Roman;sans-serif" w:hAnsi="Times New Roman;sans-serif"/>
                <w:b w:val="false"/>
                <w:color w:val="000000"/>
                <w:sz w:val="20"/>
              </w:rPr>
              <w:t xml:space="preserve">Value </w:t>
            </w:r>
            <w:r>
              <w:rPr>
                <w:rFonts w:ascii="Times New Roman;sans-serif" w:hAnsi="Times New Roman;sans-serif"/>
                <w:b/>
                <w:color w:val="000000"/>
                <w:sz w:val="13"/>
              </w:rPr>
              <w:t>(1)</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 Loan</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5,760 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Revolving Credit Facility</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14,050 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14,050 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Promissory Notes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1,377 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Debt</w:t>
            </w:r>
          </w:p>
        </w:tc>
        <w:tc>
          <w:tcPr>
            <w:tcW w:w="3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21,187 </w:t>
            </w:r>
          </w:p>
        </w:tc>
        <w:tc>
          <w:tcPr>
            <w:tcW w:w="1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21,187 </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color w:val="000000"/>
          <w:sz w:val="14"/>
        </w:rPr>
        <w:t>(1)</w:t>
      </w:r>
      <w:r>
        <w:rPr>
          <w:color w:val="000000"/>
        </w:rPr>
        <w:t xml:space="preserve"> </w:t>
      </w:r>
      <w:r>
        <w:rPr>
          <w:rFonts w:ascii="Times New Roman;sans-serif" w:hAnsi="Times New Roman;sans-serif"/>
          <w:b w:val="false"/>
          <w:color w:val="000000"/>
          <w:sz w:val="18"/>
        </w:rPr>
        <w:t>There were no unamortized debt issuance costs as of December 31, 2022 (Predecessor).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December 31, 2022 (Predecessor), Company had an outstanding Term Loan borrowing of $5.8 million with interest calculated based on a variable one-month LIBOR rate plus 1.50%, subject to a LIBOR floor. The Company entered into an interest rate swap agreement in 2020, which converted the variable rate to a fixed rate of 2.60% on borrowings under the Term Loan. The Company also had an outstanding balance of $14.1 million on its Revolving Credit Facility with interest calculated at the rate of the Daily Bloomberg Short-Term Bank Yield Index rate (“BSBY”) plus 1.50% and an unused commitment fee is 0.15% per annum. In addition, the Company had an outstanding promissory note balance of $1.4 million with interest calculated 3.25%. As of December 31, 2022 (Predecessor), total outstanding debt, net of unamortized deferred financing costs amounted to $21.2 million.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Future maturities of the Term Loans as of June 30, 2023 (Successor), are as follows: </w:t>
      </w:r>
    </w:p>
    <w:tbl>
      <w:tblPr>
        <w:tblW w:w="3989" w:type="dxa"/>
        <w:jc w:val="left"/>
        <w:tblInd w:w="0" w:type="dxa"/>
        <w:tblLayout w:type="fixed"/>
        <w:tblCellMar>
          <w:top w:w="28" w:type="dxa"/>
          <w:left w:w="28" w:type="dxa"/>
          <w:bottom w:w="28" w:type="dxa"/>
          <w:right w:w="28" w:type="dxa"/>
        </w:tblCellMar>
      </w:tblPr>
      <w:tblGrid>
        <w:gridCol w:w="624"/>
        <w:gridCol w:w="548"/>
        <w:gridCol w:w="552"/>
        <w:gridCol w:w="424"/>
        <w:gridCol w:w="1552"/>
        <w:gridCol w:w="289"/>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Aggregate Maturities</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 of 2023</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2024</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2025</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7,500 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2026</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2027</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Thereafter</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62,500 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97,500 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Debt is prepayable without penalty prior to maturity. Borrowings under the Revolving Credit Facility are due and payable on the termination date or an earlier date at the Company’s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(15)Retirement Plans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for the periods from April 1, 2023 to June 30, 2023 (Successor) and from April 1, 2022 to June 30, 2022 (Predecessor), were $0.9 million and $0.2 million, respectively, and for the periods from January 3, 2023 to June 30, 2023 (Successor) and from January 1, 2022 to June 30, 2022 (Predecessor), were $1.7 million and $0.4 million, respectively, of which was payable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June 30, 2023 (Successor) and is included in accounts payable and accrued expenses on the condensed consolidated financial statements. </w:t>
      </w:r>
    </w:p>
    <w:tbl>
      <w:tblPr>
        <w:tblW w:w="10205" w:type="dxa"/>
        <w:jc w:val="left"/>
        <w:tblInd w:w="0" w:type="dxa"/>
        <w:tblLayout w:type="fixed"/>
        <w:tblCellMar>
          <w:top w:w="28" w:type="dxa"/>
          <w:left w:w="28" w:type="dxa"/>
          <w:bottom w:w="28" w:type="dxa"/>
          <w:right w:w="28" w:type="dxa"/>
        </w:tblCellMar>
      </w:tblPr>
      <w:tblGrid>
        <w:gridCol w:w="624"/>
        <w:gridCol w:w="406"/>
        <w:gridCol w:w="349"/>
        <w:gridCol w:w="443"/>
        <w:gridCol w:w="979"/>
        <w:gridCol w:w="230"/>
        <w:gridCol w:w="109"/>
        <w:gridCol w:w="109"/>
        <w:gridCol w:w="109"/>
        <w:gridCol w:w="109"/>
        <w:gridCol w:w="109"/>
        <w:gridCol w:w="109"/>
        <w:gridCol w:w="495"/>
        <w:gridCol w:w="1096"/>
        <w:gridCol w:w="257"/>
        <w:gridCol w:w="109"/>
        <w:gridCol w:w="109"/>
        <w:gridCol w:w="109"/>
        <w:gridCol w:w="387"/>
        <w:gridCol w:w="1134"/>
        <w:gridCol w:w="201"/>
        <w:gridCol w:w="109"/>
        <w:gridCol w:w="109"/>
        <w:gridCol w:w="109"/>
        <w:gridCol w:w="109"/>
        <w:gridCol w:w="109"/>
        <w:gridCol w:w="109"/>
        <w:gridCol w:w="497"/>
        <w:gridCol w:w="1100"/>
        <w:gridCol w:w="372"/>
      </w:tblGrid>
      <w:tr>
        <w:trPr/>
        <w:tc>
          <w:tcPr>
            <w:tcW w:w="6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April 1, 2023 – June 30, 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April 1, 2022 – June 30, 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January 3, 2023 – June 30, 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January 1, 2022 – June 30, 2022 (Predecessor)</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Contributions</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(16)Related Party Transactions</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Related party transactions include the below:</w:t>
      </w:r>
    </w:p>
    <w:tbl>
      <w:tblPr>
        <w:tblW w:w="10205" w:type="dxa"/>
        <w:jc w:val="left"/>
        <w:tblInd w:w="0" w:type="dxa"/>
        <w:tblLayout w:type="fixed"/>
        <w:tblCellMar>
          <w:top w:w="28" w:type="dxa"/>
          <w:left w:w="28" w:type="dxa"/>
          <w:bottom w:w="28" w:type="dxa"/>
          <w:right w:w="28" w:type="dxa"/>
        </w:tblCellMar>
      </w:tblPr>
      <w:tblGrid>
        <w:gridCol w:w="1990"/>
        <w:gridCol w:w="1397"/>
        <w:gridCol w:w="1406"/>
        <w:gridCol w:w="109"/>
        <w:gridCol w:w="109"/>
        <w:gridCol w:w="109"/>
        <w:gridCol w:w="649"/>
        <w:gridCol w:w="649"/>
        <w:gridCol w:w="651"/>
        <w:gridCol w:w="228"/>
        <w:gridCol w:w="823"/>
        <w:gridCol w:w="117"/>
        <w:gridCol w:w="284"/>
        <w:gridCol w:w="831"/>
        <w:gridCol w:w="148"/>
        <w:gridCol w:w="109"/>
        <w:gridCol w:w="109"/>
        <w:gridCol w:w="109"/>
        <w:gridCol w:w="109"/>
        <w:gridCol w:w="109"/>
        <w:gridCol w:w="160"/>
      </w:tblGrid>
      <w:tr>
        <w:trPr/>
        <w:tc>
          <w:tcPr>
            <w:tcW w:w="19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 Line Item</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June 30, </w:t>
              <w:br/>
              <w:t>2023 (Successor)</w:t>
            </w:r>
          </w:p>
        </w:tc>
        <w:tc>
          <w:tcPr>
            <w:tcW w:w="12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December 31, </w:t>
              <w:br/>
              <w:t>2022 (Predecessor)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Certain TMWH Members, TIG GP Members and TIG MGMT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Equity 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Related Party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Certain Non-Controlling Interest Holders in Connection with the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 liability</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Certain TWMH Members, TIG GP Members, TIG MGMT Members and Alvarium shareholders in connection with the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at fair value</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Due from TWMH Members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TWMH Members were offered promissory notes to pay their estimated federal, state and local withholding taxes owed by such members, which constitute loans to members. Promissory notes totaling $1.5 million were issued by the Company in 2020, 2021 and 2022, and bear interest at an annual rate of three and one quarter percent (3.25%). Of these, certain promissory notes totaling $1.1 million included a forgiveness of debt provision. If at each of the first five one-year anniversaries of February 15, 2023, if the members’ employment relationship has not been terminated for any reason, an amount equal to twenty percent (20%) of the principal and accrued interest, shall be forgiven. Upon termination of employment, any outstanding amount of loan not forgiven becomes due within 30 days. The additional notes totaling $0.4 million were due on or before the closing date of the transaction and have been paid back in full to the Company as of June 30, 2023 (Successor).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periods from April 1, 2023 to June 30, 2023 (Successor) and from April 1, 2022 to June 30, 2022 (Predecessor), the Company recognized $65 thousand and $63 thousand, respectively, and for the periods from January 3, 2023 to June 30, 2023 (Successor) and from January 1, 2022 to June 30, 2022 (Predecessor), the Company recognized $131 thousand and $146 thousand, respectively, of forgiveness of principal debt and accrued interest within Compensation and employee benefits expense on the Consolidated Statement of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promissory notes are full legal recourse and have applicable default provisions, which allow the Company to enforce collection against all assets of the note holder, including Class B units which have been pledged as collateral. These loans are presented in Other assets on the Condensed Consolidated Statement of Financial Condition. As of June 30, 2023 (Successor) and December 31, 2022 (Predecessor), the balance of loans to members were $0.8 million and $1.2 million, respectively.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Due from TIG GP Members and TIG MGMT Members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recognized a receivable for amounts due from certain TIG GP Members and TIG MGMT Members. The receivable does not have specific payment terms or a stated rate of interest. This receivable is presented in Other assets on the Condensed Consolidated Statement of Financial Condition and as of June 30, 2023 (Successor), the balance of the receivable was $1.8 million.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Equity Method Investees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transactions with Equity Method Investees include receivables related to loans, fees and expenses, which are presented in Other assets on the Condensed Consolidated Statement of Financial Condition, and payables related to loans, fees and expenses, which are presented in Accounts payable and accrued expenses and Other Liabilities on the Condensed Consolidated Statement of Financial Condition.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period from January 3, 2023 to June 30, 2023 (Successor), the Company recognized $1.0 million in Management/advisory fees, $0.8 million in Compensation and employee benefits, $(0.7) million in Other income/fees and $(21.0) thousand in Interest and dividend income (expense) from equity method investees on the Condensed Consolidated Statement of Operations.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Tax Receivable Agreements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the Closing Date, the Company entered into the Tax Receivable Agreement with the TWMH Members, the TIG GP Members, and the TIG MGMT Members (the “Tax Receivable Agreement”). The TRA generally provides for certain payments and makes certain arrangements with respect to certain tax benefits to be derived by the Company and its subsidiaries as the result of the Business Combination and future exchanges by such TWMH Members, TIG GP Members and TIG MGMT Members of their Paired Interests for Class A Common Stock in accordance with the Umbrella LLC Agreement and the making of payments under the TRA.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terms of the TRA, the Company generally will pay an amount equal to 85% of the net tax benefit that it receives from such exchanges to the TWMH Members, the TIG GP Members and the TIG MGMT Members. The costs and expenses of administering the TRA will be borne 15% by the Company and 85% by the TWMH Members, the TIG GP Members and the TIG MGMT Members, or in certain instances, all or a portion of such 85% amount may be borne by Umbrella.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TRA is recognized on the Consolidated Statement of Financial Condition as the TRA Liability. The fair value of the TRA Liability was $15.1 million as of June 30, 2023 (Successor). The Company recognized a loss of $(1.8) million and $(2.1) million for the period from April 1, 2023 June 30, 2023 (Successor) and the period from January 3, 2023 to June 30, 2023 (Successor), respectively, which is recorded in Gain (loss) on TRA in the Condensed Consolidated Statement of Operations.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the period from January 3, 2023 to June 30, 2023 (Successor), the Company made tax payments on behalf of and cash distributions to Class B Units holders related to the TRA of $1.0 million.</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Earn-out Liability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the terms of the Business Combination, upon closing, the selling shareholders of TWMH, TIG, and Alvarium became entitled to receive earn-out shares contingent on various share price milestones and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event of a change in control. The earn-out shares are precluded from being considered indexed to the Company's own stock and are recognized as a liability at fair value with changes in fair value recognized in earnings. As of June 30, 2023 (Successor), the fair value of the Earn-out Liability was $54.9 million. The change in fair value of $36.9 million is recorded in Gain (loss) on earn-out liability in the Condensed Consolidated Statement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Times New Roman;sans-serif" w:hAnsi="Times New Roman;sans-serif"/>
          <w:b/>
          <w:color w:val="000000"/>
          <w:sz w:val="22"/>
        </w:rPr>
        <w:t>(17)</w:t>
      </w:r>
      <w:r>
        <w:rPr>
          <w:color w:val="000000"/>
        </w:rPr>
        <w:t xml:space="preserve"> </w:t>
      </w:r>
      <w:r>
        <w:rPr>
          <w:rFonts w:ascii="Times New Roman;sans-serif" w:hAnsi="Times New Roman;sans-serif"/>
          <w:b/>
          <w:color w:val="000000"/>
          <w:sz w:val="22"/>
        </w:rPr>
        <w:t>Segment Reporting</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operates within two business segments: Asset Management and Wealth Management. See Note 1 (Description of the Business).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business segment information was prepared using the following methodologies and generally represents the information that is relied upon by management in its decision-making process.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Revenues and expenses directly associated with each business segment are included in determining net income/ (loss) by segment.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Indirect expenses (such as general and administrative expenses including executive and indirect overhead costs) not directly associated with specific business segments are allocated to the business segments’ statement of operations.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Accordingly, the Company presents segment information consistent with internal management reporting. See Note 1 (Description of the Business) and the table below for more detail on unallocated items. The following tables present the financial information for the Company’s segments for the periods indicated.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tbl>
      <w:tblPr>
        <w:tblW w:w="10205" w:type="dxa"/>
        <w:jc w:val="left"/>
        <w:tblInd w:w="0" w:type="dxa"/>
        <w:tblLayout w:type="fixed"/>
        <w:tblCellMar>
          <w:top w:w="28" w:type="dxa"/>
          <w:left w:w="28" w:type="dxa"/>
          <w:bottom w:w="28" w:type="dxa"/>
          <w:right w:w="28" w:type="dxa"/>
        </w:tblCellMar>
      </w:tblPr>
      <w:tblGrid>
        <w:gridCol w:w="1073"/>
        <w:gridCol w:w="835"/>
        <w:gridCol w:w="841"/>
        <w:gridCol w:w="243"/>
        <w:gridCol w:w="833"/>
        <w:gridCol w:w="125"/>
        <w:gridCol w:w="109"/>
        <w:gridCol w:w="109"/>
        <w:gridCol w:w="109"/>
        <w:gridCol w:w="243"/>
        <w:gridCol w:w="833"/>
        <w:gridCol w:w="125"/>
        <w:gridCol w:w="109"/>
        <w:gridCol w:w="109"/>
        <w:gridCol w:w="109"/>
        <w:gridCol w:w="211"/>
        <w:gridCol w:w="721"/>
        <w:gridCol w:w="109"/>
        <w:gridCol w:w="109"/>
        <w:gridCol w:w="109"/>
        <w:gridCol w:w="109"/>
        <w:gridCol w:w="109"/>
        <w:gridCol w:w="109"/>
        <w:gridCol w:w="109"/>
        <w:gridCol w:w="109"/>
        <w:gridCol w:w="109"/>
        <w:gridCol w:w="449"/>
        <w:gridCol w:w="1536"/>
        <w:gridCol w:w="233"/>
        <w:gridCol w:w="109"/>
        <w:gridCol w:w="160"/>
      </w:tblGrid>
      <w:tr>
        <w:trPr/>
        <w:tc>
          <w:tcPr>
            <w:tcW w:w="107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c>
          <w:tcPr>
            <w:tcW w:w="2596" w:type="dxa"/>
            <w:gridSpan w:val="6"/>
            <w:tcBorders/>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40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2023 – June 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2022 – June 30, 2022 </w:t>
              <w:br/>
              <w:t>(Predecessor)</w:t>
            </w:r>
          </w:p>
        </w:tc>
        <w:tc>
          <w:tcPr>
            <w:tcW w:w="269" w:type="dxa"/>
            <w:gridSpan w:val="2"/>
            <w:tcBorders/>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Income by Segment</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Asset </w:t>
              <w:br/>
              <w:t xml:space="preserve">Management </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Wealth </w:t>
              <w:br/>
              <w:t xml:space="preserve">Management </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Tiedemann Wealth </w:t>
              <w:br/>
              <w:t xml:space="preserve">Management </w:t>
              <w:br/>
              <w:t>Holdings, LLC</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Management/advisory fees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investments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income/fees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18,892 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employee benefits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 technology, and telephone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distribution, and marketing</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and entertainment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 on intangible assets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(37,749)</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investments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TRA</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warrant liability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earn-out liability</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 (expense)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taxes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(expenses) benefit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tbl>
      <w:tblPr>
        <w:tblW w:w="10205" w:type="dxa"/>
        <w:jc w:val="left"/>
        <w:tblInd w:w="0" w:type="dxa"/>
        <w:tblLayout w:type="fixed"/>
        <w:tblCellMar>
          <w:top w:w="28" w:type="dxa"/>
          <w:left w:w="28" w:type="dxa"/>
          <w:bottom w:w="28" w:type="dxa"/>
          <w:right w:w="28" w:type="dxa"/>
        </w:tblCellMar>
      </w:tblPr>
      <w:tblGrid>
        <w:gridCol w:w="1038"/>
        <w:gridCol w:w="774"/>
        <w:gridCol w:w="779"/>
        <w:gridCol w:w="220"/>
        <w:gridCol w:w="864"/>
        <w:gridCol w:w="114"/>
        <w:gridCol w:w="109"/>
        <w:gridCol w:w="109"/>
        <w:gridCol w:w="109"/>
        <w:gridCol w:w="238"/>
        <w:gridCol w:w="835"/>
        <w:gridCol w:w="124"/>
        <w:gridCol w:w="109"/>
        <w:gridCol w:w="109"/>
        <w:gridCol w:w="109"/>
        <w:gridCol w:w="211"/>
        <w:gridCol w:w="826"/>
        <w:gridCol w:w="109"/>
        <w:gridCol w:w="109"/>
        <w:gridCol w:w="109"/>
        <w:gridCol w:w="109"/>
        <w:gridCol w:w="109"/>
        <w:gridCol w:w="109"/>
        <w:gridCol w:w="109"/>
        <w:gridCol w:w="109"/>
        <w:gridCol w:w="109"/>
        <w:gridCol w:w="461"/>
        <w:gridCol w:w="1578"/>
        <w:gridCol w:w="240"/>
        <w:gridCol w:w="109"/>
        <w:gridCol w:w="159"/>
      </w:tblGrid>
      <w:tr>
        <w:trPr/>
        <w:tc>
          <w:tcPr>
            <w:tcW w:w="103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2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6 Month Period Ended</w:t>
            </w:r>
          </w:p>
        </w:tc>
        <w:tc>
          <w:tcPr>
            <w:tcW w:w="2656" w:type="dxa"/>
            <w:gridSpan w:val="6"/>
            <w:tcBorders/>
          </w:tcPr>
          <w:p>
            <w:pPr>
              <w:pStyle w:val="TableContents"/>
              <w:bidi w:val="0"/>
              <w:spacing w:before="0" w:after="283"/>
              <w:jc w:val="left"/>
              <w:rPr>
                <w:sz w:val="4"/>
                <w:szCs w:val="4"/>
              </w:rPr>
            </w:pPr>
            <w:r>
              <w:rPr>
                <w:sz w:val="4"/>
                <w:szCs w:val="4"/>
              </w:rPr>
            </w:r>
          </w:p>
        </w:tc>
      </w:tr>
      <w:tr>
        <w:trPr/>
        <w:tc>
          <w:tcPr>
            <w:tcW w:w="25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41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June 30, 2022 </w:t>
              <w:br/>
              <w:t>(Predecessor)</w:t>
            </w:r>
          </w:p>
        </w:tc>
        <w:tc>
          <w:tcPr>
            <w:tcW w:w="268" w:type="dxa"/>
            <w:gridSpan w:val="2"/>
            <w:tcBorders/>
          </w:tcPr>
          <w:p>
            <w:pPr>
              <w:pStyle w:val="TableContents"/>
              <w:bidi w:val="0"/>
              <w:spacing w:before="0" w:after="283"/>
              <w:jc w:val="left"/>
              <w:rPr>
                <w:sz w:val="4"/>
                <w:szCs w:val="4"/>
              </w:rPr>
            </w:pPr>
            <w:r>
              <w:rPr>
                <w:sz w:val="4"/>
                <w:szCs w:val="4"/>
              </w:rPr>
            </w:r>
          </w:p>
        </w:tc>
      </w:tr>
      <w:tr>
        <w:trPr/>
        <w:tc>
          <w:tcPr>
            <w:tcW w:w="2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Income by Segment</w:t>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Asset </w:t>
              <w:br/>
              <w:t xml:space="preserve">Management </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Wealth </w:t>
              <w:br/>
              <w:t xml:space="preserve">Management </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Tiedemann Wealth </w:t>
              <w:br/>
              <w:t xml:space="preserve">Management </w:t>
              <w:br/>
              <w:t>Holdings, LLC</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Management/advisory fees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investments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income/fees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38,862 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employee benefits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 technology, and telephone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distribution, and marketing</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costs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and entertainment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 on intangible assets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(57,586)</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(26,990)</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investments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TRA</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warrant liability</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earn-out liability</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 (expense)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taxes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(19,949)</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(expenses) benefit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(46,293)</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7656" w:type="dxa"/>
        <w:jc w:val="left"/>
        <w:tblInd w:w="0" w:type="dxa"/>
        <w:tblLayout w:type="fixed"/>
        <w:tblCellMar>
          <w:top w:w="28" w:type="dxa"/>
          <w:left w:w="28" w:type="dxa"/>
          <w:bottom w:w="28" w:type="dxa"/>
          <w:right w:w="28" w:type="dxa"/>
        </w:tblCellMar>
      </w:tblPr>
      <w:tblGrid>
        <w:gridCol w:w="646"/>
        <w:gridCol w:w="567"/>
        <w:gridCol w:w="571"/>
        <w:gridCol w:w="368"/>
        <w:gridCol w:w="1706"/>
        <w:gridCol w:w="190"/>
        <w:gridCol w:w="109"/>
        <w:gridCol w:w="109"/>
        <w:gridCol w:w="109"/>
        <w:gridCol w:w="109"/>
        <w:gridCol w:w="109"/>
        <w:gridCol w:w="109"/>
        <w:gridCol w:w="573"/>
        <w:gridCol w:w="1961"/>
        <w:gridCol w:w="420"/>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587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 by segment</w:t>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 (Predecessor)</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834,448 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571,297 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91,989 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1,405,745 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91,989 </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(18)Earnings Per Share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Basic earnings per share is computed by dividing income attributable to controlling interest by the weighted average number of shares of Class A Common Stock outstanding during the period. Diluted earnings per common share excludes potentially dilutive instruments which were outstanding during the period but were anti-dilutive. The following table shows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2037"/>
        <w:gridCol w:w="1714"/>
        <w:gridCol w:w="1719"/>
        <w:gridCol w:w="289"/>
        <w:gridCol w:w="1631"/>
        <w:gridCol w:w="149"/>
        <w:gridCol w:w="109"/>
        <w:gridCol w:w="109"/>
        <w:gridCol w:w="109"/>
        <w:gridCol w:w="340"/>
        <w:gridCol w:w="1746"/>
        <w:gridCol w:w="253"/>
      </w:tblGrid>
      <w:tr>
        <w:trPr/>
        <w:tc>
          <w:tcPr>
            <w:tcW w:w="2037"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5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5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2023 – June 30,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30, </w:t>
              <w:br/>
              <w:t>2023 (Successor)</w:t>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controlling interest - basic</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(25,298)</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the Company - diluted</w:t>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(25,298)</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basic</w:t>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59,286,346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58,425,916 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diluted</w:t>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114,319,307 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58,454,342 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Class A Common Stock - basic</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Class A Common Stock - diluted</w:t>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potentially dilutive instruments were excluded from the calculation of diluted net loss per share because their effect would have been antidilutive:</w:t>
      </w:r>
    </w:p>
    <w:tbl>
      <w:tblPr>
        <w:tblW w:w="8597" w:type="dxa"/>
        <w:jc w:val="left"/>
        <w:tblInd w:w="0" w:type="dxa"/>
        <w:tblLayout w:type="fixed"/>
        <w:tblCellMar>
          <w:top w:w="28" w:type="dxa"/>
          <w:left w:w="28" w:type="dxa"/>
          <w:bottom w:w="28" w:type="dxa"/>
          <w:right w:w="28" w:type="dxa"/>
        </w:tblCellMar>
      </w:tblPr>
      <w:tblGrid>
        <w:gridCol w:w="1277"/>
        <w:gridCol w:w="1122"/>
        <w:gridCol w:w="1126"/>
        <w:gridCol w:w="719"/>
        <w:gridCol w:w="719"/>
        <w:gridCol w:w="721"/>
        <w:gridCol w:w="146"/>
        <w:gridCol w:w="146"/>
        <w:gridCol w:w="146"/>
        <w:gridCol w:w="724"/>
        <w:gridCol w:w="724"/>
        <w:gridCol w:w="1027"/>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2023 – June 30, </w:t>
              <w:br/>
              <w:t>2023 (Successor)</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30, </w:t>
              <w:br/>
              <w:t>2023 (Successor)</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and Class B Units</w:t>
            </w:r>
          </w:p>
        </w:tc>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27,516,481</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9,985,626</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w:t>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10,396,318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10,396,318</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4,607,089</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2,303,545</w:t>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Holbein Earn-Ins were also excluded from the calculation of diluted EPS. The number of potentially dilutive shares for the Holbein Earn-Ins is contingent on revenue generated from continuing customers in 2023 and 2024. The key terms of the Holbein Earn-Ins are discussed in Note 5 (Equity-Based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(19)Commitments and Contingencies</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Tax Receivable Agreement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Alvarium Tiedemann related to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Amounts payable under the TRA are contingent upon (i) the generation of taxable income over the life of the TRA, (ii) the tax rates in effect as of time periods in which tax benefits are used, and (iii) certain terms governing the rate of interest to be applied to payments under the TRA. </w:t>
      </w:r>
    </w:p>
    <w:p>
      <w:pPr>
        <w:pStyle w:val="TextBody"/>
        <w:bidi w:val="0"/>
        <w:spacing w:before="0" w:after="0"/>
        <w:jc w:val="both"/>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June 30, 2023 (Successor), the liability associated with the TRA was approximately $15.1 million and consisted entirely of a liability recorded under ASC 805 associated with the Business Combination, and as such, is presented at fair value through the discount of future anticipated payments. Payments under the TRA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account of liabilities arising in connection with the Business Combination will be revalued at the end of each reporting period with the gain or loss recognized in earnings. </w:t>
      </w:r>
    </w:p>
    <w:p>
      <w:pPr>
        <w:pStyle w:val="TextBody"/>
        <w:bidi w:val="0"/>
        <w:spacing w:before="0" w:after="0"/>
        <w:jc w:val="both"/>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TRA, certain parties to the Business Combination who received Class B units in Umbrella have the ability to exchange Class B units in Umbrella. for Class A shares in the Company on a 1:1 exchange basis. These future exchanges are anticipated to be treated as taxable exchanges which may provide an increase in the tax basis of the assets of Alvarium Tiedemann and therefore provide for additional payments under the TRA. TRA liabilities that are generated on account of future exchanges will be recorded under ASC 450.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estimate of the timing and amount of future payments under the TRA involves several assumptions that do not account for the significant uncertainties associated with those potential payments, including an assumption that the Company will have sufficient taxable income in the relevant tax years to utilize the tax benefits that would give rise to an obligation to make payments.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2023 (Successor), assuming no material changes in the relevant tax laws and that the Company generates sufficient taxable income to realize the full tax benefit of the increased amortization resulting from the increase in tax basis of certain AlTi’s assets, we expect to pay approximately $15.1 million under the TRA. Future changes in the fair value of the TRA liability will be recognized in earnings. Any future cash savings and related payments under the TRA due to subsequent exchanges of Class B Units for Class A Shares would be accounted for separately from the amount related to the Business Combination.</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2"/>
        </w:rPr>
      </w:pPr>
      <w:r>
        <w:rPr>
          <w:rFonts w:ascii="Times New Roman;sans-serif" w:hAnsi="Times New Roman;sans-serif"/>
          <w:b/>
          <w:i/>
          <w:color w:val="000000"/>
          <w:sz w:val="22"/>
        </w:rPr>
        <w:t xml:space="preserve">Earn-out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Earn-out Securities will be payable to the earn-out holders. The earn-out shares are precluded from being considered indexed to the Company's own stock and are recognized as a liability at fair value with changes in fair value recognized in earnings. As of June 30, 2023 (Successor), the fair value of the earn-out shares was $54.9 million. See Note 2 (Summary of Significant Accounting Policies) for additional detail.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Litigation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the Company may be involved in legal actions in the ordinary course of business. Although there can be no assurance of the outcome of such legal actions, in the opinion of management, the Company does not have a potential liability related to any current legal proceeding or claim that would individually or in the aggregate materiality affects its results of operations, financial condition or cash flows.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Home REIT is a real estate investment trust company listed on the London Stock Exchange. Alvarium Fund Managers (UK) Limited (“AFM UK”) is its alternative investment fund manager (or “AIFM”) and AHRA was its investment adviser until June 30, 2023. AFM UK is a wholly owned subsidiary of the Company. AHRA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owned by AlTi RE Limited, formerly known as Alvarium RE Limited (“ARE”) (another wholly owned subsidiary of the Company) up until December 30, 2022, when AHRA was sold. As such, AHRA was not acquired by the Company pursuant to the Business Combination, and formed AlTi. Accordingly, AHRA has never been a member of AlTi’s corporate group.</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disposal of AHRA, ARE retained an option to reacquire AHRA and, consequently, AHRA has been included in the Company’s Condensed Consolidated Statement of Operations for the period from January 3, 2023 to June 30, 2023 (Successor) in accordance with applicable accounting requirements.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June 30, 2023, the Company entered into a series of agreements that resulted in the deconsolidation of AHRA from the Asset Management segment with immediate effect. The agreements removed ARE’s potential controlling voting rights in AHRA (previously ascertainable on the exercise of the option), and terminated other residual contractual relationships between AHRA and ARE. As a result, these agreements removed AlTi’s control of AHRA from an accounting perspective. AHRA’s results were included in the Company’s Condensed Consolidated Statement of Operations for the period from January 3, 2023 to June 30, 2023 (Successor), but its accounts were removed from the Consolidated Statement of Financial Position as of June 30, 2023 (Successor). The deconsolidation resulted in an intangible asset impairment charge of $29.4 million, which is recorded as an Impairment loss on intangible assets in the Condensed Consolidated Statement of Operations. Assets managed by AHRA, however, have been excluded from the Company’s AUM/AUA metrics since January 3,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Since November 2022, Home REIT and AHRA have been the subject of a series of allegations in the UK media regarding Home REIT’s operations, triggered by a report issued by a short seller. Following the publication of the short seller report, a UK law firm (Harcus Parker Limited) announced that it was seeking current and former shareholders of Home REIT to potentially bring claims in connection with the allegations. Harcus Parker’s announcement states that claims will likely be brought against Home REIT itself, its directors, and AFM UK.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Harcus Parker publication, as at the date of authorizing this quarterly report, no letter before action has been received by AFM UK (as such is required under the Practice Direction on Pre-Action Protocols and Conduct contained in the United Kingdom’s Ministry of Justice Civil Procedure Rules, as amended, prior to a claimant commencing litigation), no litigation has been commenced against Home REIT or AFM UK, and we do not currently have visibility on the likelihood or otherwise of litigation actually being commenced. Further, given the above, it is not possible at this point in time for us to reliably assess the quantum of any claims that may potentially be brought, though such quantum may potentially be material to the Company. If any litigation or other action is commenced against AFM UK, our current assessment is that any such claims or actions should be defended and would be unlikely to succeed. However, if any claims were commenced, we would anticipate that such claims may involve complex questions of law and fact and we may incur significant legal expenses in defending such litigation. We will continue to assess any potential litigation or regulatory risk associated with the above-mentioned matters.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maintain insurance policies which are intended to provide coverage for various claims against us, subject to the terms and conditions of the relevant policy. Such policies include, among other things, indemnification for legal expenses. We also have access to credit facilities to support the business, if required. These arrangements support our assessment of going concern and of our ability to address any potential financial impact arising from the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(20)Equity</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June 30, 2023 (Successor), there were 62,957,671 shares of Class A Common Stock outstanding. Of those shares, 3,276,391 are subject to performance targets under the terms of the Earn-out. The holders of the Class A Common Stock represent the controlling interest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(Prior to January 3, 2023, Tiedemann Wealth Management Holdings)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Class B Common Stock</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Upon the Closing of the Business Combination, the Company issued 55,032,961 shares of Class B Common Stock, par value $0.0001 per share, to the holders of Class B Units. The Class B Common Stock has no economic rights but entitles each holder of at least one such share (regardless of the number of shares so held) to a number of votes that is equal to the aggregate number of Class B Units held by such holders on all matters on which shareholders of the Company are entitled to vote generally.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(21)Subsequent Events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 evaluated events and transactions through and including August 14, 2023, the date these financial statements were available to be issued. Based on management’s evaluation there are no events subsequent to June 30, 2023 that require adjustment to or disclosure in the consolidated financial statements, except as noted below.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July 14, 2023, the Company amended the Holbein purchase agreement related to the Holbein acquisition discussed in Note 5 (Equity-Based Compensation and Earn-in Expenses). The amendment crystallizes the contingent earn-in consideration amount by replacing the valuation of the Holbein Earn-Ins consideration of an estimate of future revenue. Additionally, the first payment date and second payment date are agreed as April 1, 2024 and April 1, 2025, respectively. The agreed upon first and second date payments are $8.3 million and $10.2 million, respectively. The earn-in consideration and compensatory earn-in remain to be issued as approximately 50% of the Company’s Class A Common Stock and 50% cash. The selling shareholders remain required to maintain certain service agreements to receive the compensatory Holbein Earn-ins.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July 18, 2023, the Company entered into non-legally binding heads of terms for the sale of the business and assets of one of the Company’s subsidiaries, Alvarium Investment Managers (UK) LLP. Subject to certain customer and supplier consents, this transaction is expected to close in the second half of 2023 for a total consideration of $0.5 million payable over two years.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August 2, 2023, the Company closed its acquisition of the remaining 70% of the issued share capital of Alvarium Investment Managers (Suisse) SA (“AIMS”). The Company previously owned 30% of the shares in AIMS and equity method accounted for it as an associate. AIMS is an investment manager based in Lugano, Switzerland with approximately $1.3 billion of assets under management as of June 30, 2023. An estimated purchase price of $14.4 million was calculated prior to the closing date and based on a multiple of recurring EBITDA for the period from July 1, 2022 to June 30, 2023. 90% of the purchase price will be payable in cash in three installments, i.e., $5.2 million on closing date, a true up payment of $0.7 million (plus or minus any adjustments to the estimated purchase price) paid within 10 business days of agreeing the final purchase price and a deferred payment of $7.1 million paid on or prior to September 30, 2024. The remaining 10% of the purchase price will be payable in the Company’s shares as soon as reasonably practicable, no later than October 31, 2023. The Company will proceed and complete its accounting for the transaction in the third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 has made restructuring decisions that reflect the Company’s strategic priorities of growing management fee revenue streams that are recurring and increasing profitability. In connection with these restructuring activities, management expects to record certain obligations, including severance, which may be material to the financial statements. These restructuring decisions may also impact the carrying value of intangible assets, including goodwill, which may be material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 FINANCIAL CONDITON AND RESULTS OF OPERATIONS OF ALTI GLOBAL, INC.</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consolidated unaudited financial statements and the related notes included in this Quarterly Report.</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Amounts and percentages presented throughout our discussion and analysis of financial condition and results of operations may reflect rounded results in thousands (unless otherwise indicated) and consequently, totals may not appear to sum.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Our Business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are a multi-disciplinary financial services business, with a diverse array of investment, advisory, and administrative capabilities with which we serve our clients and investors around the globe, and provide value to our shareholders: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manage or advise approximately $68.9 billion in combined assets;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provide holistic solutions for our Wealth Management clients through our full spectrum of Wealth Management services, including discretionary investment management services, non-discretionary investment advisory services, trust services, administration services, and family office services;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structure, arrange, and provide our network of investors with co-investment opportunities in a variety of alternative assets which are either managed intra-group or by carefully selected managers with a proven track record in the relevant asset class;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manage and advise both public and private investment funds;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provide strategic advisory, corporate advisory, brokerage and placement agency services to entrepreneurs, “late stage” companies (particularly in the media, technology and innovation sectors), asset managers, private equity sponsors, and investment funds (both public and private);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invest in and support financial services professionals that we believe have the experience to establish, operate, and/or grow specialist financial services firms.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Our business is global, with approximately 470 professionals operating in 22 cities in 10 countries across three continents.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services that we provide form a complex, but we believe complementary, ecosystem for our target markets of clients, investors, and businesses, many of whom share common interests and goals that we are able to connect and serve. We have an acquisitive strategy for inorganic growth through acquisitions and joint ventures and believe the complementary nature of our services positions us well for organic growth across our business lines. We also believe we are well positioned to capitalize on market trends and dynamics that we see facing our industry and the clients, investors, and businesses we serve.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Fee Structure</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Management/Advisory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fees for our investment advisory services, family office, trust, and related administrative services are structured to align our financial incentives with those of our clients to promote the issuance objective advice in our Wealth Management segment. The majority of our fees are generated from our discretionary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 and are calculated from the value of the assets we manage for our clients. Fee revenues increase as our clients’ assets grow in value, and vice versa.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charge a single asset-based advisory fee based on the size of the asset base and the scope of work for the assets we are responsible for managing. Fees are charged using either an average daily balance or ending balance, quarterly in arrears. Fees, which vary depending upon the level and complexity of client assets, are calculated based on each client’s rate applied to the fair market value of the billable assets or the fund’s underlying net asset value at quarter-end.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AUA consists of all assets we are responsible for overseeing and reporting on, but we do not necessarily charge fees on all such assets. Billable assets represent the portion of our assets on which we charge fees. Non-billable assets are exempt of fees and consist of assets such as cash and cash equivalents in certain agreed upon situations, personally owned real estate, and other designated assets.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also earn management fees in our Asset Management segment through our alternatives platform (compensation for internal fund management and advisory services), public real estate fund management fees, and private real estate recurring fees. The management fees for the alternatives platform are calculated using approximately 0.75% to 1.5% of the net asset value of the funds’ underlying investments. Management fees are normally received in advance each month or quarter.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public real estate strategy, we generate fees from managing and advising real estate investment funds. Our fees from managing and advising these vehicles are contained in management and advisory contracts relating to the relevant fund and are calculated on a sliding scale of percentages of the net asset value or the market capitalization of the relevant fund. As sponsor on private market direct and co-investment transactions, we generate income from debt and equity structures relating to specified real estate investments or investments in other alternative asset classes. </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FOS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FOS fees are generated from our families of sufficient size and complexity that require such services. FOS fees are generally structured to reflect an annual agreed upon fee or they can be structured on a project/time-based fee. FOS fees are typically billed quarterly in arrears. We also generate FOS project/time-based fees arising from accounting, administration fees, set up, FATCA, and other non-investment advisory services. FOS fees are reviewed annually.</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Incentive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Asset Management event-driven strategy and certain accounts within our international Wealth Management business are entitled to receive incentive fees if certain performance returns have been achieved as stipulated in our governing documents. We recognize our incentive fees when it is no longer probable that a significant reversal of revenue will occur. Our incentive fees are not subject to clawback provisions. </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Strategic Advisory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M&amp;A advisory fees account for a majority of the total fees generated by AlTi’s strategic advisory division. These are primarily success-based fees that are typically 1—2.5% of the financial outcome or target achieved. For capital raises, success fees are typically higher in the 3—5% range-in line with market standards. We also generate small retainer fees that are typically retained in the event of cancellation or deducted against success fees. In addition, we may also generate a project fee for certain M&amp;A mandates related to the duration of such transaction. Due to the transactional nature of our strategic advisory division’s services, revenue is non-recurring in nature, although we have several large, longstanding clients, where the relationship spans many years with repeated engagements for services on multiple transactions.</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Other Transaction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also generates arrangement fees in its co-investment division by arranging private debt or equity financing, generally in connection with a real estate acquisition. Arrangement fees range from 0.5% to 1.75% of the equity value contributed into a transaction and are payable upon close of the deal. The Company also generates brokerage fees which are similar to arrangement fees except that they are generally paid for assisting public companies in raising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Market Trends and Business Environment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business is directly and indirectly affected by conditions in the financial markets and economic conditions in the U.S., Europe, and Asia, and to a lesser extent elsewhere in the world. Our business is also sensitive to current and expected short-term rates, as well as the currency markets.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Global equity markets gained in the second quarter of 2023. The S&amp;P increased 8.7% and the MSCI All Country World Index by 3.3% in the quarter. Improved sentiment was supported by market growth, pace of inflation increases slowing, and excitement over artificial intelligence particularly. Foreign markets lagged behind the S&amp;P 500, which resulted from the lack of exposure to this sector, combined with some late-quarter concerns about the EU economy and the pace of Bank of England rate hikes. The lack of significant economic stimulus in China weighed on emerging markets late in the quarter.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Dow Jones, S&amp;P 500, and Nasdaq 100 rose 3.4%, 8.3%, and 15.2%, respectively, from March 31, 2023 to June 30, 2023 as price pressures continued to decline with U.S. Consumer Price Index (“CPI”) increasing to 4.0% in May. U.S. GDP grew at a 2.4% annualized rate in the second quarter, driven by services consumption and business spending. In the labor markets, non-farm payrolls increased by 339,000 in May. The unemployment rate rose slightly to 3.7%, up from 3.5% as of the end of the first quarter.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Europe, the annual Eurozone Harmonised Index of Consumer Prices (“HICP”) fell to 5.5% in June from 6.1% in May, while Core HICP inflation ticked up to 5.4% in June from 5.3% in May. GDP contracted -0.1% in the first quarter of 2023, the second consecutive quarterly decline. In the U.K., the CPI remained unchanged at 8.7% in May while core inflation increased to 7.1%.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fixed income markets posted slightly negative returns in the second quarter as the strong economy, particularly in the U.S., and hopes of a near-term end to rate hikes, led investors to embrace riskier assets. The Barclays Global Aggregate Index decreased by 1.5%, and the Barclays U.S. Aggregate Bond Index declined by 0.38% in the second quarter of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Federal Reserve raised rates by 25 bps at the May Federal Open Market Committee. However, it did not hike rates in June. Markets now anticipate the Federal Reserve to maintain a policy rate in the 5.25% to 5.5% range through the rest of the year. The median dot plot forecast for the end of 2023 was revised higher to 5.6%, with no policymaker anticipating rate cuts. The updated projections, statement and subsequent comment by Federal Reserve officials were interpreted as hawkish by market participants.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Europe, the European Central Bank raised rates in the second quarter, by 25 bps each time, as expected, anticipating further increases ahead. The U.S. Dollar/Euro declined 0.34% in the quarter. In the U.K., the Bank of England raised its key interest rates twice, in May and June. The reacceleration decision resulted from stronger than expected U.K. job market numbers, wage growth and core inflation. The U.S. Dollar/Great Britain Pound gained 1.84% in the quarter.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Company is actively monitoring these events and their effects on the Company's financial condition, liquidity, operations, industry, and workforce.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Recent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 has made restructuring decisions that reflect the Company’s strategic priorities of growing reccurring management fee revenue streams and increasing profitability. In connection with these restructuring activities, management expects to record certain obligations, including severance, which may be material to the financial statements. These restructuring decisions may also impact the carrying value of intangible assets, including goodwill, which may be material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Non-Comparability of Predecessor Period</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Our results for the first quarter of 2022 reflect only the results of TWMH and do not include the results of the TIG Entities, Alvarium, or Cartesian Growth Capital. Therefore, prior period amounts are not comparable to current period. Please see “Results of Operations” and “Reconciliation of Consolidated GAAP Financial Measures to Certain Non-GAAP Measures” for a detailed discussion of the underlying drivers of our results, including the accretive impacts of the Business Combination.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Managing Business Performance and Key Financial Measures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Non-GAAP Financial Measures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use Adjusted Net Income and Adjusted EBITDA as non-GAAP financial measures. Adjusted EBITDA is derived from and reconciled to, but not equivalent to, its most directly comparable GAAP measure of net income (loss). Adjusted Net Income represents net income (loss) before taxes plus (a) equity-settled share-based payments, (b) transaction-related costs, including professional fees, (c) impairment of equity method investments, (d) change in fair value of investment or other financial instruments, (e) onetime bonuses recorded in the statement of operations, (f) compensation expense related to the earn-in of certain variable interest entities, and (g) adjusted income tax expense. Adjusted EBITDA represents adjusted net income plus (a) interest expense, net, (b) income tax expense, (c) adjusted income tax expense less income tax expense, and (d) depreciation and amortization expense.</w:t>
      </w:r>
    </w:p>
    <w:p>
      <w:pPr>
        <w:pStyle w:val="TextBody"/>
        <w:bidi w:val="0"/>
        <w:spacing w:lineRule="auto" w:line="288" w:before="200" w:after="283"/>
        <w:jc w:val="both"/>
        <w:rPr/>
      </w:pPr>
      <w:r>
        <w:rPr>
          <w:rFonts w:ascii="Times New Roman;sans-serif" w:hAnsi="Times New Roman;sans-serif"/>
          <w:b w:val="false"/>
          <w:color w:val="000000"/>
          <w:sz w:val="22"/>
        </w:rPr>
        <w:t>We use Adjusted Net Income and Adjusted EBITDA as a</w:t>
      </w:r>
      <w:r>
        <w:rPr>
          <w:color w:val="000000"/>
          <w:shd w:fill="FFFFFF" w:val="clear"/>
        </w:rPr>
        <w:t xml:space="preserve"> </w:t>
      </w:r>
      <w:r>
        <w:rPr>
          <w:rFonts w:ascii="Times New Roman;sans-serif" w:hAnsi="Times New Roman;sans-serif"/>
          <w:b w:val="false"/>
          <w:color w:val="000000"/>
          <w:sz w:val="22"/>
          <w:shd w:fill="FFFFFF" w:val="clear"/>
        </w:rPr>
        <w:t>non-US GAAP measure to track our performance and assess our ability to service our borrowings. These non-US GAAP</w:t>
      </w:r>
      <w:r>
        <w:rPr>
          <w:color w:val="000000"/>
        </w:rPr>
        <w:t xml:space="preserve"> </w:t>
      </w:r>
      <w:r>
        <w:rPr>
          <w:rFonts w:ascii="Times New Roman;sans-serif" w:hAnsi="Times New Roman;sans-serif"/>
          <w:b w:val="false"/>
          <w:color w:val="000000"/>
          <w:sz w:val="22"/>
        </w:rPr>
        <w:t>financial measures supplement and should be considered in addition to and not in lieu of, the results of operations, which are discussed further under “Components of Consolidated Results of Income” and are prepared in accordance with US GAAP. For the specific components and calculations of these non-GAAP measures, as well as a reconciliation of these measures to the most comparable measure in accordance with GAAP, see “Reconciliation of Consolidated GAAP Financial Measures to Certain Non-GAAP Measures.”</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present the non-US GAAP financial measures for the periods indicated:</w:t>
      </w:r>
    </w:p>
    <w:tbl>
      <w:tblPr>
        <w:tblW w:w="10205" w:type="dxa"/>
        <w:jc w:val="left"/>
        <w:tblInd w:w="0" w:type="dxa"/>
        <w:tblLayout w:type="fixed"/>
        <w:tblCellMar>
          <w:top w:w="28" w:type="dxa"/>
          <w:left w:w="28" w:type="dxa"/>
          <w:bottom w:w="28" w:type="dxa"/>
          <w:right w:w="28" w:type="dxa"/>
        </w:tblCellMar>
      </w:tblPr>
      <w:tblGrid>
        <w:gridCol w:w="1557"/>
        <w:gridCol w:w="1226"/>
        <w:gridCol w:w="1102"/>
        <w:gridCol w:w="347"/>
        <w:gridCol w:w="1271"/>
        <w:gridCol w:w="167"/>
        <w:gridCol w:w="109"/>
        <w:gridCol w:w="109"/>
        <w:gridCol w:w="109"/>
        <w:gridCol w:w="368"/>
        <w:gridCol w:w="1349"/>
        <w:gridCol w:w="180"/>
        <w:gridCol w:w="109"/>
        <w:gridCol w:w="109"/>
        <w:gridCol w:w="109"/>
        <w:gridCol w:w="369"/>
        <w:gridCol w:w="1356"/>
        <w:gridCol w:w="259"/>
      </w:tblGrid>
      <w:tr>
        <w:trPr/>
        <w:tc>
          <w:tcPr>
            <w:tcW w:w="155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Favorable (Unfavorable)</w:t>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April 1, 2023 – June 30, </w:t>
              <w:br/>
              <w:t>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April 1, 2022 – June 30, </w:t>
              <w:br/>
              <w:t>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Change</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Revenues</w:t>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47,440 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18,892 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28,548 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Incentive fees</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from investments</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2,203 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income/fees</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1,769 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Revenues</w:t>
            </w:r>
          </w:p>
        </w:tc>
        <w:tc>
          <w:tcPr>
            <w:tcW w:w="1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51,881 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18,892 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32,989 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income</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29,446 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28,534 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expense</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3,371 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3,266 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Taxes</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(15,446)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(15,556)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Depreciation &amp; Amortization</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3,655 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3,058 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EBITDA Reported</w:t>
            </w:r>
          </w:p>
        </w:tc>
        <w:tc>
          <w:tcPr>
            <w:tcW w:w="1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21,026 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1,724 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19,302 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 based compensation (a)</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1,967 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 based compensation - LTIP (b)</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Transaction expenses (c)</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11,880 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10,780 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warrant liability (d)</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(gains)/losses on investments (e)</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3,087 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earn-out liability (f)</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(66,083)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(66,083)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Organization streamlining cost (g)</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3,199 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Impairment (non-cash) (h)</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31,535 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31,535 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(Gains)/Losses on EMI/Carried Interest (non-cash) (i)</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2,671 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EMI Adjustments (Interest, Depreciation, Taxes &amp; Amortization) (j)</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942 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Holbein compensatory earn-in (k)</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TWMH partners' payout rights (l)</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TIH share purchase - extinguishment of debt (m)</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Adjusted EBITDA</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11,073 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4,113 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6,960 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1"/>
        <w:gridCol w:w="1177"/>
        <w:gridCol w:w="1044"/>
        <w:gridCol w:w="365"/>
        <w:gridCol w:w="1336"/>
        <w:gridCol w:w="176"/>
        <w:gridCol w:w="109"/>
        <w:gridCol w:w="109"/>
        <w:gridCol w:w="109"/>
        <w:gridCol w:w="387"/>
        <w:gridCol w:w="1418"/>
        <w:gridCol w:w="189"/>
        <w:gridCol w:w="109"/>
        <w:gridCol w:w="109"/>
        <w:gridCol w:w="109"/>
        <w:gridCol w:w="362"/>
        <w:gridCol w:w="1331"/>
        <w:gridCol w:w="255"/>
      </w:tblGrid>
      <w:tr>
        <w:trPr/>
        <w:tc>
          <w:tcPr>
            <w:tcW w:w="151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Favorable (Unfavorable)</w:t>
            </w:r>
          </w:p>
        </w:tc>
      </w:tr>
      <w:tr>
        <w:trPr/>
        <w:tc>
          <w:tcPr>
            <w:tcW w:w="37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1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January 3, 2023 – June 30, </w:t>
              <w:br/>
              <w:t>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January 1, 2022 – June 30, </w:t>
              <w:br/>
              <w:t>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Change</w:t>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Revenues</w:t>
            </w:r>
          </w:p>
        </w:tc>
        <w:tc>
          <w:tcPr>
            <w:tcW w:w="1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w:t>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93,910 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38,862 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55,048 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Incentive fees</w:t>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from investments</w:t>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12,233 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12,233 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income/fees</w:t>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2,739 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Revenues</w:t>
            </w:r>
          </w:p>
        </w:tc>
        <w:tc>
          <w:tcPr>
            <w:tcW w:w="1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109,928 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38,862 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71,066 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income</w:t>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(60,844)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1,798 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(62,642)</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expense</w:t>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6,453 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Taxes</w:t>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(10,796)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(11,099)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Depreciation &amp; Amortization</w:t>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8,172 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1,207 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6,965 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EBITDA Reported</w:t>
            </w:r>
          </w:p>
        </w:tc>
        <w:tc>
          <w:tcPr>
            <w:tcW w:w="1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(56,836)</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3,487 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(60,323)</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 based compensation (a)</w:t>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8,762 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6,837 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 based compensation - LTIP (b)</w:t>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24,697 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24,697 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Transaction expenses (c)</w:t>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29,653 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27,693 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warrant liability (d)</w:t>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12,866 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12,866 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(gains)/losses on investments (e)</w:t>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earn-out liability (f)</w:t>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(36,877)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(36,877)</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Organization streamlining cost (g)</w:t>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4,266 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Impairment (non-cash) (h)</w:t>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31,535 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31,535 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(Gains)/Losses on EMI/Carried Interest (non-cash) (i)</w:t>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2,671 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EMI Adjustments (Interest, Depreciation, Taxes &amp; Amortization) (j)</w:t>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942 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Holbein compensatory earn-in (k)</w:t>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(742)</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TWMH partners’ payout rights (l)</w:t>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(183)</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TIH share purchase - extinguishment of debt (m)</w:t>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Adjusted EBITDA</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21,908 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8,784 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13,124 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(a)Add-back of non-cash expense related to 2019, 2020 and 2021 restricted unit awards.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(b)Add-back of non-cash expense related to Long Term Incentive Plan (“LTIP”) awards.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(c)Add-back of transaction expenses related to the Business Combination, including professional fees.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(d)Represents the change in fair value of the warrant liability.</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(e)Represents the change in unrealized gains/losses related primarily Investments held at fair value (Successor) and changes in fair value to the interest rate swap (Predecessor).</w:t>
      </w:r>
    </w:p>
    <w:p>
      <w:pPr>
        <w:pStyle w:val="TextBody"/>
        <w:bidi w:val="0"/>
        <w:spacing w:lineRule="auto" w:line="288" w:before="0" w:after="0"/>
        <w:ind w:left="0" w:right="0" w:hanging="360"/>
        <w:jc w:val="both"/>
        <w:rPr/>
      </w:pPr>
      <w:r>
        <w:rPr>
          <w:rFonts w:ascii="Times New Roman;sans-serif" w:hAnsi="Times New Roman;sans-serif"/>
          <w:b w:val="false"/>
          <w:color w:val="000000"/>
          <w:sz w:val="22"/>
          <w:shd w:fill="FFFFFF" w:val="clear"/>
        </w:rPr>
        <w:t>(f)</w:t>
      </w:r>
      <w:r>
        <w:rPr>
          <w:rFonts w:ascii="Times New Roman;sans-serif" w:hAnsi="Times New Roman;sans-serif"/>
          <w:b w:val="false"/>
          <w:color w:val="000000"/>
          <w:sz w:val="22"/>
        </w:rPr>
        <w:t>Represents the change in fair value of the earn-out liability.</w:t>
      </w:r>
    </w:p>
    <w:p>
      <w:pPr>
        <w:pStyle w:val="TextBody"/>
        <w:bidi w:val="0"/>
        <w:spacing w:lineRule="auto" w:line="288" w:before="0" w:after="0"/>
        <w:ind w:left="0" w:right="0" w:hanging="36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(g)Represents cost to implement organization change to derive cost synergy.</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(h)Represents impairment of intangible asset associated with the deconsolidation of AHRA $29.4 million and impairment of carried interest/equity method investments $2.1 million.</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(i)Represents the amortization of the step-up in equity method investments.</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(j)Represents reported interest, depreciation, amortization, and tax adjustments of the Company's Equity Method Investments.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(k)Add-back of cash portion of the compensatory earn-ins related to the Holbein acquisition as discussed in Note 5, “Equity-Based Compensation.” The $0.8 million of compensatory earn-ins is settled in 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605" cy="14605"/>
                <wp:effectExtent l="0" t="0" r="0" b="0"/>
                <wp:wrapNone/>
                <wp:docPr id="67" name="Frame6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equity and 50% cash. Add back of equity portion of compensatory earn-ins of $0.4 million is included in the equity settled share-based payments combined EBITDA adjustment.</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(l)Represents the change in the TWMH Partner’s payout related to the Business Combination.</w: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(m)Represents forgiveness of a promissory note of a certain shareholder of TIH upon the sale of his shares in TIH to TWMH</w:t>
      </w:r>
      <w:r>
        <w:rPr>
          <w:rFonts w:ascii="Calibri;sans-serif" w:hAnsi="Calibri;sans-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Operating Metrics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monitor certain operating metrics that are common to the wealth and asset management industry, which are discussed below.</w:t>
      </w:r>
    </w:p>
    <w:tbl>
      <w:tblPr>
        <w:tblW w:w="4191" w:type="dxa"/>
        <w:jc w:val="left"/>
        <w:tblInd w:w="0" w:type="dxa"/>
        <w:tblLayout w:type="fixed"/>
        <w:tblCellMar>
          <w:top w:w="28" w:type="dxa"/>
          <w:left w:w="28" w:type="dxa"/>
          <w:bottom w:w="28" w:type="dxa"/>
          <w:right w:w="28" w:type="dxa"/>
        </w:tblCellMar>
      </w:tblPr>
      <w:tblGrid>
        <w:gridCol w:w="685"/>
        <w:gridCol w:w="602"/>
        <w:gridCol w:w="603"/>
        <w:gridCol w:w="187"/>
        <w:gridCol w:w="187"/>
        <w:gridCol w:w="187"/>
        <w:gridCol w:w="509"/>
        <w:gridCol w:w="509"/>
        <w:gridCol w:w="722"/>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4191" w:type="dxa"/>
            <w:gridSpan w:val="9"/>
            <w:tcBorders>
              <w:top w:val="single" w:sz="8" w:space="0" w:color="000000"/>
              <w:left w:val="single" w:sz="8" w:space="0" w:color="000000"/>
              <w:right w:val="single" w:sz="8" w:space="0" w:color="000000"/>
            </w:tcBorders>
            <w:shd w:fill="2F5496" w:val="clear"/>
            <w:tcMar>
              <w:top w:w="30" w:type="dxa"/>
              <w:bottom w:w="0" w:type="dxa"/>
            </w:tcMar>
            <w:vAlign w:val="center"/>
          </w:tcPr>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AlTi Global, LLC</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AUM: $37.6 billion</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AUA: $68.9 billion</w:t>
            </w:r>
          </w:p>
        </w:tc>
      </w:tr>
      <w:tr>
        <w:trPr/>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left w:val="single" w:sz="8" w:space="0" w:color="000000"/>
              <w:bottom w:val="single" w:sz="8" w:space="0" w:color="000000"/>
            </w:tcBorders>
            <w:shd w:fill="7B7B7B" w:val="clear"/>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Wealth Management</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AUM: $32.8 billion</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AUA: $48.6 billion</w:t>
            </w:r>
          </w:p>
        </w:tc>
        <w:tc>
          <w:tcPr>
            <w:tcW w:w="56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left w:val="single" w:sz="8" w:space="0" w:color="000000"/>
              <w:bottom w:val="single" w:sz="8" w:space="0" w:color="000000"/>
              <w:right w:val="single" w:sz="8" w:space="0" w:color="000000"/>
            </w:tcBorders>
            <w:shd w:fill="538135" w:val="clear"/>
            <w:tcMar>
              <w:top w:w="30" w:type="dxa"/>
              <w:bottom w:w="30" w:type="dxa"/>
            </w:tcMar>
            <w:vAlign w:val="center"/>
          </w:tcPr>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Asset Management</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AUM: $4.8 billion</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AUA: $20.3 billion</w:t>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0" w:after="0"/>
        <w:jc w:val="both"/>
        <w:rPr>
          <w:rFonts w:ascii="Times New Roman;sans-serif" w:hAnsi="Times New Roman;sans-serif"/>
          <w:b/>
          <w:color w:val="000000"/>
          <w:sz w:val="22"/>
        </w:rPr>
      </w:pPr>
      <w:r>
        <w:rPr>
          <w:rFonts w:ascii="Times New Roman;sans-serif" w:hAnsi="Times New Roman;sans-serif"/>
          <w:b/>
          <w:color w:val="000000"/>
          <w:sz w:val="22"/>
        </w:rPr>
        <w:t>Wealth Management - AUM</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of fees) in our AUM calculation (e.g., we have agreements 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and may differ from the calculation methodologies of other wealth managers and, as a result, this measure may not be comparable to similar measures presented by other wealth managers.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change in our total AUM for our Wealth Management segment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4"/>
        <w:gridCol w:w="569"/>
        <w:gridCol w:w="480"/>
        <w:gridCol w:w="354"/>
        <w:gridCol w:w="1294"/>
        <w:gridCol w:w="170"/>
        <w:gridCol w:w="109"/>
        <w:gridCol w:w="109"/>
        <w:gridCol w:w="109"/>
        <w:gridCol w:w="355"/>
        <w:gridCol w:w="1302"/>
        <w:gridCol w:w="174"/>
        <w:gridCol w:w="109"/>
        <w:gridCol w:w="109"/>
        <w:gridCol w:w="109"/>
        <w:gridCol w:w="377"/>
        <w:gridCol w:w="1380"/>
        <w:gridCol w:w="181"/>
        <w:gridCol w:w="109"/>
        <w:gridCol w:w="109"/>
        <w:gridCol w:w="109"/>
        <w:gridCol w:w="334"/>
        <w:gridCol w:w="1225"/>
        <w:gridCol w:w="235"/>
      </w:tblGrid>
      <w:tr>
        <w:trPr/>
        <w:tc>
          <w:tcPr>
            <w:tcW w:w="7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3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Period</w:t>
            </w:r>
          </w:p>
        </w:tc>
      </w:tr>
      <w:tr>
        <w:trPr/>
        <w:tc>
          <w:tcPr>
            <w:tcW w:w="18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AUM</w:t>
            </w:r>
          </w:p>
        </w:tc>
        <w:tc>
          <w:tcPr>
            <w:tcW w:w="1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2023 – June 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2022 – June 30, 2022 </w:t>
              <w:br/>
              <w:t>(Predecessor)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June 30, </w:t>
              <w:br/>
              <w:t>2022 (Predecessor)</w:t>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Beginning Balance:</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30,408 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21,623 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27,961 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21,390 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Clients, net</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954 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Flow, net</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(260)</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Market Performance, net</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(3,036)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1,848 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(4,019)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Acquisitions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840 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Ending Balance:</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32,774 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18,905 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32,774 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18,905 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Average AUM</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31,591 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20,264 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30,368 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20,148 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color w:val="000000"/>
          <w:sz w:val="22"/>
        </w:rPr>
      </w:pPr>
      <w:r>
        <w:rPr>
          <w:rFonts w:ascii="Times New Roman;sans-serif" w:hAnsi="Times New Roman;sans-serif"/>
          <w:b/>
          <w:color w:val="000000"/>
          <w:sz w:val="22"/>
        </w:rPr>
        <w:t>Wealth Management - AUA</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AUA includes all assets we manage as defined above, oversee, and report on. We view AUA as a core metric to measure our investment and fundraising performance as it includes non-financial assets (e.g., real estate) that are not included in AUM, investment consulting assets (not included in AUM but revenue generating) and other assets that we do not charge fees upon and do not have responsibility for investment execution responsibility,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but the reporting of which is valued by our clients. AUA includes the value of all assets 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 managers.</w:t>
      </w:r>
    </w:p>
    <w:p>
      <w:pPr>
        <w:pStyle w:val="TextBody"/>
        <w:bidi w:val="0"/>
        <w:spacing w:lineRule="auto" w:line="247"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change in our total AUA for our Wealth Management segment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67"/>
        <w:gridCol w:w="469"/>
        <w:gridCol w:w="459"/>
        <w:gridCol w:w="381"/>
        <w:gridCol w:w="1396"/>
        <w:gridCol w:w="183"/>
        <w:gridCol w:w="109"/>
        <w:gridCol w:w="109"/>
        <w:gridCol w:w="109"/>
        <w:gridCol w:w="382"/>
        <w:gridCol w:w="1402"/>
        <w:gridCol w:w="187"/>
        <w:gridCol w:w="410"/>
        <w:gridCol w:w="1501"/>
        <w:gridCol w:w="197"/>
        <w:gridCol w:w="109"/>
        <w:gridCol w:w="109"/>
        <w:gridCol w:w="109"/>
        <w:gridCol w:w="356"/>
        <w:gridCol w:w="1309"/>
        <w:gridCol w:w="252"/>
      </w:tblGrid>
      <w:tr>
        <w:trPr/>
        <w:tc>
          <w:tcPr>
            <w:tcW w:w="6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42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c>
          <w:tcPr>
            <w:tcW w:w="43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1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AUA</w:t>
            </w:r>
          </w:p>
        </w:tc>
        <w:tc>
          <w:tcPr>
            <w:tcW w:w="1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2023 – June 30, 2023 </w:t>
              <w:b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2022 – June 30, 2022 </w:t>
              <w:br/>
              <w:t>(Predecessor)</w:t>
            </w:r>
          </w:p>
        </w:tc>
        <w:tc>
          <w:tcPr>
            <w:tcW w:w="2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30, 2023 </w:t>
              <w:b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June 30, </w:t>
              <w:br/>
              <w:t>2022 (Predecessor)</w:t>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Beginning Balance:</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45,623 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32,168 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42,541 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27,558 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w:t>
            </w:r>
          </w:p>
        </w:tc>
        <w:tc>
          <w:tcPr>
            <w:tcW w:w="1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2,972 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(3,398)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6,054 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1,212 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Ending Balance:</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48,595 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28,770 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48,595 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28,770 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Average AUA</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47,109 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30,469 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45,568 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28,164 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color w:val="000000"/>
          <w:sz w:val="22"/>
        </w:rPr>
      </w:pPr>
      <w:r>
        <w:rPr>
          <w:rFonts w:ascii="Times New Roman;sans-serif" w:hAnsi="Times New Roman;sans-serif"/>
          <w:b/>
          <w:color w:val="000000"/>
          <w:sz w:val="22"/>
        </w:rPr>
        <w:t>Asset Management - AUM/AUA</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Asset Management AUM includes assets managed in public (LXi REIT plc, “LXi”) and private (Home Long Income Fund, “HLIF”) real estate investment funds ($2.2 billion) from which we generate fee revenue. The Company’s reported value of these assets are either of net asset value (in the case of HLIF) or the market capitalization (in the case of LXi). The AUM calculation also includes the Alternatives platform strategy. AUM in this strategy refers to assets on which the Company provides continuous and regular billable management services as a function of their TIG Arbitrage strategy ($2.6 billion).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our co-investment real estate strategy, we include the value of our private market direct and co-investment real estate investments in our AUA ($10.1 billion). The AUA of our alternatives platform additionally includes the value of the assets managed by TIG’s External Strategic Managers in the strategies of Real Estate Bridge Lending, European Long/Short Equity and Asian Credit ($5.3 billion total).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tables below present the change in our total AUM/AUA by strategy and product for our alternatives platform for the periods indicated: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Alternatives Platform</w:t>
      </w:r>
    </w:p>
    <w:tbl>
      <w:tblPr>
        <w:tblW w:w="10205" w:type="dxa"/>
        <w:jc w:val="left"/>
        <w:tblInd w:w="0" w:type="dxa"/>
        <w:tblLayout w:type="fixed"/>
        <w:tblCellMar>
          <w:top w:w="28" w:type="dxa"/>
          <w:left w:w="28" w:type="dxa"/>
          <w:bottom w:w="28" w:type="dxa"/>
          <w:right w:w="28" w:type="dxa"/>
        </w:tblCellMar>
      </w:tblPr>
      <w:tblGrid>
        <w:gridCol w:w="503"/>
        <w:gridCol w:w="372"/>
        <w:gridCol w:w="373"/>
        <w:gridCol w:w="263"/>
        <w:gridCol w:w="747"/>
        <w:gridCol w:w="146"/>
        <w:gridCol w:w="349"/>
        <w:gridCol w:w="617"/>
        <w:gridCol w:w="195"/>
        <w:gridCol w:w="287"/>
        <w:gridCol w:w="597"/>
        <w:gridCol w:w="162"/>
        <w:gridCol w:w="287"/>
        <w:gridCol w:w="618"/>
        <w:gridCol w:w="161"/>
        <w:gridCol w:w="274"/>
        <w:gridCol w:w="609"/>
        <w:gridCol w:w="153"/>
        <w:gridCol w:w="311"/>
        <w:gridCol w:w="550"/>
        <w:gridCol w:w="175"/>
        <w:gridCol w:w="313"/>
        <w:gridCol w:w="889"/>
        <w:gridCol w:w="174"/>
        <w:gridCol w:w="232"/>
        <w:gridCol w:w="658"/>
        <w:gridCol w:w="190"/>
      </w:tblGrid>
      <w:tr>
        <w:trPr/>
        <w:tc>
          <w:tcPr>
            <w:tcW w:w="50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2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AUM/AUA at April 1, 2023</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Appreciation</w:t>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New Investments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Redemptions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1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AUM/AUA at June 30, 2023 (Successor)</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AUM/AUA</w:t>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TIG Arbitrage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External Strategic Managers: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Bridge Lending Strategy</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European Equities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Asian Credit and Special Situation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External Strategic Managers Subtotal</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7,941 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7"/>
        <w:gridCol w:w="366"/>
        <w:gridCol w:w="368"/>
        <w:gridCol w:w="273"/>
        <w:gridCol w:w="777"/>
        <w:gridCol w:w="152"/>
        <w:gridCol w:w="355"/>
        <w:gridCol w:w="601"/>
        <w:gridCol w:w="200"/>
        <w:gridCol w:w="286"/>
        <w:gridCol w:w="595"/>
        <w:gridCol w:w="161"/>
        <w:gridCol w:w="287"/>
        <w:gridCol w:w="618"/>
        <w:gridCol w:w="161"/>
        <w:gridCol w:w="231"/>
        <w:gridCol w:w="675"/>
        <w:gridCol w:w="130"/>
        <w:gridCol w:w="311"/>
        <w:gridCol w:w="550"/>
        <w:gridCol w:w="175"/>
        <w:gridCol w:w="309"/>
        <w:gridCol w:w="878"/>
        <w:gridCol w:w="172"/>
        <w:gridCol w:w="230"/>
        <w:gridCol w:w="655"/>
        <w:gridCol w:w="192"/>
      </w:tblGrid>
      <w:tr>
        <w:trPr/>
        <w:tc>
          <w:tcPr>
            <w:tcW w:w="49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Millions)</w:t>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AUM/AUA at January 3, 2023</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Appreciation</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New Investments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Redemptions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1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AUM/AUA at June 30, 2023 (Successor)</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AUM/AUA</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TIG Arbitrage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External Strategic Managers: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Bridge Lending Strategy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European Equities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Asian Credit and Special Situation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External Strategic Managers Subtotal</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5,313 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8,126 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table below presents the change in our total AUM/AUA for our Real Estate - Public and Private funds for our Asset Management segment for the periods indicated: </w:t>
      </w:r>
    </w:p>
    <w:p>
      <w:pPr>
        <w:pStyle w:val="TextBody"/>
        <w:bidi w:val="0"/>
        <w:spacing w:before="0" w:after="0"/>
        <w:jc w:val="left"/>
        <w:rPr/>
      </w:pPr>
      <w:r>
        <w:rPr/>
      </w:r>
    </w:p>
    <w:tbl>
      <w:tblPr>
        <w:tblW w:w="9318" w:type="dxa"/>
        <w:jc w:val="left"/>
        <w:tblInd w:w="0" w:type="dxa"/>
        <w:tblLayout w:type="fixed"/>
        <w:tblCellMar>
          <w:top w:w="28" w:type="dxa"/>
          <w:left w:w="28" w:type="dxa"/>
          <w:bottom w:w="28" w:type="dxa"/>
          <w:right w:w="28" w:type="dxa"/>
        </w:tblCellMar>
      </w:tblPr>
      <w:tblGrid>
        <w:gridCol w:w="1511"/>
        <w:gridCol w:w="1330"/>
        <w:gridCol w:w="1343"/>
        <w:gridCol w:w="420"/>
        <w:gridCol w:w="1537"/>
        <w:gridCol w:w="202"/>
        <w:gridCol w:w="109"/>
        <w:gridCol w:w="109"/>
        <w:gridCol w:w="109"/>
        <w:gridCol w:w="464"/>
        <w:gridCol w:w="1697"/>
        <w:gridCol w:w="224"/>
        <w:gridCol w:w="109"/>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Period</w:t>
            </w:r>
          </w:p>
        </w:tc>
        <w:tc>
          <w:tcPr>
            <w:tcW w:w="263" w:type="dxa"/>
            <w:gridSpan w:val="2"/>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April 1, – June 30,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January 3 – June 30, </w:t>
              <w:br/>
              <w:t>2023 (Successor)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Beginning Balance:</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12,822 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14,130 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w:t>
            </w:r>
          </w:p>
        </w:tc>
        <w:tc>
          <w:tcPr>
            <w:tcW w:w="1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(1,775)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AUM/AUA at June 30, 2023 (Successor)*</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12,355 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12,355 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Average AUM/AUA</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12,589 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13,243 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 AUA is reported with a one quarter lag for HLIF as management fees are billed on that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Components of Consolidated Results of Income</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Management/Advisory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net asset value. For those assets for which valuations are not available on a daily basis, the most recent valuation provided to the Company is used as the fair value for the purpose of calculating the quarterly fee.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Incentive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Distributions from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equity interests in three entities pursuant to which it is entitled to distributions based on the terms of the respective arrangements. Distributions from each investment will be recorded upon receipt of the distribution. The Company receives distributions from our External Strategic Managers through our profit or revenue sharing arrangements that are generated through their management and incentive fees based on performance of the underlying investments.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Other Fees and Income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generates fees for advising on capital markets transactions such as mergers and acquisitions and capital raising as part of its strategic advisory division. Merchant banking fees are primarily success-based fees that are typically a percentage of the financial outcome or target achieved in the merger, acquisition, or capital raising. Additionally, the Company occasionally receives upfront non-refundable retainer fees to provide future services to clients.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generates arrangement fees in its co-investment division by arranging private debt or equity financing, generally in connection with an acquisition. Arrangement fees range from 0.5% to 1.75% of the equity value contributed into a transaction and are payable upon close of the deal. The Company also generates brokerage fees which are similar to arrangement fees except that they are generally paid for assisting public companies in raising capital.</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lineRule="auto" w:line="288" w:before="200" w:after="283"/>
        <w:jc w:val="both"/>
        <w:rPr/>
      </w:pPr>
      <w:r>
        <w:rPr>
          <w:rFonts w:ascii="Times New Roman;sans-serif" w:hAnsi="Times New Roman;sans-serif"/>
          <w:b w:val="false"/>
          <w:i/>
          <w:color w:val="000000"/>
          <w:sz w:val="22"/>
        </w:rPr>
        <w:t xml:space="preserve">Compensation and Employee Benefits: </w:t>
      </w:r>
      <w:r>
        <w:rPr>
          <w:rFonts w:ascii="Times New Roman;sans-serif" w:hAnsi="Times New Roman;sans-serif"/>
          <w:b w:val="false"/>
          <w:color w:val="000000"/>
          <w:sz w:val="22"/>
        </w:rPr>
        <w:t>Compensation generally includes salaries, bonuses, other performance-based compensation such as commissions, long-term deferral programs, benefits, and payroll taxes. Compensation is accrued over the related service period and long-term deferral program awards are paid out based on the various vesting dates.</w:t>
      </w:r>
    </w:p>
    <w:p>
      <w:pPr>
        <w:pStyle w:val="TextBody"/>
        <w:bidi w:val="0"/>
        <w:spacing w:lineRule="auto" w:line="288" w:before="200" w:after="283"/>
        <w:jc w:val="both"/>
        <w:rPr/>
      </w:pPr>
      <w:r>
        <w:rPr>
          <w:rFonts w:ascii="Times New Roman;sans-serif" w:hAnsi="Times New Roman;sans-serif"/>
          <w:b w:val="false"/>
          <w:i/>
          <w:color w:val="000000"/>
          <w:sz w:val="22"/>
        </w:rPr>
        <w:t xml:space="preserve">General, Administrative and Other Expenses: </w:t>
      </w:r>
      <w:r>
        <w:rPr>
          <w:rFonts w:ascii="Times New Roman;sans-serif" w:hAnsi="Times New Roman;sans-serif"/>
          <w:b w:val="false"/>
          <w:color w:val="000000"/>
          <w:sz w:val="22"/>
        </w:rPr>
        <w:t xml:space="preserve">General, administrative and other expenses include costs primarily related to professional services, occupancy, travel, communication and information services, distribution costs, and other general operating items. </w:t>
      </w:r>
    </w:p>
    <w:p>
      <w:pPr>
        <w:pStyle w:val="TextBody"/>
        <w:bidi w:val="0"/>
        <w:spacing w:lineRule="auto" w:line="288" w:before="200" w:after="283"/>
        <w:jc w:val="both"/>
        <w:rPr/>
      </w:pPr>
      <w:r>
        <w:rPr>
          <w:rFonts w:ascii="Times New Roman;sans-serif" w:hAnsi="Times New Roman;sans-serif"/>
          <w:b w:val="false"/>
          <w:i/>
          <w:color w:val="000000"/>
          <w:sz w:val="22"/>
        </w:rPr>
        <w:t xml:space="preserve">Depreciation and Amortization Expenses: </w:t>
      </w:r>
      <w:r>
        <w:rPr>
          <w:rFonts w:ascii="Times New Roman;sans-serif" w:hAnsi="Times New Roman;sans-serif"/>
          <w:b w:val="false"/>
          <w:color w:val="000000"/>
          <w:sz w:val="22"/>
        </w:rPr>
        <w:t>Fixed assets are depreciated or amortized on a straight-line basis, with the corresponding depreciation and amortization expense included within depreciation and amortization in the Company’s Condensed Consolidated Statement of Operations. The estimated useful life for leasehold improvements is the lesser of the remaining lease term or the life of the asset, while other fixed assets are generally depreciated over a period of three to fifteen years.</w:t>
      </w:r>
    </w:p>
    <w:p>
      <w:pPr>
        <w:pStyle w:val="TextBody"/>
        <w:bidi w:val="0"/>
        <w:spacing w:lineRule="auto" w:line="288" w:before="200" w:after="283"/>
        <w:jc w:val="both"/>
        <w:rPr/>
      </w:pPr>
      <w:r>
        <w:rPr>
          <w:rFonts w:ascii="Times New Roman;sans-serif" w:hAnsi="Times New Roman;sans-serif"/>
          <w:b w:val="false"/>
          <w:i/>
          <w:color w:val="000000"/>
          <w:sz w:val="22"/>
        </w:rPr>
        <w:t xml:space="preserve">Interest Expense: </w:t>
      </w:r>
      <w:r>
        <w:rPr>
          <w:rFonts w:ascii="Times New Roman;sans-serif" w:hAnsi="Times New Roman;sans-serif"/>
          <w:b w:val="false"/>
          <w:color w:val="000000"/>
          <w:sz w:val="22"/>
          <w:shd w:fill="FFFFFF" w:val="clear"/>
        </w:rPr>
        <w:t>I</w:t>
      </w:r>
      <w:r>
        <w:rPr>
          <w:rFonts w:ascii="Times New Roman;sans-serif" w:hAnsi="Times New Roman;sans-serif"/>
          <w:b w:val="false"/>
          <w:color w:val="000000"/>
          <w:sz w:val="22"/>
        </w:rPr>
        <w:t>nterest expense consists of the interest expense on our outstanding debt, amortization of deferred financing costs, and amortization of original issue discount.</w:t>
      </w:r>
    </w:p>
    <w:p>
      <w:pPr>
        <w:pStyle w:val="TextBody"/>
        <w:bidi w:val="0"/>
        <w:spacing w:lineRule="auto" w:line="288" w:before="200" w:after="283"/>
        <w:jc w:val="both"/>
        <w:rPr/>
      </w:pPr>
      <w:r>
        <w:rPr>
          <w:rFonts w:ascii="Times New Roman;sans-serif" w:hAnsi="Times New Roman;sans-serif"/>
          <w:b w:val="false"/>
          <w:i/>
          <w:color w:val="000000"/>
          <w:sz w:val="22"/>
        </w:rPr>
        <w:t xml:space="preserve">Income Tax Expense: </w:t>
      </w:r>
      <w:r>
        <w:rPr>
          <w:rFonts w:ascii="Times New Roman;sans-serif" w:hAnsi="Times New Roman;sans-serif"/>
          <w:b w:val="false"/>
          <w:color w:val="000000"/>
          <w:sz w:val="22"/>
        </w:rPr>
        <w:t>Income tax expense consists of taxes paid or payable by our consolidated operating subsidiaries. Certain of our subsidiaries are treated as flow-through entities for federal income tax purposes and, accordingly, are not subject to federal and state income taxes, as such taxes are the responsibility of certain direct and indirect owners of the flow-through entities. However, the flow-through entities are subjected to unincorporated business tax (“UBT”) and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As a result of the Business Combination, the previous year figures are not comparable to current year amounts as prior year figures only include the results of operations of Tiedemann Wealth Management Holdings, LLC. </w:t>
      </w:r>
    </w:p>
    <w:p>
      <w:pPr>
        <w:pStyle w:val="TextBody"/>
        <w:bidi w:val="0"/>
        <w:spacing w:lineRule="auto" w:line="256" w:before="200" w:after="283"/>
        <w:jc w:val="both"/>
        <w:rPr>
          <w:rFonts w:ascii="Times New Roman;sans-serif" w:hAnsi="Times New Roman;sans-serif"/>
          <w:b/>
          <w:color w:val="000000"/>
          <w:sz w:val="22"/>
        </w:rPr>
      </w:pPr>
      <w:r>
        <w:rPr>
          <w:rFonts w:ascii="Times New Roman;sans-serif" w:hAnsi="Times New Roman;sans-serif"/>
          <w:b/>
          <w:color w:val="000000"/>
          <w:sz w:val="22"/>
        </w:rPr>
        <w:t>Consolidated Condensed Results of Operations – For the Period from April 1, 2023 to June 30, 2023 (Successor) Compared to the Period from April 1, 2022 to June 30, 2022 (Predecessor)</w:t>
      </w:r>
    </w:p>
    <w:tbl>
      <w:tblPr>
        <w:tblW w:w="10205" w:type="dxa"/>
        <w:jc w:val="left"/>
        <w:tblInd w:w="0" w:type="dxa"/>
        <w:tblLayout w:type="fixed"/>
        <w:tblCellMar>
          <w:top w:w="28" w:type="dxa"/>
          <w:left w:w="28" w:type="dxa"/>
          <w:bottom w:w="28" w:type="dxa"/>
          <w:right w:w="28" w:type="dxa"/>
        </w:tblCellMar>
      </w:tblPr>
      <w:tblGrid>
        <w:gridCol w:w="1260"/>
        <w:gridCol w:w="860"/>
        <w:gridCol w:w="770"/>
        <w:gridCol w:w="298"/>
        <w:gridCol w:w="1021"/>
        <w:gridCol w:w="154"/>
        <w:gridCol w:w="109"/>
        <w:gridCol w:w="109"/>
        <w:gridCol w:w="109"/>
        <w:gridCol w:w="316"/>
        <w:gridCol w:w="1082"/>
        <w:gridCol w:w="164"/>
        <w:gridCol w:w="109"/>
        <w:gridCol w:w="109"/>
        <w:gridCol w:w="109"/>
        <w:gridCol w:w="326"/>
        <w:gridCol w:w="1117"/>
        <w:gridCol w:w="170"/>
        <w:gridCol w:w="109"/>
        <w:gridCol w:w="109"/>
        <w:gridCol w:w="109"/>
        <w:gridCol w:w="109"/>
        <w:gridCol w:w="109"/>
        <w:gridCol w:w="109"/>
        <w:gridCol w:w="109"/>
        <w:gridCol w:w="109"/>
        <w:gridCol w:w="109"/>
        <w:gridCol w:w="109"/>
        <w:gridCol w:w="109"/>
        <w:gridCol w:w="109"/>
        <w:gridCol w:w="109"/>
        <w:gridCol w:w="109"/>
        <w:gridCol w:w="109"/>
        <w:gridCol w:w="109"/>
        <w:gridCol w:w="109"/>
        <w:gridCol w:w="160"/>
      </w:tblGrid>
      <w:tr>
        <w:trPr/>
        <w:tc>
          <w:tcPr>
            <w:tcW w:w="12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Favorable (Unfavorable)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Thousands)</w:t>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2023 – June 30,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2022 – June 30, </w:t>
              <w:br/>
              <w:t>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Management/Advisory fees</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investments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 / income</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Non-compensation expenses and Other income (expenses)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before taxes</w:t>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Revenue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Management/Advisory fees. </w:t>
      </w:r>
      <w:r>
        <w:rPr>
          <w:rFonts w:ascii="Times New Roman;sans-serif" w:hAnsi="Times New Roman;sans-serif"/>
          <w:b w:val="false"/>
          <w:color w:val="000000"/>
          <w:sz w:val="22"/>
        </w:rPr>
        <w:t>The increase in management and advisory fees during the period from April 1, 2023 to June 30, 2023 (Successor) compared to the period to April 1, 2022 to June 30, 2022 (Predecessor) was driven primarily by a $28.5 million increase in revenue from the inclusion of TIG and Alvarium post Business Combination.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Incentive fees. </w:t>
      </w:r>
      <w:r>
        <w:rPr>
          <w:rFonts w:ascii="Times New Roman;sans-serif" w:hAnsi="Times New Roman;sans-serif"/>
          <w:b w:val="false"/>
          <w:color w:val="000000"/>
          <w:sz w:val="22"/>
        </w:rPr>
        <w:t>The increase in incentive fees during the period from April 1, 2023 to June 30, 2023 (Successor) compared to the period from April 1, 2022 to June 30, 2022 (Predecessor) was driven by a $0.5 million accretive impact of the inclusion of Alvarium and TIG’s incentive fees post Business Combination.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Distributions from investments. </w:t>
      </w:r>
      <w:r>
        <w:rPr>
          <w:rFonts w:ascii="Times New Roman;sans-serif" w:hAnsi="Times New Roman;sans-serif"/>
          <w:b w:val="false"/>
          <w:color w:val="000000"/>
          <w:sz w:val="22"/>
        </w:rPr>
        <w:t xml:space="preserve">The increase in distributions from investments during the period from April 1, 2023 to June 30, 2023 (Successor) compared to the period from April 1, 2022 to June 30, 2022 (Predecessor) was driven by a $2.2 million accretive impact of the inclusion of TIG’s distributions from investments. Such impact included $2.1 million of revenue and profit share generated from management fees from TIG's External Strategic Managers, which are recurring in nature. The impact also includes distributions from shares of incentive fees crystallized from these managers.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Other fees / income. </w:t>
      </w:r>
      <w:r>
        <w:rPr>
          <w:rFonts w:ascii="Times New Roman;sans-serif" w:hAnsi="Times New Roman;sans-serif"/>
          <w:b w:val="false"/>
          <w:color w:val="000000"/>
          <w:sz w:val="22"/>
        </w:rPr>
        <w:t>The increase in other fees / income during the period from April 1, 2023 to June 30, 2023 (Successor) compared to the period from April 1, 2022 to June 30, 2022 (Predecessor) was driven by a $1.8 million accretive impact of the inclusion of Alvarium’s other fees / income post Business Combination.</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Compensation Expense. </w:t>
      </w:r>
      <w:r>
        <w:rPr>
          <w:rFonts w:ascii="Times New Roman;sans-serif" w:hAnsi="Times New Roman;sans-serif"/>
          <w:b w:val="false"/>
          <w:color w:val="000000"/>
          <w:sz w:val="22"/>
        </w:rPr>
        <w:t xml:space="preserve">The increase in compensation expense during the period from April 1, 2023 – June 30, 2023 (Successor) compared to the period April 1, 2022 – June 30, 2022 (Predecessor) of $20.8 million was primarily driven by increased compensation and benefits costs as a result of higher headcount following the Business Combination.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Non-compensation Expense. </w:t>
      </w:r>
      <w:r>
        <w:rPr>
          <w:rFonts w:ascii="Times New Roman;sans-serif" w:hAnsi="Times New Roman;sans-serif"/>
          <w:b w:val="false"/>
          <w:color w:val="000000"/>
          <w:sz w:val="22"/>
        </w:rPr>
        <w:t>The decrease in non-compensation expenses during the period from April 1, 2023 to June 30, 2023 (Successor) compared to the period from April 1, 2022 to June 30, 2022 (Predecessor) of $(0.8) million was primarily driven by a $66.1 million gain related to the change in fair value of earn-out liabilities as a result of share price appreciation, partially offset by $11.9 million of one-time fees related to the business combination, primarily in professional services, and a</w:t>
      </w:r>
      <w:r>
        <w:rPr>
          <w:color w:val="000000"/>
        </w:rPr>
        <w:t xml:space="preserve"> </w:t>
      </w:r>
      <w:r>
        <w:rPr>
          <w:rFonts w:ascii="Times New Roman;sans-serif" w:hAnsi="Times New Roman;sans-serif"/>
          <w:b w:val="false"/>
          <w:color w:val="000000"/>
          <w:sz w:val="22"/>
        </w:rPr>
        <w:t>$29.4</w:t>
      </w:r>
      <w:r>
        <w:rPr>
          <w:color w:val="000000"/>
        </w:rPr>
        <w:t xml:space="preserve"> </w:t>
      </w:r>
      <w:r>
        <w:rPr>
          <w:rFonts w:ascii="Times New Roman;sans-serif" w:hAnsi="Times New Roman;sans-serif"/>
          <w:b w:val="false"/>
          <w:color w:val="000000"/>
          <w:sz w:val="24"/>
        </w:rPr>
        <w:t>million</w:t>
      </w:r>
      <w:r>
        <w:rPr>
          <w:color w:val="000000"/>
        </w:rPr>
        <w:t xml:space="preserve"> </w:t>
      </w:r>
      <w:r>
        <w:rPr>
          <w:rFonts w:ascii="Times New Roman;sans-serif" w:hAnsi="Times New Roman;sans-serif"/>
          <w:b w:val="false"/>
          <w:color w:val="000000"/>
          <w:sz w:val="22"/>
        </w:rPr>
        <w:t>impairment related to AHRA.</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color w:val="000000"/>
          <w:sz w:val="22"/>
        </w:rPr>
      </w:pPr>
      <w:r>
        <w:rPr>
          <w:rFonts w:ascii="Times New Roman;sans-serif" w:hAnsi="Times New Roman;sans-serif"/>
          <w:b/>
          <w:color w:val="000000"/>
          <w:sz w:val="22"/>
        </w:rPr>
        <w:t>Taxes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effective tax rate was (110.3)% for the period from April 1, 2023 to June 30, 2023 (Successor), compared to 10.8% for the period from April 1, 2022 to June 30, 2022 (Predecessor). The difference in the effective tax rate is primarily driven by the legal entity organizational changes which occurred on account of the Business Combination, the tax impact of mark-to-market losses associated with contingent liabilities and equity consideration in the Business Combination, nondeductible professional fees incurred in connection with the Business Combination, and the impact of a forecasted valuation allowance with respect to deferred tax assets generated in the Company’s subsidiaries in the U.K.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Consolidated Condensed Results of Operations – For the Period from January 3, 2023 to June 30, 2023 (Successor) Compared to the Period from January 1, 2022 to June 30, 2022 (Predecessor)</w:t>
      </w:r>
    </w:p>
    <w:tbl>
      <w:tblPr>
        <w:tblW w:w="10205" w:type="dxa"/>
        <w:jc w:val="left"/>
        <w:tblInd w:w="0" w:type="dxa"/>
        <w:tblLayout w:type="fixed"/>
        <w:tblCellMar>
          <w:top w:w="28" w:type="dxa"/>
          <w:left w:w="28" w:type="dxa"/>
          <w:bottom w:w="28" w:type="dxa"/>
          <w:right w:w="28" w:type="dxa"/>
        </w:tblCellMar>
      </w:tblPr>
      <w:tblGrid>
        <w:gridCol w:w="951"/>
        <w:gridCol w:w="638"/>
        <w:gridCol w:w="566"/>
        <w:gridCol w:w="337"/>
        <w:gridCol w:w="1245"/>
        <w:gridCol w:w="174"/>
        <w:gridCol w:w="109"/>
        <w:gridCol w:w="109"/>
        <w:gridCol w:w="109"/>
        <w:gridCol w:w="368"/>
        <w:gridCol w:w="1260"/>
        <w:gridCol w:w="191"/>
        <w:gridCol w:w="109"/>
        <w:gridCol w:w="109"/>
        <w:gridCol w:w="109"/>
        <w:gridCol w:w="268"/>
        <w:gridCol w:w="985"/>
        <w:gridCol w:w="138"/>
        <w:gridCol w:w="138"/>
        <w:gridCol w:w="138"/>
        <w:gridCol w:w="138"/>
        <w:gridCol w:w="109"/>
        <w:gridCol w:w="109"/>
        <w:gridCol w:w="109"/>
        <w:gridCol w:w="109"/>
        <w:gridCol w:w="109"/>
        <w:gridCol w:w="109"/>
        <w:gridCol w:w="109"/>
        <w:gridCol w:w="109"/>
        <w:gridCol w:w="109"/>
        <w:gridCol w:w="109"/>
        <w:gridCol w:w="109"/>
        <w:gridCol w:w="109"/>
        <w:gridCol w:w="109"/>
        <w:gridCol w:w="109"/>
        <w:gridCol w:w="109"/>
        <w:gridCol w:w="109"/>
        <w:gridCol w:w="109"/>
        <w:gridCol w:w="163"/>
      </w:tblGrid>
      <w:tr>
        <w:trPr/>
        <w:tc>
          <w:tcPr>
            <w:tcW w:w="95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Favorable (Unfavorable)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Thousands)</w:t>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30,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June 30, </w:t>
              <w:br/>
              <w:t>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Management/Advisory fees</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investments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 / income</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Non-compensation expenses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before taxes</w:t>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(60,844)</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(62,642)</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Revenue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Management/Advisory fees. </w:t>
      </w:r>
      <w:r>
        <w:rPr>
          <w:rFonts w:ascii="Times New Roman;sans-serif" w:hAnsi="Times New Roman;sans-serif"/>
          <w:b w:val="false"/>
          <w:color w:val="000000"/>
          <w:sz w:val="22"/>
        </w:rPr>
        <w:t>The increase in management and advisory fees during the period from January 3, 2023 to June 30, 2023 (Successor) compared to the period from January 1, 2022 to June 30, 2022 (Predecessor) was driven primarily by a $55.0 million increase in revenue from the inclusion of TIG and Alvarium post Business Combination.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Incentive fees. </w:t>
      </w:r>
      <w:r>
        <w:rPr>
          <w:rFonts w:ascii="Times New Roman;sans-serif" w:hAnsi="Times New Roman;sans-serif"/>
          <w:b w:val="false"/>
          <w:color w:val="000000"/>
          <w:sz w:val="22"/>
        </w:rPr>
        <w:t>The increase in incentive fees during the period from January 3, 2023 to June 30, 2023 (Successor) compared to the period from January 1, 2022 to June 30, 2022 (Predecessor) was driven by a $1.0 million accretive impact of the inclusion of Alvarium and TIG’s incentive fees post Business Combination.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Distributions from investments. </w:t>
      </w:r>
      <w:r>
        <w:rPr>
          <w:rFonts w:ascii="Times New Roman;sans-serif" w:hAnsi="Times New Roman;sans-serif"/>
          <w:b w:val="false"/>
          <w:color w:val="000000"/>
          <w:sz w:val="22"/>
        </w:rPr>
        <w:t>The increase in distributions from investments during the period from January 3, 2023 to June 30, 2023 (Successor) compared to the period from January 1, 2022 to June 30, 2022 (Predecessor) was driven by a $12.2 million accretive impact of the inclusion of TIG’s distributions from investments post Business Combinatio</w:t>
      </w:r>
      <w:r>
        <w:rPr>
          <w:rFonts w:ascii="Times New Roman;sans-serif" w:hAnsi="Times New Roman;sans-serif"/>
          <w:b w:val="false"/>
          <w:color w:val="000000"/>
          <w:sz w:val="22"/>
          <w:shd w:fill="FFFFFF" w:val="clear"/>
        </w:rPr>
        <w:t xml:space="preserve">n. Such impact included $4.6 million of revenue and profit share generated from management fees from TIG's External Strategic Managers, which are recurring in nature. The impact also includes distributions from shares of incentive fees crystallized from these managers.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Other fees / income. </w:t>
      </w:r>
      <w:r>
        <w:rPr>
          <w:rFonts w:ascii="Times New Roman;sans-serif" w:hAnsi="Times New Roman;sans-serif"/>
          <w:b w:val="false"/>
          <w:color w:val="000000"/>
          <w:sz w:val="22"/>
        </w:rPr>
        <w:t>The increase in other fees / income during the period from January 3, 2023 to June 30, 2023 (Successor) compared to the period from January 1, 2022 to June 30, 2022 (Predecessor) was driven by a $2.7 million accretive impact of the inclusion of Alvarium’s other fees / income post Business Combination.</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Compensation Expense. </w:t>
      </w:r>
      <w:r>
        <w:rPr>
          <w:rFonts w:ascii="Times New Roman;sans-serif" w:hAnsi="Times New Roman;sans-serif"/>
          <w:b w:val="false"/>
          <w:color w:val="000000"/>
          <w:sz w:val="22"/>
        </w:rPr>
        <w:t>The increase in compensation expense during the period from January 3, 2023 to June 30, 2023 (Successor) compared to the period from January 1, 2022 to June 30, 2022 (Predecessor) of $70.4 million was primarily driven by increased compensation and benefits costs as a result of higher headcount following the Business Combination. R</w:t>
      </w:r>
      <w:r>
        <w:rPr>
          <w:rFonts w:ascii="Times New Roman;sans-serif" w:hAnsi="Times New Roman;sans-serif"/>
          <w:b w:val="false"/>
          <w:color w:val="000000"/>
          <w:sz w:val="22"/>
          <w:shd w:fill="FFFFFF" w:val="clear"/>
        </w:rPr>
        <w:t xml:space="preserve">esults for the period from January 3, 2023 to June 30, 2023 (Successor) include $33.5 million of non-cash stock based compensation related to both legacy TWMH and Alvarium incentive plans as well as the issuance of AlTi equity.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Non-compensation Expense. </w:t>
      </w:r>
      <w:r>
        <w:rPr>
          <w:rFonts w:ascii="Times New Roman;sans-serif" w:hAnsi="Times New Roman;sans-serif"/>
          <w:b w:val="false"/>
          <w:color w:val="000000"/>
          <w:sz w:val="22"/>
        </w:rPr>
        <w:t>The increase in non-compensation expenses during the period from January 3, 2023 to June 30, 2023 (Successor) compared to the period from January 1, 2022 to June 30, 2022 (Predecessor) of $74.4 million includes $29.7 million of one-time fees related to the business combination, primarily in professional services, an impairment charge of $29.4 million related to AHRA and a $12.9 million loss related to the change in fair value of warrant liabilities. These expenses were partially offset by a $36.9 million gain related to the change in fair value of earn-out liabilities as a result of share price appreciation.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color w:val="000000"/>
          <w:sz w:val="22"/>
        </w:rPr>
      </w:pPr>
      <w:r>
        <w:rPr>
          <w:rFonts w:ascii="Times New Roman;sans-serif" w:hAnsi="Times New Roman;sans-serif"/>
          <w:b/>
          <w:color w:val="000000"/>
          <w:sz w:val="22"/>
        </w:rPr>
        <w:t>Taxes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effective tax rate was 15.1% for the period from January 3, 2023 to June 30, 2023 (Successor) compared to 14.4% for the period from January 1, 2022 to June 30, 2022 (Predecessor). The difference in the effective tax rate is primarily driven by the legal entity organizational changes which occurred on account of the Business Combination, the tax impact of mark-to-market losses associated with contingent liabilities and equity consideration in the Business Combination, nondeductible professional fees incurred in connection with the Business Combination, and the impact of a forecasted valuation allowance with respect to deferred tax assets generated in the Company’s subsidiaries in the U.K.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Reconciliation of Consolidated GAAP Financial Measures to Certain Non-GAAP Measures</w:t>
      </w:r>
    </w:p>
    <w:p>
      <w:pPr>
        <w:pStyle w:val="TextBody"/>
        <w:bidi w:val="0"/>
        <w:spacing w:lineRule="auto" w:line="288" w:before="200" w:after="283"/>
        <w:jc w:val="both"/>
        <w:rPr/>
      </w:pPr>
      <w:r>
        <w:rPr>
          <w:rFonts w:ascii="Times New Roman;sans-serif" w:hAnsi="Times New Roman;sans-serif"/>
          <w:b w:val="false"/>
          <w:color w:val="000000"/>
          <w:sz w:val="22"/>
          <w:shd w:fill="FFFFFF" w:val="clear"/>
        </w:rPr>
        <w:t xml:space="preserve">We use </w:t>
      </w:r>
      <w:r>
        <w:rPr>
          <w:rFonts w:ascii="Times New Roman;sans-serif" w:hAnsi="Times New Roman;sans-serif"/>
          <w:b w:val="false"/>
          <w:color w:val="000000"/>
          <w:sz w:val="22"/>
        </w:rPr>
        <w:t>Adjusted Net Income and Adjusted</w:t>
      </w:r>
      <w:r>
        <w:rPr>
          <w:color w:val="000000"/>
          <w:shd w:fill="FFFFFF" w:val="clear"/>
        </w:rPr>
        <w:t xml:space="preserve"> </w:t>
      </w:r>
      <w:r>
        <w:rPr>
          <w:rFonts w:ascii="Times New Roman;sans-serif" w:hAnsi="Times New Roman;sans-serif"/>
          <w:b w:val="false"/>
          <w:color w:val="000000"/>
          <w:sz w:val="22"/>
          <w:shd w:fill="FFFFFF" w:val="clear"/>
        </w:rPr>
        <w:t xml:space="preserve">EBITDA as non-US GAAP measures to assess and track our performance. </w:t>
      </w:r>
      <w:r>
        <w:rPr>
          <w:rFonts w:ascii="Times New Roman;sans-serif" w:hAnsi="Times New Roman;sans-serif"/>
          <w:b w:val="false"/>
          <w:color w:val="000000"/>
          <w:sz w:val="22"/>
        </w:rPr>
        <w:t>Adjusted Net Income and Adjusted</w:t>
      </w:r>
      <w:r>
        <w:rPr>
          <w:color w:val="000000"/>
          <w:shd w:fill="FFFFFF" w:val="clear"/>
        </w:rPr>
        <w:t xml:space="preserve"> </w:t>
      </w:r>
      <w:r>
        <w:rPr>
          <w:rFonts w:ascii="Times New Roman;sans-serif" w:hAnsi="Times New Roman;sans-serif"/>
          <w:b w:val="false"/>
          <w:color w:val="000000"/>
          <w:sz w:val="22"/>
          <w:shd w:fill="FFFFFF" w:val="clear"/>
        </w:rPr>
        <w:t xml:space="preserve">EBITDA as presented in this Quarterly Report are supplemental measures of our performance that are not required by, or presented in accordance with, US GAAP.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shd w:fill="FFFFFF" w:val="clear"/>
        </w:rPr>
        <w:t xml:space="preserve">The following tables present the reconciliation of net income as reported in our Condensed Consolidated Statement of Operations to </w:t>
      </w:r>
      <w:r>
        <w:rPr>
          <w:rFonts w:ascii="Times New Roman;sans-serif" w:hAnsi="Times New Roman;sans-serif"/>
          <w:b w:val="false"/>
          <w:color w:val="000000"/>
          <w:sz w:val="22"/>
        </w:rPr>
        <w:t>Adjusted Net Income and Adjusted</w:t>
      </w:r>
      <w:r>
        <w:rPr>
          <w:color w:val="000000"/>
          <w:shd w:fill="FFFFFF" w:val="clear"/>
        </w:rPr>
        <w:t xml:space="preserve"> </w:t>
      </w:r>
      <w:r>
        <w:rPr>
          <w:rFonts w:ascii="Times New Roman;sans-serif" w:hAnsi="Times New Roman;sans-serif"/>
          <w:b w:val="false"/>
          <w:color w:val="000000"/>
          <w:sz w:val="22"/>
          <w:shd w:fill="FFFFFF" w:val="clear"/>
        </w:rPr>
        <w:t>EBITDA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52"/>
        <w:gridCol w:w="816"/>
        <w:gridCol w:w="821"/>
        <w:gridCol w:w="315"/>
        <w:gridCol w:w="1065"/>
        <w:gridCol w:w="176"/>
        <w:gridCol w:w="109"/>
        <w:gridCol w:w="109"/>
        <w:gridCol w:w="109"/>
        <w:gridCol w:w="329"/>
        <w:gridCol w:w="1091"/>
        <w:gridCol w:w="186"/>
        <w:gridCol w:w="109"/>
        <w:gridCol w:w="109"/>
        <w:gridCol w:w="109"/>
        <w:gridCol w:w="243"/>
        <w:gridCol w:w="808"/>
        <w:gridCol w:w="109"/>
        <w:gridCol w:w="109"/>
        <w:gridCol w:w="109"/>
        <w:gridCol w:w="109"/>
        <w:gridCol w:w="414"/>
        <w:gridCol w:w="1365"/>
        <w:gridCol w:w="334"/>
      </w:tblGrid>
      <w:tr>
        <w:trPr/>
        <w:tc>
          <w:tcPr>
            <w:tcW w:w="115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2023 – June 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April 1, 2022 – June 30, 2022 </w:t>
              <w:br/>
              <w:t>(Predecessor)</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Thousands, except share data)</w:t>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Asset Management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Wealth Management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Wealth Management Segment (Predecessor)</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and Adjusted EBITDA</w:t>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before taxes</w:t>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 (a)</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 - LTIP (b)</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 (c)</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liability (d)</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fair value of (gains)/losses on investments (e)</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liability (f)</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(33,042)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(33,041)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Organization streamlining cost (g)</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(non-cash) (h)</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(Gains)/Losses on EMI/Carried Interest (non-cash) (i)</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EMI Adjustments (Interest, Depreciation, Taxes &amp; Amortization) (j)</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Holbein compensatory earn-in (k)</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TWMH Partner’s payout right (l)</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TIH Share Purchase Extinguishment of Debt (m)</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before taxes</w:t>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tax expense</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w:t>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attributed to non-controlling interest in subsidiaries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attributable to AlTi Global, Inc.</w:t>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3,818 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attributed to non-controlling interest in subsidiaries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tax expense less income tax expense</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4,113 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attributable to AlTi Global, Inc. Per Share</w:t>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544.88 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544.88 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Weighted Average Shares of Class A Common Stock Outstanding</w:t>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59,286,346 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114,319,307 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8"/>
        <w:gridCol w:w="812"/>
        <w:gridCol w:w="817"/>
        <w:gridCol w:w="314"/>
        <w:gridCol w:w="1062"/>
        <w:gridCol w:w="175"/>
        <w:gridCol w:w="109"/>
        <w:gridCol w:w="109"/>
        <w:gridCol w:w="109"/>
        <w:gridCol w:w="324"/>
        <w:gridCol w:w="1097"/>
        <w:gridCol w:w="182"/>
        <w:gridCol w:w="109"/>
        <w:gridCol w:w="109"/>
        <w:gridCol w:w="109"/>
        <w:gridCol w:w="261"/>
        <w:gridCol w:w="820"/>
        <w:gridCol w:w="109"/>
        <w:gridCol w:w="109"/>
        <w:gridCol w:w="109"/>
        <w:gridCol w:w="109"/>
        <w:gridCol w:w="362"/>
        <w:gridCol w:w="1449"/>
        <w:gridCol w:w="292"/>
      </w:tblGrid>
      <w:tr>
        <w:trPr/>
        <w:tc>
          <w:tcPr>
            <w:tcW w:w="114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30, 2023 </w:t>
              <w:b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June 30, 2022 </w:t>
              <w:br/>
              <w:t>(Predecessor)</w:t>
            </w:r>
          </w:p>
        </w:tc>
      </w:tr>
      <w:tr>
        <w:trPr/>
        <w:tc>
          <w:tcPr>
            <w:tcW w:w="27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Thousands, except share data)</w:t>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Asset Management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Wealth Management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Wealth Management Segment (Predecessor)</w:t>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and Adjusted EBITDA</w:t>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before taxes</w:t>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(51,690)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 (a)</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 - LTIP (b)</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 (c)</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liability (d)</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fair value of (gains)/losses on investments (e)</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liability (f)</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Organization streamlining cost (g)</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(non-cash) (h)</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31,535 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(Gains)/Losses on EMI/Carried Interest (non-cash) (i)</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EMI Adjustments (Interest, Depreciation, Taxes &amp; Amortization) (j)</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Holbein compensatory earn-in (k)</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TWMH Partner's payout right (l)</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TIH Share Purchase Extinguishment of Debt (m)</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before taxes</w:t>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7,398 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tax expense</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w:t>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7,398 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attributed to non-controlling interest in subsidiaries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attributable to AlTi Global, Inc.</w:t>
            </w:r>
          </w:p>
        </w:tc>
        <w:tc>
          <w:tcPr>
            <w:tcW w:w="1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7,398 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attributed to non-controlling interest in subsidiaries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tax expense less income tax expense</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8,784 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attributable to AlTi Global, Inc. Per Share</w:t>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1,055.80 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1,055.80 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Weighted Average Shares of Class A Common Stock Outstanding</w:t>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(a)Add-back of non-cash expense related to legacy TWMH 2019, 2020 and 2021 restricted unit awards.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(b)Add-back of non-cash expense related to legacy Alvarium Long Term Incentive Plan (“LTIP”) awards.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(c)Add-back of transaction expenses related to the Business Combination, including professional fees.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(d)Represents the change in fair value of the warrant liability.</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(e)Represents the change in unrealized gains/losses related primarily Investments held at fair value (Successor) and changes in fair value to the interest rate swap (Predecessor).</w:t>
      </w:r>
    </w:p>
    <w:p>
      <w:pPr>
        <w:pStyle w:val="TextBody"/>
        <w:bidi w:val="0"/>
        <w:spacing w:lineRule="auto" w:line="288" w:before="0" w:after="0"/>
        <w:ind w:left="0" w:right="0" w:hanging="360"/>
        <w:jc w:val="both"/>
        <w:rPr/>
      </w:pPr>
      <w:r>
        <w:rPr>
          <w:rFonts w:ascii="Times New Roman;sans-serif" w:hAnsi="Times New Roman;sans-serif"/>
          <w:b w:val="false"/>
          <w:color w:val="000000"/>
          <w:sz w:val="22"/>
          <w:shd w:fill="FFFFFF" w:val="clear"/>
        </w:rPr>
        <w:t>(f)</w:t>
      </w:r>
      <w:r>
        <w:rPr>
          <w:rFonts w:ascii="Times New Roman;sans-serif" w:hAnsi="Times New Roman;sans-serif"/>
          <w:b w:val="false"/>
          <w:color w:val="000000"/>
          <w:sz w:val="22"/>
        </w:rPr>
        <w:t>Represents the change in fair value of the earn-out liability.</w:t>
      </w:r>
    </w:p>
    <w:p>
      <w:pPr>
        <w:pStyle w:val="TextBody"/>
        <w:bidi w:val="0"/>
        <w:spacing w:lineRule="auto" w:line="288" w:before="0" w:after="0"/>
        <w:ind w:left="0" w:right="0" w:hanging="36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(g)Represents cost to implement organization change to derive cost synergy.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2"/>
          <w:shd w:fill="FFFFFF" w:val="clear"/>
        </w:rPr>
        <w:t>(h)</w:t>
      </w:r>
      <w:r>
        <w:rPr>
          <w:rFonts w:ascii="Times New Roman;sans-serif" w:hAnsi="Times New Roman;sans-serif"/>
          <w:b w:val="false"/>
          <w:color w:val="000000"/>
          <w:sz w:val="22"/>
        </w:rPr>
        <w:t>Represents impairment of intangible asset associated with the deconsolidation of AHRA $29.4 million and impairment of carried interest/equity method investments $2.1 million.</w:t>
      </w:r>
    </w:p>
    <w:p>
      <w:pPr>
        <w:pStyle w:val="TextBody"/>
        <w:bidi w:val="0"/>
        <w:spacing w:lineRule="auto" w:line="288" w:before="0" w:after="0"/>
        <w:ind w:left="0" w:right="0" w:hanging="36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(i)Represents the amortization related to the step-up in equity method investments.</w:t>
      </w:r>
    </w:p>
    <w:p>
      <w:pPr>
        <w:pStyle w:val="TextBody"/>
        <w:bidi w:val="0"/>
        <w:spacing w:lineRule="auto" w:line="288" w:before="0" w:after="0"/>
        <w:ind w:left="0" w:right="0" w:hanging="360"/>
        <w:jc w:val="left"/>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(j)Represents reported EMI adjustments for the Company’s Equity Method Investments.</w:t>
      </w:r>
    </w:p>
    <w:p>
      <w:pPr>
        <w:pStyle w:val="TextBody"/>
        <w:bidi w:val="0"/>
        <w:spacing w:lineRule="auto" w:line="288" w:before="0" w:after="0"/>
        <w:ind w:left="0" w:right="0" w:hanging="360"/>
        <w:jc w:val="left"/>
        <w:rPr/>
      </w:pPr>
      <w:r>
        <w:rPr>
          <w:rFonts w:ascii="Times New Roman;sans-serif" w:hAnsi="Times New Roman;sans-serif"/>
          <w:b w:val="false"/>
          <w:color w:val="000000"/>
          <w:sz w:val="22"/>
          <w:shd w:fill="FFFFFF" w:val="clear"/>
        </w:rPr>
        <w:t>(k)Add-back of cash portion of the compensatory earn-ins related to the Holbein acquisition as discussed in Note 5, “Equity-Based Compensation”. The $0.8 million of compensatory earn-ins is settled in 50% equity and 50% cash. Add back of equity portion of compensatory earn-ins of $0.4 million is included in the equity settled share-based payments combined EBITDA adjustment</w:t>
      </w:r>
      <w:r>
        <w:rPr>
          <w:rFonts w:ascii="Times New Roman;sans-serif" w:hAnsi="Times New Roman;sans-serif"/>
          <w:b w:val="false"/>
          <w:color w:val="000000"/>
          <w:sz w:val="22"/>
        </w:rPr>
        <w:t>.</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(l)Represents the change in the TWMH Partner’s payout related to the Business Combination.</w: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(m)Represents forgiveness of a promissory note of a certain shareholder of TIH upon the sale of his shares in TIH to TWMH</w:t>
      </w:r>
      <w:r>
        <w:rPr>
          <w:rFonts w:ascii="Calibri;sans-serif" w:hAnsi="Calibri;sans-serif"/>
          <w:b w:val="false"/>
          <w:color w:val="000000"/>
          <w:sz w:val="22"/>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 assesses liquidity in terms of our ability to generate cash to fund operating, investing, and financing activities. Management takes prudent approach to ensure the Company's liquidity will continue to be sufficient for its foreseeable working capital needs, contractual obligations, distribution payments and strategic initiatives.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3, 2023, concurrent with the consummation of the Business Combination, the Company entered into a $250.0 million credit facility with a syndicate led by BMO Capital Markets Corp. (“BMO”). The facility, which has a term of five years and is comprised of a $150.0 million Revolving Credit Facility and a $100 million Term Loan facility, was to be used to pay down subsidiary debt and fund growth initiatives. As of June 30, 2023 (Successor), the Company had $97.5 million outstanding on the Term Loan facility and $73.3 million outstanding on the Revolving Credit Facility.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As a result of the Business Combination, the previous year figures are not comparable to current year amounts as prior year figures only include the results of operations of Tiedemann Wealth Management Holdings, LLC.</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For the Period from January 3, 2023 to June 30, 2023 (Successor) Compared to the Period from January 1, 2022 to June 30, 2022 (Predecessor)</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and discussion summarize our Condensed Consolidated Statement of Cash Flows by activity attributable to AlTi. Negative amounts represent an outflow or use of cash.</w:t>
      </w:r>
    </w:p>
    <w:tbl>
      <w:tblPr>
        <w:tblW w:w="10205" w:type="dxa"/>
        <w:jc w:val="left"/>
        <w:tblInd w:w="0" w:type="dxa"/>
        <w:tblLayout w:type="fixed"/>
        <w:tblCellMar>
          <w:top w:w="28" w:type="dxa"/>
          <w:left w:w="28" w:type="dxa"/>
          <w:bottom w:w="28" w:type="dxa"/>
          <w:right w:w="28" w:type="dxa"/>
        </w:tblCellMar>
      </w:tblPr>
      <w:tblGrid>
        <w:gridCol w:w="1105"/>
        <w:gridCol w:w="933"/>
        <w:gridCol w:w="941"/>
        <w:gridCol w:w="375"/>
        <w:gridCol w:w="1591"/>
        <w:gridCol w:w="194"/>
        <w:gridCol w:w="109"/>
        <w:gridCol w:w="109"/>
        <w:gridCol w:w="109"/>
        <w:gridCol w:w="480"/>
        <w:gridCol w:w="1436"/>
        <w:gridCol w:w="249"/>
        <w:gridCol w:w="109"/>
        <w:gridCol w:w="109"/>
        <w:gridCol w:w="109"/>
        <w:gridCol w:w="342"/>
        <w:gridCol w:w="1460"/>
        <w:gridCol w:w="176"/>
        <w:gridCol w:w="109"/>
        <w:gridCol w:w="160"/>
      </w:tblGrid>
      <w:tr>
        <w:trPr/>
        <w:tc>
          <w:tcPr>
            <w:tcW w:w="110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Favorable (unfavorable)</w:t>
            </w:r>
          </w:p>
        </w:tc>
        <w:tc>
          <w:tcPr>
            <w:tcW w:w="269" w:type="dxa"/>
            <w:gridSpan w:val="2"/>
            <w:tcBorders/>
          </w:tcPr>
          <w:p>
            <w:pPr>
              <w:pStyle w:val="TableContents"/>
              <w:bidi w:val="0"/>
              <w:spacing w:before="0" w:after="283"/>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3, 2023 – June 30, </w:t>
              <w:br/>
              <w:t>2023 (Successor)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January 1, 2022 – June 30, </w:t>
              <w:br/>
              <w:t>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(66,491)</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(166,932)</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(163,400)</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period from January 3, 2023 to June 30, 2023 (Successor), cash and cash equivalents at the beginning of the period of $194.0 million included the proceeds from the PIPE Investors related to the private placements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issuances, remaining cash held in the trust account, and the beginning balance sheet cash from each of Alvarium, TIG, and TWMH.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Operating Activities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cash inflows from operating activities comprise of cash collected through management and advisory fees, incentive fees, distributions from investments and other income/fees. Our cash outflows from operating activities consist of operating expenses, the most significant components of which included compensation and benefits and professional fees for the six months ended June 30, 2023, as well as interest on our debt obligations. Our net cash outflow of $66.5 million for the period from January 3, 2023 to June 30, 2023 (Successor) was driven primarily by the payment of one-time fees related to the transaction and accrued incentive compensation related to the 2022 fiscal year performance across each of the three legacy business units. </w:t>
      </w:r>
    </w:p>
    <w:p>
      <w:pPr>
        <w:pStyle w:val="TextBody"/>
        <w:bidi w:val="0"/>
        <w:spacing w:lineRule="auto" w:line="276"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Investing Activities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used in investing activities primarily related to the acquisition of TWMH and TIG historical equity during the period from January 3, 2023 to June 30, 2023 (Successor). Additionally, the Company made an incremental investments of $12.0 million and $3.4 million into Zebedee and Arkkan, repectively, and an acquisition of AL Wealth Partners for $14.4 million.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Financing Activities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flows from financing activities during the period from January 3, 2023 to June 30, 2023 (Successor) were primarily driven by issuance of the Term Loan and Revolving Credit Facility totaling $188.7 million, which were used to pay down existing debt of $141.9 million. Additionally, we used approximately $4.2 million to purchase shares issued as compensation and received $5.8 million from the exercise of warrants.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Future Sources and Uses of Liquidity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we may engage in off-financial position arrangements, including transactions in derivatives, guarantees, commitments, indemnifications, and potential contingent repayment obligations. We do not have any off-financial position arrangements that would require us to fund losses or guarantee target returns to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Contractual Obligations </w:t>
      </w:r>
    </w:p>
    <w:p>
      <w:pPr>
        <w:pStyle w:val="TextBody"/>
        <w:bidi w:val="0"/>
        <w:spacing w:lineRule="auto" w:line="288" w:before="200" w:after="283"/>
        <w:jc w:val="both"/>
        <w:rPr/>
      </w:pPr>
      <w:r>
        <w:rPr>
          <w:rFonts w:ascii="Times New Roman;sans-serif" w:hAnsi="Times New Roman;sans-serif"/>
          <w:b w:val="false"/>
          <w:i/>
          <w:color w:val="000000"/>
          <w:sz w:val="22"/>
        </w:rPr>
        <w:t xml:space="preserve">Tax Receivable Agreement: </w:t>
      </w:r>
      <w:r>
        <w:rPr>
          <w:rFonts w:ascii="Times New Roman;sans-serif" w:hAnsi="Times New Roman;sans-serif"/>
          <w:b w:val="false"/>
          <w:color w:val="000000"/>
          <w:sz w:val="22"/>
        </w:rPr>
        <w:t>As discussed in Note 19 (Commitments and Contingencies) to our interim condensed consolidated financial statements included in this Quarterly Report, we may in the future be required to make payments under the TRA. As of June 30, 2023 (Successor), assuming no material changes in the relevant tax laws and that the Company generates sufficient taxable income to realize the full tax benefit of the increased amortization resulting from the increase in tax basis of certain AlTi’s assets, we expect to pay approximately $15.1 million under the TRA. Future changes in the fair value of the TRA liability will be recognized in earnings. Any future cash savings and related payments under the TRA due to subsequent exchanges of Class B Units for Class A Shares would be accounted for separately from the amounts related to the Business Combination.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Payments under the TRA are anticipated to increase the tax basis adjustment and, consequently, result in increasing annual amortization deductions in the taxable years of and after such increases to the original basis adjustments, and potentially will give rise to increasing tax savings with respect to such years and correspondingly increasing payments under the TRA.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actual increase in tax basis of the AlTi’s assets resulting from an exchange or from payments under the TRA, as well as the amortization thereof and the timing and amount of payments under the TRA, will vary based upon a number of factors, including the following: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amount and timing of our taxable income will impact the payments to be made under the TRA. To the extent that we do not have sufficient taxable income to utilize the amortization deductions available as a result of the increased tax basis in the Alvarium Tiedemann’s assets, payments required under the TRA would be reduced.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price of our Class A Shares at the time of any exchange will determine the actual increase in tax basis of the Alvarium assets resulting from such exchange; payments under the TRA resulting from future exchanges, if any, will be dependent in part upon such actual increase in tax basis.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composition of the AlTi’s assets at the time of any exchange will determine the extent to which we may benefit from amortizing the increased tax basis in such assets and thus will impact the amount of future payments under the TRA resulting from any future exchanges.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extent to which future exchanges are taxable will impact the extent to which we will receive an increase in tax basis of the AlTi’s assets as a result of such exchanges, and thus will impact the benefit derived by us and the resulting payments, if any, to be made under the TRA.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tax rates in effect at the time any potential tax savings are realized, which would affect the amount of any future payments under the TRA.</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Depending upon the outcome of these and other factors, payments that we may be obligated to make under the TRA in respect of exchanges could be substantial.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Indemnification Arrangements</w:t>
      </w:r>
    </w:p>
    <w:p>
      <w:pPr>
        <w:pStyle w:val="TextBody"/>
        <w:bidi w:val="0"/>
        <w:spacing w:lineRule="auto" w:line="288" w:before="200" w:after="283"/>
        <w:jc w:val="both"/>
        <w:rPr/>
      </w:pPr>
      <w:r>
        <w:rPr>
          <w:rFonts w:ascii="Times New Roman;sans-serif" w:hAnsi="Times New Roman;sans-serif"/>
          <w:b w:val="false"/>
          <w:color w:val="000000"/>
          <w:sz w:val="22"/>
        </w:rPr>
        <w:t>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Condensed Consolidated Statement of Financial Position. As of June 30, 2023 (Successor), the Company has not had prior claims or losses pursuant to these contracts and expects the risk of material loss to be remote.</w:t>
      </w:r>
      <w:r>
        <w:rPr>
          <w:color w:val="FF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Litigation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From time to time, we may be named as a defendant in legal actions. Although there can be no assurance of the outcome of such legal actions, in the opinion of management, we do not have any potential liability related to any current legal proceeding or claim that would individually or in the aggregate materially affect its results of operations, financial condition, or cash flows.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Since November 2022, Home REIT and AHRA have been the subject of a series of allegations in the UK media regarding Home REIT’s operations, triggered by a report issued by a short seller.</w:t>
      </w:r>
      <w:r>
        <w:rPr>
          <w:color w:val="000000"/>
        </w:rPr>
        <w:t xml:space="preserve"> </w:t>
      </w:r>
      <w:r>
        <w:rPr>
          <w:rFonts w:ascii="Times New Roman;sans-serif" w:hAnsi="Times New Roman;sans-serif"/>
          <w:b w:val="false"/>
          <w:color w:val="000000"/>
          <w:sz w:val="22"/>
        </w:rPr>
        <w:t>See Note 19 (Commitments and Contingencies) to our interim condensed consolidated financial statements included in this Quarterly Report.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will continue to assess any potential litigation or regulatory risk associated with such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Critical Accounting Estimates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prepare our consolidated financial statements in accordance with US GAAP. In applying many of these accounting principles, we need to make assumptions, estimates, and/or judgments that affect the reported amounts of assets, liabilities, revenues, and expenses in our consolidated financial statements. We base our estimates and judgments on historical experience and other assumptions that we believe are reasonable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Times New Roman;sans-serif" w:hAnsi="Times New Roman;sans-serif"/>
          <w:b w:val="false"/>
          <w:color w:val="000000"/>
          <w:sz w:val="22"/>
        </w:rPr>
        <w:t>the circumstances. These assumptions, estimates, and/or judgments, however, are both subjective and subject to 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 factors.</w:t>
      </w:r>
      <w:r>
        <w:rPr>
          <w:color w:val="FF0000"/>
        </w:rPr>
        <w:t xml:space="preserve"> </w:t>
      </w:r>
      <w:r>
        <w:rPr>
          <w:rFonts w:ascii="Times New Roman;sans-serif" w:hAnsi="Times New Roman;sans-serif"/>
          <w:b w:val="false"/>
          <w:color w:val="000000"/>
          <w:sz w:val="22"/>
        </w:rPr>
        <w:t>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interim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Estimation of Fair Values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Investments at Fair Value – External Strategic Managers:</w:t>
      </w:r>
      <w:r>
        <w:rPr>
          <w:color w:val="000000"/>
        </w:rPr>
        <w:t xml:space="preserve"> </w:t>
      </w:r>
      <w:r>
        <w:rPr>
          <w:rFonts w:ascii="Times New Roman;sans-serif" w:hAnsi="Times New Roman;sans-serif"/>
          <w:b w:val="false"/>
          <w:color w:val="000000"/>
          <w:sz w:val="22"/>
        </w:rPr>
        <w:t xml:space="preserve">The fair values of our Investments in External Strategic Managers were determined using significant unobservable inputs. The assumptions used could have a material impact on the valuation of these assets and include our best estimates of expected future cash flows and an appropriate discount rate. Changes in the estimated fair values of these assets may have a material impact on our results of operations in any given period, as any decreases in these assets have a corresponding negative impact on our GAAP results of operations in the period in which the changes occur.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TRA Liability: </w:t>
      </w:r>
      <w:r>
        <w:rPr>
          <w:rFonts w:ascii="Times New Roman;sans-serif" w:hAnsi="Times New Roman;sans-serif"/>
          <w:b w:val="false"/>
          <w:color w:val="000000"/>
          <w:sz w:val="22"/>
        </w:rPr>
        <w:t>We carry a portion of our TRA liability at fair value, as it is a contingent consideration related to the recent acquisition. The valuation of the TRA liability is sensitive to our expectation of future cash savings that we may ultimately realize related to our tax goodwill and other intangible assets deductions. We then apply a discount rate that we believe is appropriate given the nature of and expected timing of payments of the liability. A decrease in the discount rate assumption would result in an increase in the fair value estimate of the liability, which would have a correspondingly negative impact on our GAAP results of operations. However, payments under the TRA are ultimately only made to the extent we realize the offsetting cash savings on our income taxes due to the tax goodwill and other intangibles deduction. </w:t>
      </w:r>
    </w:p>
    <w:p>
      <w:pPr>
        <w:pStyle w:val="TextBody"/>
        <w:bidi w:val="0"/>
        <w:spacing w:lineRule="auto" w:line="288" w:before="200" w:after="283"/>
        <w:jc w:val="both"/>
        <w:rPr/>
      </w:pPr>
      <w:r>
        <w:rPr>
          <w:rFonts w:ascii="Times New Roman;sans-serif" w:hAnsi="Times New Roman;sans-serif"/>
          <w:b w:val="false"/>
          <w:i/>
          <w:color w:val="000000"/>
          <w:sz w:val="22"/>
        </w:rPr>
        <w:t>Earn-out Liability and Private Placement Warrants Liability:</w:t>
      </w:r>
      <w:r>
        <w:rPr>
          <w:color w:val="000000"/>
        </w:rPr>
        <w:t xml:space="preserve"> </w:t>
      </w:r>
      <w:r>
        <w:rPr>
          <w:rFonts w:ascii="Times New Roman;sans-serif" w:hAnsi="Times New Roman;sans-serif"/>
          <w:b w:val="false"/>
          <w:color w:val="000000"/>
          <w:sz w:val="22"/>
        </w:rPr>
        <w:t>The fair values of our Earn-out Securities liability and Warrants liability were determined using various significant unobservable inputs.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period, as any increases in these liabilities have a corresponding negative impact on our GAAP results of operations in the period in which the changes occur. See Note 2 (Summary of Significant Accounting Policies) for additional details.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Equity-based Compensation: </w:t>
      </w:r>
      <w:r>
        <w:rPr>
          <w:rFonts w:ascii="Times New Roman;sans-serif" w:hAnsi="Times New Roman;sans-serif"/>
          <w:b w:val="false"/>
          <w:color w:val="000000"/>
          <w:sz w:val="22"/>
        </w:rPr>
        <w:t xml:space="preserve">The Company issued stock grants to certain employees as bonus compensation. The fair value of the grants was determined based on the share price on the date of issuance.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Income Taxes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Significant judgment is required in determining the provision for income taxes and in evaluating income tax positions, including evaluating uncertainties. We recognize the income tax benefits of uncertain tax positions only where the position is “more likely than not” to be sustained upon examination, including resolution of any related appeals or litigation, based on the technical merits of the positions. The tax benefit is measured as the largest amount of benefit that has a greater than 50% likelihood of being realized upon ultimate settlement. If a tax position is not considered more likely than not to be sustained, then no benefits of the position are recognized. The Company’s income tax positions are reviewed and evaluated quarterly to determine whether or not we have uncertain tax positions that require financial statement recognition or de-recognition.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Deferred tax assets and liabilities are recognized for the expected future tax consequences, using currently enacted tax rates, of differences between the carrying amount of assets and liabilities and their respective tax basis. The effect on deferred tax assets and liabilities of a change in tax rates is recognized in income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Times New Roman;sans-serif" w:hAnsi="Times New Roman;sans-serif"/>
          <w:b w:val="false"/>
          <w:color w:val="000000"/>
          <w:sz w:val="22"/>
        </w:rPr>
        <w:t>period when the change is enacted. Deferred tax assets are reduced by a valuation allowance when it is more likely than not that some portion or all of the deferred tax assets will not be realized.</w:t>
      </w:r>
      <w:r>
        <w:rPr>
          <w:color w:val="FF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Variable Interest Entities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determination of whether to consolidate a VIE under GAAP requires a significant amount of judgment concerning the degree of control over an entity by its holders of variable interests. To make these judgments, we conduct an analysis, on a case-by-case basis, of whether we are the primary beneficiary and are therefore required to consolidate an entity. We continually reconsider whether we should consolidate a VIE. Upon the occurrence of certain events, such as modifications to organizational documents and investment management agreements of our products, we will reconsider our conclusion regarding the status of an entity as a VIE. Our judgement when analyzing the status of an entity and whether we consolidate an entity could have a material impact on individual line items within our consolidated financial statements, as a change in our conclusion would have the effect of grossing up the assets, liabilities, revenues and expenses of the entity being evaluated. In light of the relevantly insignificant direct and indirect investments into our products, the likelihood of a reasonable change in our estimation and judgement would likely not result in a change in our conclusions to consolidate or not consolidate any VIEs to which we have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Impact of Changes in Accounting on Recent and Future Trends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none of the changes to GAAP that went into effect during the period from January 3, 2023 to June 30, 2023 (Successor), or that have been issued but that we have not yet adopted have substantively impacted our recent trends or are expected to substantively impact our future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primary exposure to market risk is related to our role as wealth management advisor to our investment products and the sensitivity to movements in the market value of their investments, including the effect on management fees and investment income.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Market Risk</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market price of investments may significantly fluctuate during the period of investment; should their value decline, our fees may decline accordingly. Investments may decline in value due to factors affecting securities markets generally or particular industries represented in the securities markets. The value of an investment may decline due to general market conditions, which are not specifically related to such investment, such as real or perceived adverse economic conditions, changes in the general outlook for corporate earnings, changes in interest or currency rates, or adverse investor sentiment generally. It may also decline due to factors that affect a particular industry or industries, such as labor shortages or increased production costs and competitive conditions within an industry.</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Credit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are party to agreements providing for various financial services and transactions that contain an element of risk in the event that the counterparties are unable to meet the terms of such agreements. In such agreements, we depend on the counterparty to make payment or otherwise perform. We generally endeavor to minimize our risk of exposure by limiting to reputable financial institutions the counterparties with which we enter into financial transactions. In other circumstances, availability of financing from financial institutions may be uncertain due to market events, and we may not be able to access these financing markets. We seek to mitigate this exposure by monitoring the credit standing of these financial institutions.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Interest Rate Risk</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June 30, 2023 (Successor), the Company had $97.5 million outstanding on the Term Loan facility and $73.3 million outstanding on the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2"/>
        </w:rPr>
        <w:t xml:space="preserve">The Term Loans bear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2"/>
        </w:rPr>
        <w:t>The margin ranges between 1.0% and 2.0% for base rate loans and between 2.0% and 3.0% for SOFR loans.</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2"/>
        </w:rPr>
        <w:t>The Company will pay a commitment fee based on the average daily unused portion 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an increase to the underlying index rates related to the Revolving Credit Facility and Term Loan, we would be subject to such increased variable rate and would expect our interest expense to increase commensurately.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Any controls and procedures, no matter how well designed and operated, can provide only reasonable assurance of achieving the desired objectives.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management, under the supervision and with the participation of our Chief Executive Officer and Chief Financial Officer, evaluated the effectiveness of our disclosure controls and procedures pursuant to Rule 13a-15 under the Exchange Act as of June 30, 2023 (Successor). Based on that evaluation, our Chief Executive Officer and Chief Financial Officer have concluded that, our disclosure controls and procedures were not effective as of June 30, 2023 (Successor).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material weaknesses that Alvarium and its independent registered public accounting firm identified in Alvarium’s financial statements as of and for the year end ended December 31, 2022 occurred because Alvarium (i) had inadequate processes and controls to ensure an appropriate level of precision related to its financial statement disclosures (specific to management review controls and lack of oversight over group and finance systems, including journals); (ii) did not have sufficient resources with the adequate technical skills to meet the emerging needs of its financial reporting requirements (specific to a lack of in-house expertise on technical accounting as well as a lack of accounting documentation to support key judgements); and (iii) had inadequate processes and resources to ensure appropriate accounting treatment was concluded on in the context of significant unusual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material weaknesses that TWMH and its independent registered public accounting firm identified in TWMH’s consolidated financial statements as of and for the year ended December 31, 2022 occurred because TWMH (i) did not design and maintain formal accounting policies, procedures and controls to achieve complete, accurate, and timely financial accounting, reporting, and disclosures related to equity-based compensation which resulted in errors in the accounting for and disclosure of repurchases of TWMH’s restricted unit awards; (ii) did not design and therefore did not have formal accounting policies, procedures, and controls to achieve complete, accurate, and timely financial accounting, reporting, and disclosures related to business combinations which resulted in errors in the accounting entries recorded for an acquisition by TWMH; and (iii) did not design and therefore did not have formal accounting policies, procedures, and controls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achieve complete, accurate, and timely financial accounting, reporting, and disclosures related to ASC 740, Accounting for Income Taxes, which resulted in errors in the accounting entries recorded by TWMH.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 is in the process of implementing a remediation plan for these material weaknesses, including, among other things, hiring additional accounting personnel and implementing process level and management review controls and documentation policies to ensure financial statement disclosures are complete and accurate and to identify and address emerging risks. We cannot reasonably estimate the cost of such remediation plan at this time. We can give no assurance that such efforts will remediate these deficiencies in internal control over financial reporting or that additional material weaknesses in its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its reporting obligations, any of which could diminish investor confidence, cause a decline in the price of the Class A Common Stock and limit our ability to access capital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material weaknesses, if not remediated, could result in misstatements of accounts or disclosures that would result in a material misstatement to the annual consolidated financial statements or the interim condensed consolidated financial statements that would not be prevented or detected.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management anticipates that our internal control over financial reporting will not be effective until the above material weaknesses are remediated. If our remediation of these material weaknesses is not effective, or 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hired additional accounting staff and we will continue to evaluate our accounting and financial staffing needs in light of the material weaknesses described above. While we have made progress to enhance our internal control over financial reporting and will continue to devote effort in control remediation, additional time is required to complete implementation.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was no change in our internal control over financial reporting that occurred during the period from January 3, 2023 to June 30, 2023 (Successor), covered by this Quarterly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2"/>
        </w:rPr>
      </w:pPr>
      <w:r>
        <w:rPr>
          <w:rFonts w:ascii="Times New Roman;sans-serif" w:hAnsi="Times New Roman;sans-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we may be involved in various legal proceedings, lawsuits, and claims incidental to the conduct of its business, some of which may be material. Our businesses are also subject to extensive regulation, which may result in regulatory proceedings against us. To our knowledge, there are no material legal or regulatory proceedings currently pending or threatened against us.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further information, please refer to the Litigation sections in Note 19 (Commitments and Contingencies) in the Notes to Consolidated Financial Statements and MD&amp;A.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than as described below, there have been no material changes to the risk factors included in Part I, Item 1A in our Annual Report.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Please see “</w:t>
      </w:r>
      <w:r>
        <w:rPr>
          <w:rFonts w:ascii="Times New Roman;sans-serif" w:hAnsi="Times New Roman;sans-serif"/>
          <w:b w:val="false"/>
          <w:i/>
          <w:color w:val="000000"/>
          <w:sz w:val="24"/>
        </w:rPr>
        <w:t>Part I—Item 4. Controls and Procedures—Evaluation of Disclosure Controls and Procedures</w:t>
      </w:r>
      <w:r>
        <w:rPr>
          <w:color w:val="000000"/>
        </w:rPr>
        <w:t xml:space="preserve">” </w:t>
      </w:r>
      <w:r>
        <w:rPr>
          <w:rFonts w:ascii="Times New Roman;sans-serif" w:hAnsi="Times New Roman;sans-serif"/>
          <w:b w:val="false"/>
          <w:color w:val="000000"/>
          <w:sz w:val="22"/>
        </w:rPr>
        <w:t>of this Quarterly Report,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42" w:before="0" w:after="0"/>
        <w:jc w:val="both"/>
        <w:rPr>
          <w:rFonts w:ascii="Times New Roman;sans-serif" w:hAnsi="Times New Roman;sans-serif"/>
          <w:b w:val="false"/>
          <w:color w:val="231F20"/>
          <w:sz w:val="24"/>
        </w:rPr>
      </w:pPr>
      <w:r>
        <w:rPr>
          <w:rFonts w:ascii="Times New Roman;sans-serif" w:hAnsi="Times New Roman;sans-serif"/>
          <w:b w:val="false"/>
          <w:color w:val="231F20"/>
          <w:sz w:val="24"/>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During the quarter ended June 30, 2023 (Successor),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exhibits are filed or furnished herewith:</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39"/>
        <w:gridCol w:w="385"/>
        <w:gridCol w:w="387"/>
        <w:gridCol w:w="2723"/>
        <w:gridCol w:w="2585"/>
        <w:gridCol w:w="3686"/>
      </w:tblGrid>
      <w:tr>
        <w:trPr/>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Exhibit Number</w:t>
            </w:r>
          </w:p>
        </w:tc>
        <w:tc>
          <w:tcPr>
            <w:tcW w:w="8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Description</w:t>
            </w:r>
          </w:p>
        </w:tc>
      </w:tr>
      <w:tr>
        <w:trPr/>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w:t>
            </w:r>
          </w:p>
        </w:tc>
        <w:tc>
          <w:tcPr>
            <w:tcW w:w="8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2"/>
                  <w:u w:val="single"/>
                </w:rPr>
                <w:t>Separation Agreement, dated July 11, 2023, by and between Tiedemann Advisors, LLC and Christine Zhao (incorporated by reference to Exhibit 10.1 to the Company’s Current Report on Form 8-K filed July 14, 2023)</w:t>
              </w:r>
            </w:hyperlink>
          </w:p>
        </w:tc>
      </w:tr>
      <w:tr>
        <w:trPr/>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8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63023x10xqexhibit311.htm">
              <w:r>
                <w:rPr>
                  <w:rStyle w:val="InternetLink"/>
                  <w:rFonts w:ascii="Times New Roman;sans-serif" w:hAnsi="Times New Roman;sans-serif"/>
                  <w:b w:val="false"/>
                  <w:color w:val="0000FF"/>
                  <w:sz w:val="22"/>
                  <w:u w:val="single"/>
                </w:rPr>
                <w:t>Certification of Principal Executive Officer Pursuant to Rules 13a-14(a) and 15d-14(a) under the Securities Exchange Act of 1934, as Adopted Pursuant to Section 302 of the Sarbanes-Oxley Act of 2002.</w:t>
              </w:r>
            </w:hyperlink>
          </w:p>
        </w:tc>
      </w:tr>
      <w:tr>
        <w:trPr/>
        <w:tc>
          <w:tcPr>
            <w:tcW w:w="1211" w:type="dxa"/>
            <w:gridSpan w:val="3"/>
            <w:tcBorders/>
            <w:vAlign w:val="center"/>
          </w:tcPr>
          <w:p>
            <w:pPr>
              <w:pStyle w:val="TableContents"/>
              <w:bidi w:val="0"/>
              <w:spacing w:before="0" w:after="283"/>
              <w:jc w:val="left"/>
              <w:rPr>
                <w:sz w:val="4"/>
                <w:szCs w:val="4"/>
              </w:rPr>
            </w:pPr>
            <w:r>
              <w:rPr>
                <w:sz w:val="4"/>
                <w:szCs w:val="4"/>
              </w:rPr>
            </w:r>
          </w:p>
        </w:tc>
        <w:tc>
          <w:tcPr>
            <w:tcW w:w="8994" w:type="dxa"/>
            <w:gridSpan w:val="3"/>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8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63023x10xqexhibit312.htm">
              <w:r>
                <w:rPr>
                  <w:rStyle w:val="InternetLink"/>
                  <w:rFonts w:ascii="Times New Roman;sans-serif" w:hAnsi="Times New Roman;sans-serif"/>
                  <w:b w:val="false"/>
                  <w:color w:val="0000FF"/>
                  <w:sz w:val="22"/>
                  <w:u w:val="single"/>
                </w:rPr>
                <w:t>Certification of Principal Financial Officer Pursuant to Rules 13a-14(a) and 15d-14(a) under the Securities Exchange Act of 1934, as Adopted Pursuant to Section 302 of the Sarbanes-Oxley Act of 2002.</w:t>
              </w:r>
            </w:hyperlink>
          </w:p>
        </w:tc>
      </w:tr>
      <w:tr>
        <w:trPr/>
        <w:tc>
          <w:tcPr>
            <w:tcW w:w="1211" w:type="dxa"/>
            <w:gridSpan w:val="3"/>
            <w:tcBorders/>
            <w:vAlign w:val="center"/>
          </w:tcPr>
          <w:p>
            <w:pPr>
              <w:pStyle w:val="TableContents"/>
              <w:bidi w:val="0"/>
              <w:spacing w:before="0" w:after="283"/>
              <w:jc w:val="left"/>
              <w:rPr>
                <w:sz w:val="4"/>
                <w:szCs w:val="4"/>
              </w:rPr>
            </w:pPr>
            <w:r>
              <w:rPr>
                <w:sz w:val="4"/>
                <w:szCs w:val="4"/>
              </w:rPr>
            </w:r>
          </w:p>
        </w:tc>
        <w:tc>
          <w:tcPr>
            <w:tcW w:w="8994" w:type="dxa"/>
            <w:gridSpan w:val="3"/>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32.1</w:t>
            </w:r>
          </w:p>
        </w:tc>
        <w:tc>
          <w:tcPr>
            <w:tcW w:w="8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63023x10xqexhibit321.htm">
              <w:r>
                <w:rPr>
                  <w:rStyle w:val="InternetLink"/>
                  <w:rFonts w:ascii="Times New Roman;sans-serif" w:hAnsi="Times New Roman;sans-serif"/>
                  <w:b w:val="false"/>
                  <w:color w:val="0000FF"/>
                  <w:sz w:val="22"/>
                  <w:u w:val="single"/>
                </w:rPr>
                <w:t>Certification of Principal Executive Officer Pursuant to 18 U.S.C. Section 1350, as Adopted Pursuant to Section 906 of the Sarbanes-Oxley Act of 2002.</w:t>
              </w:r>
            </w:hyperlink>
          </w:p>
        </w:tc>
      </w:tr>
      <w:tr>
        <w:trPr/>
        <w:tc>
          <w:tcPr>
            <w:tcW w:w="1211" w:type="dxa"/>
            <w:gridSpan w:val="3"/>
            <w:tcBorders/>
            <w:vAlign w:val="center"/>
          </w:tcPr>
          <w:p>
            <w:pPr>
              <w:pStyle w:val="TableContents"/>
              <w:bidi w:val="0"/>
              <w:spacing w:before="0" w:after="283"/>
              <w:jc w:val="left"/>
              <w:rPr>
                <w:sz w:val="4"/>
                <w:szCs w:val="4"/>
              </w:rPr>
            </w:pPr>
            <w:r>
              <w:rPr>
                <w:sz w:val="4"/>
                <w:szCs w:val="4"/>
              </w:rPr>
            </w:r>
          </w:p>
        </w:tc>
        <w:tc>
          <w:tcPr>
            <w:tcW w:w="8994" w:type="dxa"/>
            <w:gridSpan w:val="3"/>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32.2</w:t>
            </w:r>
          </w:p>
        </w:tc>
        <w:tc>
          <w:tcPr>
            <w:tcW w:w="8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63023x10xqexhibit322.htm">
              <w:r>
                <w:rPr>
                  <w:rStyle w:val="InternetLink"/>
                  <w:rFonts w:ascii="Times New Roman;sans-serif" w:hAnsi="Times New Roman;sans-serif"/>
                  <w:b w:val="false"/>
                  <w:color w:val="0000FF"/>
                  <w:sz w:val="22"/>
                  <w:u w:val="single"/>
                </w:rPr>
                <w:t>Certification of Principal Financial Officer Pursuant to 18 U.S.C. Section 1350, as Adopted Pursuant to Section 906 of the Sarbanes-Oxley Act of 2002.</w:t>
              </w:r>
            </w:hyperlink>
          </w:p>
        </w:tc>
      </w:tr>
      <w:tr>
        <w:trPr/>
        <w:tc>
          <w:tcPr>
            <w:tcW w:w="1211" w:type="dxa"/>
            <w:gridSpan w:val="3"/>
            <w:tcBorders/>
            <w:vAlign w:val="center"/>
          </w:tcPr>
          <w:p>
            <w:pPr>
              <w:pStyle w:val="TableContents"/>
              <w:bidi w:val="0"/>
              <w:spacing w:before="0" w:after="283"/>
              <w:jc w:val="left"/>
              <w:rPr>
                <w:sz w:val="4"/>
                <w:szCs w:val="4"/>
              </w:rPr>
            </w:pPr>
            <w:r>
              <w:rPr>
                <w:sz w:val="4"/>
                <w:szCs w:val="4"/>
              </w:rPr>
            </w:r>
          </w:p>
        </w:tc>
        <w:tc>
          <w:tcPr>
            <w:tcW w:w="899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68" w:before="3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the requirements of the Securities Exchange Act of 1934, the registrant has duly caused this report to be signed on its behalf by the undersigned thereunto duly authorized. </w:t>
      </w:r>
    </w:p>
    <w:tbl>
      <w:tblPr>
        <w:tblW w:w="7005"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1424"/>
        <w:gridCol w:w="1424"/>
        <w:gridCol w:w="1427"/>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ALTI GLOBAL,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Tiedemann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Michael Tiedemann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Reid Parmelee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Reid Parmelee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Interim 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pStyle w:val="TextBody"/>
        <w:bidi w:val="0"/>
        <w:spacing w:before="360" w:after="283"/>
        <w:jc w:val="both"/>
        <w:rPr/>
      </w:pPr>
      <w:r>
        <w:rPr/>
      </w:r>
    </w:p>
    <w:p>
      <w:pPr>
        <w:pStyle w:val="TextBody"/>
        <w:bidi w:val="0"/>
        <w:spacing w:before="360" w:after="283"/>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31.1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OF CHIEF EXECUTIVE OFFICER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Michael Tiedemann,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August 14, 2023 </w:t>
      </w:r>
    </w:p>
    <w:tbl>
      <w:tblPr>
        <w:tblW w:w="2490" w:type="dxa"/>
        <w:jc w:val="left"/>
        <w:tblInd w:w="0" w:type="dxa"/>
        <w:tblLayout w:type="fixed"/>
        <w:tblCellMar>
          <w:top w:w="28" w:type="dxa"/>
          <w:left w:w="28" w:type="dxa"/>
          <w:bottom w:w="28" w:type="dxa"/>
          <w:right w:w="28" w:type="dxa"/>
        </w:tblCellMar>
      </w:tblPr>
      <w:tblGrid>
        <w:gridCol w:w="797"/>
        <w:gridCol w:w="700"/>
        <w:gridCol w:w="99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Tiedemann</w:t>
            </w:r>
          </w:p>
        </w:tc>
      </w:tr>
      <w:tr>
        <w:trPr/>
        <w:tc>
          <w:tcPr>
            <w:tcW w:w="24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Michael Tiedemann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31.2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OF CHIEF FINANCIAL OFFICER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Reid Parmelee,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August 14, 2023 </w:t>
      </w:r>
    </w:p>
    <w:tbl>
      <w:tblPr>
        <w:tblW w:w="3779" w:type="dxa"/>
        <w:jc w:val="left"/>
        <w:tblInd w:w="0" w:type="dxa"/>
        <w:tblLayout w:type="fixed"/>
        <w:tblCellMar>
          <w:top w:w="28" w:type="dxa"/>
          <w:left w:w="28" w:type="dxa"/>
          <w:bottom w:w="28" w:type="dxa"/>
          <w:right w:w="28" w:type="dxa"/>
        </w:tblCellMar>
      </w:tblPr>
      <w:tblGrid>
        <w:gridCol w:w="1208"/>
        <w:gridCol w:w="1061"/>
        <w:gridCol w:w="1510"/>
      </w:tblGrid>
      <w:tr>
        <w:trPr/>
        <w:tc>
          <w:tcPr>
            <w:tcW w:w="120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Reid Parmelee</w:t>
            </w:r>
          </w:p>
        </w:tc>
      </w:tr>
      <w:tr>
        <w:trPr/>
        <w:tc>
          <w:tcPr>
            <w:tcW w:w="37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Reid Parmelee</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32.1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 U.S.C. SECTION 1350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SECTION 906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AlTi Global, Inc. (the “Company”) on Form 10-Q for the quarterly period ended June 30, 2023, as filed with the Securities and Exchange Commission (the “Report”), I, Michael Tiedemann, Chief Executive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Dated: August 14, 2023 </w:t>
      </w:r>
    </w:p>
    <w:tbl>
      <w:tblPr>
        <w:tblW w:w="2490" w:type="dxa"/>
        <w:jc w:val="left"/>
        <w:tblInd w:w="0" w:type="dxa"/>
        <w:tblLayout w:type="fixed"/>
        <w:tblCellMar>
          <w:top w:w="28" w:type="dxa"/>
          <w:left w:w="28" w:type="dxa"/>
          <w:bottom w:w="28" w:type="dxa"/>
          <w:right w:w="28" w:type="dxa"/>
        </w:tblCellMar>
      </w:tblPr>
      <w:tblGrid>
        <w:gridCol w:w="797"/>
        <w:gridCol w:w="700"/>
        <w:gridCol w:w="99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Tiedemann</w:t>
            </w:r>
          </w:p>
        </w:tc>
      </w:tr>
      <w:tr>
        <w:trPr/>
        <w:tc>
          <w:tcPr>
            <w:tcW w:w="24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Tiedemann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32.2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 U.S.C. SECTION 1350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SECTION 906 OF THE SARBANES-OXLEY ACT OF 2002 </w:t>
      </w:r>
    </w:p>
    <w:p>
      <w:pPr>
        <w:pStyle w:val="TextBody"/>
        <w:bidi w:val="0"/>
        <w:spacing w:lineRule="auto" w:line="240"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AlTi Global, Inc. (the “Company”) on Form 10-Q for the quarterly period ended June 30, 2023, as filed with the Securities and Exchange Commission (the “Report”), I, Reid Parmelee, Interim Chief Financial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Dated: August 14, 2023 </w:t>
      </w:r>
    </w:p>
    <w:tbl>
      <w:tblPr>
        <w:tblW w:w="3779" w:type="dxa"/>
        <w:jc w:val="left"/>
        <w:tblInd w:w="0" w:type="dxa"/>
        <w:tblLayout w:type="fixed"/>
        <w:tblCellMar>
          <w:top w:w="28" w:type="dxa"/>
          <w:left w:w="28" w:type="dxa"/>
          <w:bottom w:w="28" w:type="dxa"/>
          <w:right w:w="28" w:type="dxa"/>
        </w:tblCellMar>
      </w:tblPr>
      <w:tblGrid>
        <w:gridCol w:w="1208"/>
        <w:gridCol w:w="1061"/>
        <w:gridCol w:w="1510"/>
      </w:tblGrid>
      <w:tr>
        <w:trPr/>
        <w:tc>
          <w:tcPr>
            <w:tcW w:w="120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Reid Parmelee</w:t>
            </w:r>
          </w:p>
        </w:tc>
      </w:tr>
      <w:tr>
        <w:trPr/>
        <w:tc>
          <w:tcPr>
            <w:tcW w:w="37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Reid Parmelee</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38615/000119312523187258/d483144d8k.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38387</Words>
  <Characters>216025</Characters>
  <CharactersWithSpaces>252284</CharactersWithSpaces>
  <Paragraphs>4494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