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7"/>
        <w:gridCol w:w="2877"/>
        <w:gridCol w:w="407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ANNUAL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001-40103</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AlTi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w:t>
      </w:r>
    </w:p>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92-1552220</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120" w:after="283"/>
        <w:jc w:val="center"/>
        <w:rPr/>
      </w:pPr>
      <w:r>
        <w:rPr>
          <w:rFonts w:ascii="Times New Roman;serif" w:hAnsi="Times New Roman;serif"/>
          <w:b/>
          <w:color w:val="000000"/>
          <w:sz w:val="20"/>
        </w:rPr>
        <w:t>22 Vanderbilt Avenue, 27</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0"/>
        </w:rPr>
        <w:t xml:space="preserve">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10017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(212) 396-5900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Exchange Act: </w:t>
      </w:r>
    </w:p>
    <w:tbl>
      <w:tblPr>
        <w:tblW w:w="7512" w:type="dxa"/>
        <w:jc w:val="center"/>
        <w:tblInd w:w="0" w:type="dxa"/>
        <w:tblLayout w:type="fixed"/>
        <w:tblCellMar>
          <w:top w:w="28" w:type="dxa"/>
          <w:left w:w="28" w:type="dxa"/>
          <w:bottom w:w="28" w:type="dxa"/>
          <w:right w:w="28" w:type="dxa"/>
        </w:tblCellMar>
      </w:tblPr>
      <w:tblGrid>
        <w:gridCol w:w="1629"/>
        <w:gridCol w:w="1438"/>
        <w:gridCol w:w="1447"/>
        <w:gridCol w:w="289"/>
        <w:gridCol w:w="289"/>
        <w:gridCol w:w="291"/>
        <w:gridCol w:w="623"/>
        <w:gridCol w:w="623"/>
        <w:gridCol w:w="883"/>
      </w:tblGrid>
      <w:tr>
        <w:trPr/>
        <w:tc>
          <w:tcPr>
            <w:tcW w:w="16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u w:val="single"/>
              </w:rPr>
            </w:pPr>
            <w:r>
              <w:rPr>
                <w:rFonts w:ascii="Times New Roman;serif" w:hAnsi="Times New Roman;serif"/>
                <w:b/>
                <w:color w:val="000000"/>
                <w:sz w:val="16"/>
                <w:u w:val="single"/>
              </w:rPr>
              <w:t>Symbol (s)</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u w:val="single"/>
              </w:rPr>
            </w:pPr>
            <w:r>
              <w:rPr>
                <w:rFonts w:ascii="Times New Roman;serif" w:hAnsi="Times New Roman;serif"/>
                <w:b/>
                <w:color w:val="000000"/>
                <w:sz w:val="16"/>
                <w:u w:val="single"/>
              </w:rPr>
              <w:t>on Which Registered</w:t>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ALTI</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Nasdaq Capital Market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120" w:after="283"/>
        <w:jc w:val="left"/>
        <w:rPr/>
      </w:pPr>
      <w:r>
        <w:rPr>
          <w:rFonts w:ascii="Times New Roman;serif" w:hAnsi="Times New Roman;serif"/>
          <w:b w:val="false"/>
          <w:color w:val="000000"/>
          <w:sz w:val="20"/>
        </w:rPr>
        <w:t>Indicate by check mark if the registrant is a well-known seasoned issuer, as defined in Rule 405 of the Securities Act.</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Indicate by check mark if the registrant is not required to file reports pursuant to Section 13 or Section 15(d) of the Act.</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o</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Wingdings;sans-serif" w:hAnsi="Wingdings;sans-serif"/>
          <w:b w:val="false"/>
          <w:color w:val="000000"/>
          <w:sz w:val="20"/>
        </w:rPr>
        <w:t>o</w:t>
      </w:r>
    </w:p>
    <w:p>
      <w:pPr>
        <w:pStyle w:val="TextBody"/>
        <w:bidi w:val="0"/>
        <w:spacing w:lineRule="auto" w:line="288" w:before="180" w:after="283"/>
        <w:jc w:val="left"/>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sans-serif" w:hAnsi="Wingdings;sans-serif"/>
          <w:b w:val="false"/>
          <w:color w:val="000000"/>
          <w:sz w:val="20"/>
        </w:rPr>
        <w:t>o</w:t>
      </w:r>
    </w:p>
    <w:p>
      <w:pPr>
        <w:pStyle w:val="TextBody"/>
        <w:bidi w:val="0"/>
        <w:spacing w:lineRule="auto" w:line="288" w:before="180" w:after="283"/>
        <w:jc w:val="left"/>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sans-serif" w:hAnsi="Wingdings;sans-serif"/>
          <w:b w:val="false"/>
          <w:color w:val="000000"/>
          <w:sz w:val="20"/>
        </w:rPr>
        <w:t>o</w:t>
      </w:r>
    </w:p>
    <w:p>
      <w:pPr>
        <w:pStyle w:val="TextBody"/>
        <w:bidi w:val="0"/>
        <w:spacing w:lineRule="auto" w:line="288" w:before="18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common stock held by non-affiliates of the registrant on June 30, 2025, based on the closing price of $4.15 for shares of the registrant’s Class A Common Stock (as defined herein) as reported by the Nasdaq Capital Market, was approximately $313.7 million. Shares beneficially owned by each executive officer, director, and holder of more than 10% of shares have been excluded in that such persons may be deemed to be affiliates. This determination of affiliate status is not necessarily a conclusive determination for other purposes.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The registrant had outstanding 107,438,077 shares of Class A Common Stock and 43,235,073 shares of Class B Common Stock (as defined herein) as of March 31, 2026.</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297"/>
        <w:gridCol w:w="262"/>
        <w:gridCol w:w="263"/>
        <w:gridCol w:w="2956"/>
        <w:gridCol w:w="2887"/>
        <w:gridCol w:w="2905"/>
        <w:gridCol w:w="184"/>
        <w:gridCol w:w="184"/>
        <w:gridCol w:w="267"/>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60093317224b6d85d22cddd06e6e09_13">
              <w:r>
                <w:rPr>
                  <w:rStyle w:val="InternetLink"/>
                  <w:rFonts w:ascii="Times New Roman;serif" w:hAnsi="Times New Roman;serif"/>
                  <w:b w:val="false"/>
                  <w:strike w:val="false"/>
                  <w:dstrike w:val="false"/>
                  <w:color w:val="000000"/>
                  <w:sz w:val="22"/>
                  <w:u w:val="none"/>
                  <w:effect w:val="none"/>
                </w:rPr>
                <w:t xml:space="preserve">PART I </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Page</w:t>
            </w:r>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9">
              <w:r>
                <w:rPr>
                  <w:rStyle w:val="InternetLink"/>
                  <w:rFonts w:ascii="Times New Roman;serif" w:hAnsi="Times New Roman;serif"/>
                  <w:b w:val="false"/>
                  <w:strike w:val="false"/>
                  <w:dstrike w:val="false"/>
                  <w:color w:val="000000"/>
                  <w:sz w:val="22"/>
                  <w:u w:val="none"/>
                  <w:effect w:val="none"/>
                </w:rPr>
                <w:t>Item 1.</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77">
              <w:r>
                <w:rPr>
                  <w:rStyle w:val="InternetLink"/>
                  <w:rFonts w:ascii="Times New Roman;serif" w:hAnsi="Times New Roman;serif"/>
                  <w:b w:val="false"/>
                  <w:color w:val="0000FF"/>
                  <w:sz w:val="22"/>
                  <w:u w:val="single"/>
                </w:rPr>
                <w:t>Business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77">
              <w:r>
                <w:rPr>
                  <w:rStyle w:val="InternetLink"/>
                  <w:rFonts w:ascii="Times New Roman;serif" w:hAnsi="Times New Roman;serif"/>
                  <w:b w:val="false"/>
                  <w:strike w:val="false"/>
                  <w:dstrike w:val="false"/>
                  <w:color w:val="000000"/>
                  <w:sz w:val="22"/>
                  <w:u w:val="none"/>
                  <w:effect w:val="none"/>
                </w:rPr>
                <w:t>10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2">
              <w:r>
                <w:rPr>
                  <w:rStyle w:val="InternetLink"/>
                  <w:rFonts w:ascii="Times New Roman;serif" w:hAnsi="Times New Roman;serif"/>
                  <w:b w:val="false"/>
                  <w:strike w:val="false"/>
                  <w:dstrike w:val="false"/>
                  <w:color w:val="000000"/>
                  <w:sz w:val="22"/>
                  <w:u w:val="none"/>
                  <w:effect w:val="none"/>
                </w:rPr>
                <w:t>Item 1a.</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80">
              <w:r>
                <w:rPr>
                  <w:rStyle w:val="InternetLink"/>
                  <w:rFonts w:ascii="Times New Roman;serif" w:hAnsi="Times New Roman;serif"/>
                  <w:b w:val="false"/>
                  <w:color w:val="0000FF"/>
                  <w:sz w:val="22"/>
                  <w:u w:val="single"/>
                </w:rPr>
                <w:t>Risk Factors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80">
              <w:r>
                <w:rPr>
                  <w:rStyle w:val="InternetLink"/>
                  <w:rFonts w:ascii="Times New Roman;serif" w:hAnsi="Times New Roman;serif"/>
                  <w:b w:val="false"/>
                  <w:strike w:val="false"/>
                  <w:dstrike w:val="false"/>
                  <w:color w:val="000000"/>
                  <w:sz w:val="22"/>
                  <w:u w:val="none"/>
                  <w:effect w:val="none"/>
                </w:rPr>
                <w:t>21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5">
              <w:r>
                <w:rPr>
                  <w:rStyle w:val="InternetLink"/>
                  <w:rFonts w:ascii="Times New Roman;serif" w:hAnsi="Times New Roman;serif"/>
                  <w:b w:val="false"/>
                  <w:strike w:val="false"/>
                  <w:dstrike w:val="false"/>
                  <w:color w:val="000000"/>
                  <w:sz w:val="22"/>
                  <w:u w:val="none"/>
                  <w:effect w:val="none"/>
                </w:rPr>
                <w:t>Item 1b.</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83">
              <w:r>
                <w:rPr>
                  <w:rStyle w:val="InternetLink"/>
                  <w:rFonts w:ascii="Times New Roman;serif" w:hAnsi="Times New Roman;serif"/>
                  <w:b w:val="false"/>
                  <w:color w:val="0000FF"/>
                  <w:sz w:val="22"/>
                  <w:u w:val="single"/>
                </w:rPr>
                <w:t>Unresolved Staff Comments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83">
              <w:r>
                <w:rPr>
                  <w:rStyle w:val="InternetLink"/>
                  <w:rFonts w:ascii="Times New Roman;serif" w:hAnsi="Times New Roman;serif"/>
                  <w:b w:val="false"/>
                  <w:strike w:val="false"/>
                  <w:dstrike w:val="false"/>
                  <w:color w:val="000000"/>
                  <w:sz w:val="22"/>
                  <w:u w:val="none"/>
                  <w:effect w:val="non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1c.</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86">
              <w:r>
                <w:rPr>
                  <w:rStyle w:val="InternetLink"/>
                  <w:rFonts w:ascii="Times New Roman;serif" w:hAnsi="Times New Roman;serif"/>
                  <w:b w:val="false"/>
                  <w:color w:val="0000FF"/>
                  <w:sz w:val="22"/>
                  <w:u w:val="single"/>
                </w:rPr>
                <w:t>Cybersecurity</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86">
              <w:r>
                <w:rPr>
                  <w:rStyle w:val="InternetLink"/>
                  <w:rFonts w:ascii="Times New Roman;serif" w:hAnsi="Times New Roman;serif"/>
                  <w:b w:val="false"/>
                  <w:strike w:val="false"/>
                  <w:dstrike w:val="false"/>
                  <w:color w:val="000000"/>
                  <w:sz w:val="22"/>
                  <w:u w:val="none"/>
                  <w:effect w:val="none"/>
                </w:rPr>
                <w:t>64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8">
              <w:r>
                <w:rPr>
                  <w:rStyle w:val="InternetLink"/>
                  <w:rFonts w:ascii="Times New Roman;serif" w:hAnsi="Times New Roman;serif"/>
                  <w:b w:val="false"/>
                  <w:strike w:val="false"/>
                  <w:dstrike w:val="false"/>
                  <w:color w:val="000000"/>
                  <w:sz w:val="22"/>
                  <w:u w:val="none"/>
                  <w:effect w:val="none"/>
                </w:rPr>
                <w:t>Item 2.</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89">
              <w:r>
                <w:rPr>
                  <w:rStyle w:val="InternetLink"/>
                  <w:rFonts w:ascii="Times New Roman;serif" w:hAnsi="Times New Roman;serif"/>
                  <w:b w:val="false"/>
                  <w:color w:val="0000FF"/>
                  <w:sz w:val="22"/>
                  <w:u w:val="single"/>
                </w:rPr>
                <w:t>Properties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89">
              <w:r>
                <w:rPr>
                  <w:rStyle w:val="InternetLink"/>
                  <w:rFonts w:ascii="Times New Roman;serif" w:hAnsi="Times New Roman;serif"/>
                  <w:b w:val="false"/>
                  <w:strike w:val="false"/>
                  <w:dstrike w:val="false"/>
                  <w:color w:val="000000"/>
                  <w:sz w:val="22"/>
                  <w:u w:val="none"/>
                  <w:effect w:val="none"/>
                </w:rPr>
                <w:t>65</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31">
              <w:r>
                <w:rPr>
                  <w:rStyle w:val="InternetLink"/>
                  <w:rFonts w:ascii="Times New Roman;serif" w:hAnsi="Times New Roman;serif"/>
                  <w:b w:val="false"/>
                  <w:strike w:val="false"/>
                  <w:dstrike w:val="false"/>
                  <w:color w:val="000000"/>
                  <w:sz w:val="22"/>
                  <w:u w:val="none"/>
                  <w:effect w:val="none"/>
                </w:rPr>
                <w:t>Item 3.</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92">
              <w:r>
                <w:rPr>
                  <w:rStyle w:val="InternetLink"/>
                  <w:rFonts w:ascii="Times New Roman;serif" w:hAnsi="Times New Roman;serif"/>
                  <w:b w:val="false"/>
                  <w:color w:val="0000FF"/>
                  <w:sz w:val="22"/>
                  <w:u w:val="single"/>
                </w:rPr>
                <w:t>Legal Proceedings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92">
              <w:r>
                <w:rPr>
                  <w:rStyle w:val="InternetLink"/>
                  <w:rFonts w:ascii="Times New Roman;serif" w:hAnsi="Times New Roman;serif"/>
                  <w:b w:val="false"/>
                  <w:strike w:val="false"/>
                  <w:dstrike w:val="false"/>
                  <w:color w:val="000000"/>
                  <w:sz w:val="22"/>
                  <w:u w:val="none"/>
                  <w:effect w:val="none"/>
                </w:rPr>
                <w:t>65</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34">
              <w:r>
                <w:rPr>
                  <w:rStyle w:val="InternetLink"/>
                  <w:rFonts w:ascii="Times New Roman;serif" w:hAnsi="Times New Roman;serif"/>
                  <w:b w:val="false"/>
                  <w:strike w:val="false"/>
                  <w:dstrike w:val="false"/>
                  <w:color w:val="000000"/>
                  <w:sz w:val="22"/>
                  <w:u w:val="none"/>
                  <w:effect w:val="none"/>
                </w:rPr>
                <w:t>Item 4.</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95">
              <w:r>
                <w:rPr>
                  <w:rStyle w:val="InternetLink"/>
                  <w:rFonts w:ascii="Times New Roman;serif" w:hAnsi="Times New Roman;serif"/>
                  <w:b w:val="false"/>
                  <w:color w:val="0000FF"/>
                  <w:sz w:val="22"/>
                  <w:u w:val="single"/>
                </w:rPr>
                <w:t>Mine Safety Disclosures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95">
              <w:r>
                <w:rPr>
                  <w:rStyle w:val="InternetLink"/>
                  <w:rFonts w:ascii="Times New Roman;serif" w:hAnsi="Times New Roman;serif"/>
                  <w:b w:val="false"/>
                  <w:strike w:val="false"/>
                  <w:dstrike w:val="false"/>
                  <w:color w:val="000000"/>
                  <w:sz w:val="22"/>
                  <w:u w:val="none"/>
                  <w:effect w:val="none"/>
                </w:rPr>
                <w:t>65</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60093317224b6d85d22cddd06e6e09_199">
              <w:r>
                <w:rPr>
                  <w:rStyle w:val="InternetLink"/>
                  <w:rFonts w:ascii="Times New Roman;serif" w:hAnsi="Times New Roman;serif"/>
                  <w:b w:val="false"/>
                  <w:strike w:val="false"/>
                  <w:dstrike w:val="false"/>
                  <w:color w:val="000000"/>
                  <w:sz w:val="22"/>
                  <w:u w:val="none"/>
                  <w:effect w:val="none"/>
                </w:rPr>
                <w:t>PART II</w:t>
              </w:r>
            </w:hyperlink>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40">
              <w:r>
                <w:rPr>
                  <w:rStyle w:val="InternetLink"/>
                  <w:rFonts w:ascii="Times New Roman;serif" w:hAnsi="Times New Roman;serif"/>
                  <w:b w:val="false"/>
                  <w:strike w:val="false"/>
                  <w:dstrike w:val="false"/>
                  <w:color w:val="000000"/>
                  <w:sz w:val="22"/>
                  <w:u w:val="none"/>
                  <w:effect w:val="none"/>
                </w:rPr>
                <w:t>Item 5.</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02">
              <w:r>
                <w:rPr>
                  <w:rStyle w:val="InternetLink"/>
                  <w:rFonts w:ascii="Times New Roman;serif" w:hAnsi="Times New Roman;serif"/>
                  <w:b w:val="false"/>
                  <w:color w:val="0000FF"/>
                  <w:sz w:val="22"/>
                  <w:u w:val="single"/>
                </w:rPr>
                <w:t>Market For Registrant’s Common Equity, Related Stockholder Matters And Issuer Purchases Of Equity Securities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02">
              <w:r>
                <w:rPr>
                  <w:rStyle w:val="InternetLink"/>
                  <w:rFonts w:ascii="Times New Roman;serif" w:hAnsi="Times New Roman;serif"/>
                  <w:b w:val="false"/>
                  <w:strike w:val="false"/>
                  <w:dstrike w:val="false"/>
                  <w:color w:val="000000"/>
                  <w:sz w:val="22"/>
                  <w:u w:val="none"/>
                  <w:effect w:val="none"/>
                </w:rPr>
                <w:t>66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46">
              <w:r>
                <w:rPr>
                  <w:rStyle w:val="InternetLink"/>
                  <w:rFonts w:ascii="Times New Roman;serif" w:hAnsi="Times New Roman;serif"/>
                  <w:b w:val="false"/>
                  <w:strike w:val="false"/>
                  <w:dstrike w:val="false"/>
                  <w:color w:val="000000"/>
                  <w:sz w:val="22"/>
                  <w:u w:val="none"/>
                  <w:effect w:val="none"/>
                </w:rPr>
                <w:t>Item 6.</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05">
              <w:r>
                <w:rPr>
                  <w:rStyle w:val="InternetLink"/>
                  <w:rFonts w:ascii="Times New Roman;serif" w:hAnsi="Times New Roman;serif"/>
                  <w:b w:val="false"/>
                  <w:color w:val="0000FF"/>
                  <w:sz w:val="22"/>
                  <w:u w:val="single"/>
                </w:rPr>
                <w:t>[Reserved]</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05">
              <w:r>
                <w:rPr>
                  <w:rStyle w:val="InternetLink"/>
                  <w:rFonts w:ascii="Times New Roman;serif" w:hAnsi="Times New Roman;serif"/>
                  <w:b w:val="false"/>
                  <w:strike w:val="false"/>
                  <w:dstrike w:val="false"/>
                  <w:color w:val="000000"/>
                  <w:sz w:val="22"/>
                  <w:u w:val="none"/>
                  <w:effect w:val="none"/>
                </w:rPr>
                <w:t>66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52">
              <w:r>
                <w:rPr>
                  <w:rStyle w:val="InternetLink"/>
                  <w:rFonts w:ascii="Times New Roman;serif" w:hAnsi="Times New Roman;serif"/>
                  <w:b w:val="false"/>
                  <w:strike w:val="false"/>
                  <w:dstrike w:val="false"/>
                  <w:color w:val="000000"/>
                  <w:sz w:val="22"/>
                  <w:u w:val="none"/>
                  <w:effect w:val="none"/>
                </w:rPr>
                <w:t>Item 7.</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06">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106">
              <w:r>
                <w:rPr>
                  <w:rStyle w:val="InternetLink"/>
                  <w:rFonts w:ascii="Times New Roman;serif" w:hAnsi="Times New Roman;serif"/>
                  <w:b w:val="false"/>
                  <w:strike w:val="false"/>
                  <w:dstrike w:val="false"/>
                  <w:color w:val="000000"/>
                  <w:sz w:val="22"/>
                  <w:u w:val="none"/>
                  <w:effect w:val="none"/>
                </w:rPr>
                <w:t>67</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15">
              <w:r>
                <w:rPr>
                  <w:rStyle w:val="InternetLink"/>
                  <w:rFonts w:ascii="Times New Roman;serif" w:hAnsi="Times New Roman;serif"/>
                  <w:b w:val="false"/>
                  <w:strike w:val="false"/>
                  <w:dstrike w:val="false"/>
                  <w:color w:val="000000"/>
                  <w:sz w:val="22"/>
                  <w:u w:val="none"/>
                  <w:effect w:val="none"/>
                </w:rPr>
                <w:t>Item 7a.</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63">
              <w:r>
                <w:rPr>
                  <w:rStyle w:val="InternetLink"/>
                  <w:rFonts w:ascii="Times New Roman;serif" w:hAnsi="Times New Roman;serif"/>
                  <w:b w:val="false"/>
                  <w:color w:val="0000FF"/>
                  <w:sz w:val="22"/>
                  <w:u w:val="single"/>
                </w:rPr>
                <w:t>Quantitative And Qualitative Disclosures About Market Risk</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163">
              <w:r>
                <w:rPr>
                  <w:rStyle w:val="InternetLink"/>
                  <w:rFonts w:ascii="Times New Roman;serif" w:hAnsi="Times New Roman;serif"/>
                  <w:b w:val="false"/>
                  <w:strike w:val="false"/>
                  <w:dstrike w:val="false"/>
                  <w:color w:val="000000"/>
                  <w:sz w:val="22"/>
                  <w:u w:val="none"/>
                  <w:effect w:val="none"/>
                </w:rPr>
                <w:t>86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18">
              <w:r>
                <w:rPr>
                  <w:rStyle w:val="InternetLink"/>
                  <w:rFonts w:ascii="Times New Roman;serif" w:hAnsi="Times New Roman;serif"/>
                  <w:b w:val="false"/>
                  <w:strike w:val="false"/>
                  <w:dstrike w:val="false"/>
                  <w:color w:val="000000"/>
                  <w:sz w:val="22"/>
                  <w:u w:val="none"/>
                  <w:effect w:val="none"/>
                </w:rPr>
                <w:t>Item 8.</w:t>
              </w:r>
            </w:hyperlink>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6">
              <w:r>
                <w:rPr>
                  <w:rStyle w:val="InternetLink"/>
                  <w:rFonts w:ascii="Times New Roman;serif" w:hAnsi="Times New Roman;serif"/>
                  <w:b w:val="false"/>
                  <w:color w:val="0000FF"/>
                  <w:sz w:val="22"/>
                  <w:u w:val="single"/>
                </w:rPr>
                <w:t>Financial Statements And Supplementary Data</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16">
              <w:r>
                <w:rPr>
                  <w:rStyle w:val="InternetLink"/>
                  <w:rFonts w:ascii="Times New Roman;serif" w:hAnsi="Times New Roman;serif"/>
                  <w:b w:val="false"/>
                  <w:strike w:val="false"/>
                  <w:dstrike w:val="false"/>
                  <w:color w:val="000000"/>
                  <w:sz w:val="22"/>
                  <w:u w:val="none"/>
                  <w:effect w:val="none"/>
                </w:rPr>
                <w:t>87</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9.</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08">
              <w:r>
                <w:rPr>
                  <w:rStyle w:val="InternetLink"/>
                  <w:rFonts w:ascii="Times New Roman;serif" w:hAnsi="Times New Roman;serif"/>
                  <w:b w:val="false"/>
                  <w:color w:val="0000FF"/>
                  <w:sz w:val="22"/>
                  <w:u w:val="single"/>
                </w:rPr>
                <w:t>Changes In And Disagreements With Accountants On Accounting And Financial Disclosure</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08">
              <w:r>
                <w:rPr>
                  <w:rStyle w:val="InternetLink"/>
                  <w:rFonts w:ascii="Times New Roman;serif" w:hAnsi="Times New Roman;serif"/>
                  <w:b w:val="false"/>
                  <w:strike w:val="false"/>
                  <w:dstrike w:val="false"/>
                  <w:color w:val="000000"/>
                  <w:sz w:val="22"/>
                  <w:u w:val="none"/>
                  <w:effect w:val="none"/>
                </w:rPr>
                <w:t>170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9a.</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11">
              <w:r>
                <w:rPr>
                  <w:rStyle w:val="InternetLink"/>
                  <w:rFonts w:ascii="Times New Roman;serif" w:hAnsi="Times New Roman;serif"/>
                  <w:b w:val="false"/>
                  <w:color w:val="0000FF"/>
                  <w:sz w:val="22"/>
                  <w:u w:val="single"/>
                </w:rPr>
                <w:t>Controls And Procedures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166">
              <w:r>
                <w:rPr>
                  <w:rStyle w:val="InternetLink"/>
                  <w:rFonts w:ascii="Times New Roman;serif" w:hAnsi="Times New Roman;serif"/>
                  <w:b w:val="false"/>
                  <w:strike w:val="false"/>
                  <w:dstrike w:val="false"/>
                  <w:color w:val="000000"/>
                  <w:sz w:val="22"/>
                  <w:u w:val="none"/>
                  <w:effect w:val="none"/>
                </w:rPr>
                <w:t>170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9b.</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14">
              <w:r>
                <w:rPr>
                  <w:rStyle w:val="InternetLink"/>
                  <w:rFonts w:ascii="Times New Roman;serif" w:hAnsi="Times New Roman;serif"/>
                  <w:b w:val="false"/>
                  <w:color w:val="0000FF"/>
                  <w:sz w:val="22"/>
                  <w:u w:val="single"/>
                </w:rPr>
                <w:t>Other Information</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14">
              <w:r>
                <w:rPr>
                  <w:rStyle w:val="InternetLink"/>
                  <w:rFonts w:ascii="Times New Roman;serif" w:hAnsi="Times New Roman;serif"/>
                  <w:b w:val="false"/>
                  <w:strike w:val="false"/>
                  <w:dstrike w:val="false"/>
                  <w:color w:val="000000"/>
                  <w:sz w:val="22"/>
                  <w:u w:val="none"/>
                  <w:effect w:val="none"/>
                </w:rPr>
                <w:t>172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9c.</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17">
              <w:r>
                <w:rPr>
                  <w:rStyle w:val="InternetLink"/>
                  <w:rFonts w:ascii="Times New Roman;serif" w:hAnsi="Times New Roman;serif"/>
                  <w:b w:val="false"/>
                  <w:color w:val="0000FF"/>
                  <w:sz w:val="22"/>
                  <w:u w:val="single"/>
                </w:rPr>
                <w:t>Disclosure Regarding Foreign Jurisdictions That Prevent Inspections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17">
              <w:r>
                <w:rPr>
                  <w:rStyle w:val="InternetLink"/>
                  <w:rFonts w:ascii="Times New Roman;serif" w:hAnsi="Times New Roman;serif"/>
                  <w:b w:val="false"/>
                  <w:strike w:val="false"/>
                  <w:dstrike w:val="false"/>
                  <w:color w:val="000000"/>
                  <w:sz w:val="22"/>
                  <w:u w:val="none"/>
                  <w:effect w:val="none"/>
                </w:rPr>
                <w:t>172</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60093317224b6d85d22cddd06e6e09_220">
              <w:r>
                <w:rPr>
                  <w:rStyle w:val="InternetLink"/>
                  <w:rFonts w:ascii="Times New Roman;serif" w:hAnsi="Times New Roman;serif"/>
                  <w:b w:val="false"/>
                  <w:strike w:val="false"/>
                  <w:dstrike w:val="false"/>
                  <w:color w:val="000000"/>
                  <w:sz w:val="22"/>
                  <w:u w:val="none"/>
                  <w:effect w:val="none"/>
                </w:rPr>
                <w:t>PART III</w:t>
              </w:r>
            </w:hyperlink>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10.</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23">
              <w:r>
                <w:rPr>
                  <w:rStyle w:val="InternetLink"/>
                  <w:rFonts w:ascii="Times New Roman;serif" w:hAnsi="Times New Roman;serif"/>
                  <w:b w:val="false"/>
                  <w:color w:val="0000FF"/>
                  <w:sz w:val="22"/>
                  <w:u w:val="single"/>
                </w:rPr>
                <w:t>Directors, Executive Officers And Corporate Governance</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23">
              <w:r>
                <w:rPr>
                  <w:rStyle w:val="InternetLink"/>
                  <w:rFonts w:ascii="Times New Roman;serif" w:hAnsi="Times New Roman;serif"/>
                  <w:b w:val="false"/>
                  <w:strike w:val="false"/>
                  <w:dstrike w:val="false"/>
                  <w:color w:val="000000"/>
                  <w:sz w:val="22"/>
                  <w:u w:val="none"/>
                  <w:effect w:val="none"/>
                </w:rPr>
                <w:t>173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11.</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26">
              <w:r>
                <w:rPr>
                  <w:rStyle w:val="InternetLink"/>
                  <w:rFonts w:ascii="Times New Roman;serif" w:hAnsi="Times New Roman;serif"/>
                  <w:b w:val="false"/>
                  <w:color w:val="0000FF"/>
                  <w:sz w:val="22"/>
                  <w:u w:val="single"/>
                </w:rPr>
                <w:t>Executive Compensation</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26">
              <w:r>
                <w:rPr>
                  <w:rStyle w:val="InternetLink"/>
                  <w:rFonts w:ascii="Times New Roman;serif" w:hAnsi="Times New Roman;serif"/>
                  <w:b w:val="false"/>
                  <w:strike w:val="false"/>
                  <w:dstrike w:val="false"/>
                  <w:color w:val="000000"/>
                  <w:sz w:val="22"/>
                  <w:u w:val="none"/>
                  <w:effect w:val="none"/>
                </w:rPr>
                <w:t>173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12.</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29">
              <w:r>
                <w:rPr>
                  <w:rStyle w:val="InternetLink"/>
                  <w:rFonts w:ascii="Times New Roman;serif" w:hAnsi="Times New Roman;serif"/>
                  <w:b w:val="false"/>
                  <w:color w:val="0000FF"/>
                  <w:sz w:val="22"/>
                  <w:u w:val="single"/>
                </w:rPr>
                <w:t>Security Ownership Of Certain Beneficial Owners And Management And Related Stockholder Matters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29">
              <w:r>
                <w:rPr>
                  <w:rStyle w:val="InternetLink"/>
                  <w:rFonts w:ascii="Times New Roman;serif" w:hAnsi="Times New Roman;serif"/>
                  <w:b w:val="false"/>
                  <w:strike w:val="false"/>
                  <w:dstrike w:val="false"/>
                  <w:color w:val="000000"/>
                  <w:sz w:val="22"/>
                  <w:u w:val="none"/>
                  <w:effect w:val="none"/>
                </w:rPr>
                <w:t>173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13.</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32">
              <w:r>
                <w:rPr>
                  <w:rStyle w:val="InternetLink"/>
                  <w:rFonts w:ascii="Times New Roman;serif" w:hAnsi="Times New Roman;serif"/>
                  <w:b w:val="false"/>
                  <w:color w:val="0000FF"/>
                  <w:sz w:val="22"/>
                  <w:u w:val="single"/>
                </w:rPr>
                <w:t>Certain Relationships And Related Transactions, And Director Independence</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32">
              <w:r>
                <w:rPr>
                  <w:rStyle w:val="InternetLink"/>
                  <w:rFonts w:ascii="Times New Roman;serif" w:hAnsi="Times New Roman;serif"/>
                  <w:b w:val="false"/>
                  <w:strike w:val="false"/>
                  <w:dstrike w:val="false"/>
                  <w:color w:val="000000"/>
                  <w:sz w:val="22"/>
                  <w:u w:val="none"/>
                  <w:effect w:val="none"/>
                </w:rPr>
                <w:t>173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14.</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35">
              <w:r>
                <w:rPr>
                  <w:rStyle w:val="InternetLink"/>
                  <w:rFonts w:ascii="Times New Roman;serif" w:hAnsi="Times New Roman;serif"/>
                  <w:b w:val="false"/>
                  <w:color w:val="0000FF"/>
                  <w:sz w:val="22"/>
                  <w:u w:val="single"/>
                </w:rPr>
                <w:t>Principal Accountant Fees And Services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35">
              <w:r>
                <w:rPr>
                  <w:rStyle w:val="InternetLink"/>
                  <w:rFonts w:ascii="Times New Roman;serif" w:hAnsi="Times New Roman;serif"/>
                  <w:b w:val="false"/>
                  <w:strike w:val="false"/>
                  <w:dstrike w:val="false"/>
                  <w:color w:val="000000"/>
                  <w:sz w:val="22"/>
                  <w:u w:val="none"/>
                  <w:effect w:val="none"/>
                </w:rPr>
                <w:t>173</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15.</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41">
              <w:r>
                <w:rPr>
                  <w:rStyle w:val="InternetLink"/>
                  <w:rFonts w:ascii="Times New Roman;serif" w:hAnsi="Times New Roman;serif"/>
                  <w:b w:val="false"/>
                  <w:color w:val="0000FF"/>
                  <w:sz w:val="22"/>
                  <w:u w:val="single"/>
                </w:rPr>
                <w:t>Exhibits And Financial Statement Schedules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41">
              <w:r>
                <w:rPr>
                  <w:rStyle w:val="InternetLink"/>
                  <w:rFonts w:ascii="Times New Roman;serif" w:hAnsi="Times New Roman;serif"/>
                  <w:b w:val="false"/>
                  <w:strike w:val="false"/>
                  <w:dstrike w:val="false"/>
                  <w:color w:val="000000"/>
                  <w:sz w:val="22"/>
                  <w:u w:val="none"/>
                  <w:effect w:val="none"/>
                </w:rPr>
                <w:t>174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Item 16.</w:t>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244">
              <w:r>
                <w:rPr>
                  <w:rStyle w:val="InternetLink"/>
                  <w:rFonts w:ascii="Times New Roman;serif" w:hAnsi="Times New Roman;serif"/>
                  <w:b w:val="false"/>
                  <w:color w:val="0000FF"/>
                  <w:sz w:val="22"/>
                  <w:u w:val="single"/>
                </w:rPr>
                <w:t>Form 10-K Summary</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244">
              <w:r>
                <w:rPr>
                  <w:rStyle w:val="InternetLink"/>
                  <w:rFonts w:ascii="Times New Roman;serif" w:hAnsi="Times New Roman;serif"/>
                  <w:b w:val="false"/>
                  <w:strike w:val="false"/>
                  <w:dstrike w:val="false"/>
                  <w:color w:val="000000"/>
                  <w:sz w:val="22"/>
                  <w:u w:val="none"/>
                  <w:effect w:val="none"/>
                </w:rPr>
                <w:t>176</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60093317224b6d85d22cddd06e6e09_193">
              <w:r>
                <w:rPr>
                  <w:rStyle w:val="InternetLink"/>
                  <w:rFonts w:ascii="Times New Roman;serif" w:hAnsi="Times New Roman;serif"/>
                  <w:b w:val="false"/>
                  <w:color w:val="0000FF"/>
                  <w:sz w:val="22"/>
                  <w:u w:val="single"/>
                </w:rPr>
                <w:t>SIGNATURES</w:t>
              </w:r>
            </w:hyperlink>
          </w:p>
        </w:tc>
        <w:tc>
          <w:tcPr>
            <w:tcW w:w="63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60093317224b6d85d22cddd06e6e09_193">
              <w:r>
                <w:rPr>
                  <w:rStyle w:val="InternetLink"/>
                  <w:rFonts w:ascii="Times New Roman;serif" w:hAnsi="Times New Roman;serif"/>
                  <w:b w:val="false"/>
                  <w:strike w:val="false"/>
                  <w:dstrike w:val="false"/>
                  <w:color w:val="000000"/>
                  <w:sz w:val="22"/>
                  <w:u w:val="none"/>
                  <w:effect w:val="none"/>
                </w:rPr>
                <w:t>177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Defined Terms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herein but not otherwise defined herein shall have the respective meanings ascribed to them in the Amended and Restated Business Combination Agreement, a copy of which is filed as an exhibit to our Annual Report on Form 10-K for the year ended December 31, 2025 (the “Annual Report”).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Administrators” means Matthew Mawhinney and David Soden, employees of Teneo.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AFM UK” means Alvarium Fund Managers (UK)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AHRA” means Alvarium Home REIT Advisors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Allianz” means Allianz Strategic Investments S.à.r.l., a Luxembourg private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AlTi” or “Successor” means AlTi Global, Inc., together with its consolidated subsidiaries.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AlTi Global Topco” means AlTi Global Topco Limited, formerly known as Alvarium Topco, an Isle of Man entity which was established by Alvarium and owned by the Alvarium Shareholders.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Shareholders” means the shareholders of Alvarium.</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ALWP” means AlTi Wealth Management (Singapore) Pte Limited.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ARE” means AlTi RE Limited, formerly known as Alvarium RE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AUA” means assets under advisement.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AUM” means assets under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AWMS” means Alvarium Investment Managers (Suisse) SA.</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2"/>
        </w:rPr>
        <w:t xml:space="preserve">means the board of directors of AlTi.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Cartesian” means Cartesian Growth Corporation, a Cayman Islands exempted company, prior to the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Paired Interest” means a Class B Unit together with a share of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 of Operations” refers to the consolidated income statement of AlTi Global, Inc.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Constellation” means Constellation Wealth Capital, LLC.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DGCL” refers to the Delaware General Corporation Law, as amended.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Dodd-Frank Act” means the Dodd-Frank Wall Street Reform and Consumer Protection Act.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dollars” or “$” refers to U.S. dollars.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EEA” means East End Advisors, LLC.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Envoi” means Envoi, LLC.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ESG” means environmental, social and governance.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EU” means European Union.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Externally-Managed Funds” means mutual funds, exchange traded funds, hedge funds, private equity, real estate or other funds managed by a third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FCPA” means the Foreign Corrupt Practices 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FDIC” means the Federal Deposit Insurance Corporation.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Federal Reserve” means the Board of Governors of the Federal Reserve 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FOS” means the European-based trust and private office service businesses, or European Family Office Services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HLIF” means “Home Long Income Fund”, a private fund regulated by the UK FCA.</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HNWI” means high net worth individual, being an individual having investable assets of $1 million or more, excluding primary residence, collectibles, consumables, and consumer durables.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Holbein” means Holbein Partners, LLP.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 REIT” means “Home REIT plc”, a real estate investment trust listed on the London Stock Exchange.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Impact Investing” means investment practices seeking to generate various levels of financial performance together with the generation of positive measurable environmental and social impacts.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Inflation Reduction Act” means the Inflation Reduction Act of 2022.</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International Real Estate” means the segment, prior to disposal, that included the Company’s public and private real estate, and co-investment business.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Investment Company Act” means the Investment Company Act of 1940, as amended.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LRA” means LXi REIT Advisors Limited.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LXi” means LXi REIT plc.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Nasdaq” means the Nasdaq Capital Market.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NAV” means net asset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OFAC” means the Office of Foreign Assets Control of the U.S. Department of the Treasury.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PW” means Pointwise Partners Limited.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A Preferred Stock” means the Series A Cumulative Convertible Preferred Stock, $0.0001 par value,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C Preferred Stock” means the Series C Cumulative Convertible Preferred Stock, $0.0001 par value,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SHIA” means Social Housing Income Advisors Limited, an English private limited company.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Sponsor” means CGC Sponsor LLC, a Cayman Islands limited liability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Target Companies” means, collectively, TWMH, TIG GP, TIG MGMT, and Alvarium.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Tax Receivable Agreement” or “TRA” means that certain Tax Receivable Agreement, dated as of January 3, 2023, by and among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Teneo” means Teneo Financial Advisory Limited.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TIH” means Tiedemann International Holdings, AG.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TRA Exchange” means the series of transactions in which certain holders of Class B Units and Class B Common Stock have exchanged, or may in the future exchange, a portion of such interests to the Company, in exchange for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means, collectively, Tiedemann Wealth &amp; Capital Solutions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Members” means the former members of TWMH.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UHNW” means ultra high net worth individual, being an individual having investable assets of $30 million or more, excluding primary residence, collectibles, consumables, and consumer durables.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UK FCA” means the United Kingdom’s Financial Conduct Authority.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LLC Agreement” means the Fourth Amended and Restated Limited Liability Company Agreement of AlTi Global Capital, LLC, effective as of July 31, 2024.</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Merger Sub” means Rook MS,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US GAAP” means United States generally accepted accounting principles, consistently applied.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Wealth &amp; Capital Solutions” means the segment, prior to the disposal of the International Real Estate segment, that consisted of the Company’s investment management and advisory services, trusts and administrative services, family office services, and the Company’s alternatives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Annual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 xml:space="preserve">CAUTIONARY NOTE REGARDING FORWARD-LOOKING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Annual Report and some of the information incorporated herein by reference includes forward-looking statements regarding, among other things, our plans, strategies and prospects, both business and financial. These statements are based on the beliefs and assumptions of our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“continues,” “estimates,” “expects,” “projects,” “forecasts,” “may,” “might,” “will,” “should,” “could,” “seeks,” “plans,” “scheduled,” “possible,” “potential,” “predict,” “project,” “anticipates,” “intends,” “aims,” “works,” “focuses,” “aspires,” “strives” or “sets out” or similar expressions.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Forward-looking statements are not guarantees of performance, and the absence of these words does not mean that a statement is not forward-looking. You should understand that the following important factors could affect our future results and could cause those results or other outcomes to differ materially from those expressed or implied in the forward-looking statements herein: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projected financial information, growth rate, and market opportunity;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ability to grow and manage growth profitably;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ability to raise financings and consummate investments in the future, if and when needed;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success in retaining or recruiting, or adapting to changes in, our officers, key employees, or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ability to attract and retain our senior management and other highly qualified personnel;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ability to achieve or maintain profitability;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period over which we anticipate our existing cash and cash equivalents will be sufficient to fund our operating expenses and capital expenditure requirements;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ability to successfully protect against security breaches, ransomware attacks, and other disruptions to our information technology structure;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impact of increased scrutiny from our clients with respect to the societal and environmental impact of investments we make;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impact of changes in international trade law or policy, including tariffs and restrictions on foreign investment in the United States or U.S.-based businesses and financial institutions in other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impact of other applicable laws and regulations, whether in the United States, United Kingdom or other foreign countries, and any anticipated or actual changes thereof, on us;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ability to successfully compete against other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our estimates regarding expenses, future revenue, capital requirements, and needs for additional financing;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interest rate changes or volatility, inflation, as well as the effect of economic downturns and political and market conditions beyond our control, including a reduction in consumer discretionary spending that could adversely affect our business, financial condition, results of operations and prospects;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impact of our dependence on leverage by certain funds, underlying investment funds and portfolio companies and related volatility;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impact of any defaults by third-party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effects of any failure to comply with investment guidelines of our clients, failure or circumvention of our controls and procedures, or any insufficiencies in the due diligence process that we undertake in connection with investments;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the impact of any termination or non-renewal of our investment advisory contracts;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effect of any future pandemics on the foregoing;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other factors detailed under the section entitled “Risk Factors.” </w:t>
      </w:r>
    </w:p>
    <w:p>
      <w:pPr>
        <w:pStyle w:val="TextBody"/>
        <w:bidi w:val="0"/>
        <w:spacing w:lineRule="auto" w:line="288" w:before="200" w:after="283"/>
        <w:jc w:val="both"/>
        <w:rPr/>
      </w:pPr>
      <w:r>
        <w:rPr>
          <w:rFonts w:ascii="Times New Roman;serif" w:hAnsi="Times New Roman;serif"/>
          <w:b w:val="false"/>
          <w:color w:val="000000"/>
          <w:sz w:val="22"/>
        </w:rPr>
        <w:t>The foregoing list of factors is not exhaustive. You should carefully consider the foregoing factors and the other risks and uncertainties described in the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section of the other documents we file from time to time with the SEC. There can be no assurance that future developments affecting us will be those that we have anticipated. We undertake no obligation to update or revise any forward-looking statements, whether as a result of new information, future events or otherwise, except as may be required under applicable securities laws.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 xml:space="preserve">ITEM 1. BUSINESS </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 xml:space="preserve">General </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 xml:space="preserve">AN INTRODUCTION TO ALTI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manage or advise approximately $93.1 billion in combined assets as of December 31, 2025. We have approximately 490 professionals operating in 19 cities in 9 countries across three continents as of December 31,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Separately, we have one internally managed fund and stakes in three Externally-Managed Funds in our alternatives platform, with a largely institutional client base.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is currently organized into one operating segment. Prior to the third quarter ended September 30, 2025, the Company was organized into two operating segments: Wealth &amp; Capital Solutions and International Real Estate. The Company previously conducted a strategic review of the International Real Estate Businesses (as defined below) and, based on the conclusion that they were not a core part of its long-term strategy, re-organized its reportable segments in the third quarter of 2024. That change resulted in two reportable segments: Wealth &amp; Capital Solutions and International Real Estate, and prior period data was recast for comparative purposes. On July 11, 2025, the Board approved a plan to appoint administrators over the real estate co-investment business (“Real Estate Co-Investment”) and the real estate fund management businesses (“Real Estate Fund Management”) (together, the “International Real Estate Businesses”). See Note 3 (Discontinued Operations) to our consolidated financial statements included in this Annual Report for further information. As such, during the third quarter ended September 30, 2025, the Company disposed of its International Real Estate segment, and is now organized as one reportable segment as of September 30, 2025. </w:t>
      </w:r>
    </w:p>
    <w:p>
      <w:pPr>
        <w:pStyle w:val="TextBody"/>
        <w:bidi w:val="0"/>
        <w:spacing w:lineRule="auto" w:line="26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Overview</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Results generated by our operating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UHNW individuals, families, single-family offices, foundations, and endowments globally, while Alternatives Platform clients are typically institutional. Investment management or advisory fees, incentive fees, and distributions from investments are the primary sources of revenue in our operating segment. Management fees are generally calculated based on a percentage of the value of billable AUM or AUA (as applicable), while incentive fees are driven by the underlying performance of managed portfolios. As of December 31, 2025, the Company had $93.1 billion in AUA.</w:t>
      </w:r>
    </w:p>
    <w:p>
      <w:pPr>
        <w:pStyle w:val="TextBody"/>
        <w:bidi w:val="0"/>
        <w:spacing w:lineRule="auto" w:line="292" w:before="200" w:after="283"/>
        <w:jc w:val="both"/>
        <w:rPr>
          <w:rFonts w:ascii="Times New Roman;serif" w:hAnsi="Times New Roman;serif"/>
          <w:b/>
          <w:i/>
          <w:color w:val="000000"/>
          <w:sz w:val="22"/>
        </w:rPr>
      </w:pPr>
      <w:r>
        <w:rPr>
          <w:rFonts w:ascii="Times New Roman;serif" w:hAnsi="Times New Roman;serif"/>
          <w:b/>
          <w:i/>
          <w:color w:val="000000"/>
          <w:sz w:val="22"/>
        </w:rPr>
        <w:t>Investment Management and Advisory Services</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In building portfolios, we also consider the need to access funds for unexpected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thereby seeking to avoid forced selling of assets at inopportune times, and for clients in certain jurisdictions, such as the U.S., we are focused on understanding tax considerations and optimizing for after tax returns. In addition, we offer robust Impact Investing services that can be delivered across a broad range of asset classes.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established a platform that provides our wealth management clients access to investment opportunities in strategies and asset classes that would otherwise be difficult to access due to different limitations, including very high minimum investment thresholds of many underlying funds. For example, through our private markets partnership with Allianz, clients are able to participate in strategies that might not otherwise be available to them. We operate several vehicles focused on vintage private equity, credit, real estate, active global managers and hedge fund strategies. These vehicles may invest in either a single underlying private equity fund or a portfolio of private equity or other alternative assets funds, each managed by access constrained managers that we select thorough a disciplined manager selection process intended to identify those we believe can deliver strong risk- adjusted performance. We intend to continue launching additional vintages of these private market vehicles over time, allowing investment management and advisory clients to include an allocation to these alternative funds on a recurring basis. These private strategies are expected to include traditional as well as innovative and Impact Investing offerings.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The independence of our investment management and advisory services is a central principle for our wealth management and OCIO clients. Our services operate independently of any asset managers or investment product providers, including those affiliated with us, to which we may allocate or recommend allocations. We utilize an open architecture approach, designed to identify appropriate investment solutions in the marketplace that align with our client’s objectives. We do not receive undisclosed forms of compensation and our investment decisions and recommendations are made solely with the best interests of each client in mind.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provide clients with performance reports, detailing the clients’ portfolio performance and comparing such performance to relevant benchmarks or indices. The reporting can also include information encompassing assets that are not in the portfolio managed by AlTi to provide clients a consolidated view of all their assets. We are also able to report on impact performance for those clients interested in tracking impact specific metrics, in addition to their financial performance. </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Trust Services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trust services that we provide within our U.S. wealth service offering aim to ensure our clients’ wealth is preserved, protected, and distributed as intended. As of December 31, 2025, these services are primarily provided from Delaware, which is one of the most well-developed trust legal regimes in the United States. Our trust services include creating or modifying trust instruments and acting as fiduciary in a full, directed or executor capacity.</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Family Office Services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family office services are tailored outsourced family office solutions and administrative services which we provide primarily to our larger clients. Our family office services cover: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bookkeeping and back office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private foundation management and grant making;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oversight of trust administration;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financial tracking and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cash flow management &amp; bill pay;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other financial services.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also offer clients estate and wealth planning, family governance and education, and philanthropic and strategic services.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own and invest in alternative strategies. These investments generate incremental revenue which is used to support the growth of the wealth management business. Our alternatives platform assists money managers in building their fund management businesses. We have one internally managed fund and stakes in three Externally-Managed Funds. Our internally-managed fund, TIG Arbitrage strategy (“TIG Arbitrage”), is an event-driven fund. It is managed by our subsidiary TIG Advisors, LLC, an SEC-registered investment advisor. In addition, we have made strategic investments with External Strategic Managers, who manage approximately $5.5 billion of AUM in the aggregate as of December 31, 2025. The strategies of these External Strategic Managers include real estate bridge lending, European long-/ short equities, and Asian credit and special situations. The External Strategic Managers each focus on capital preservation and uncorrelated returns by managing alpha driven investment strategies that align with the needs of a diverse global investor base.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Internally Managed Funds</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Event-Driven Global Merger Arbitrage</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TIG Arbitrage strategy is our event-driven strategy based in New York. This strategy, which has approximately $1.8 billion of AUM as of December 31, 2025, focuses on 0-to-30-day events within the merger process. The investment team employs deep research on each situation in the portfolio with a focus on complex, hostile, up-for-sale situations where our primary research work can drive uncorrelated alpha. Our research and investment process is focused on hard catalyst events and is not dependent on deal flow.</w:t>
      </w:r>
    </w:p>
    <w:p>
      <w:pPr>
        <w:pStyle w:val="TextBody"/>
        <w:bidi w:val="0"/>
        <w:spacing w:lineRule="auto" w:line="268" w:before="180" w:after="283"/>
        <w:jc w:val="both"/>
        <w:rPr>
          <w:rFonts w:ascii="Times New Roman;serif" w:hAnsi="Times New Roman;serif"/>
          <w:b w:val="false"/>
          <w:i/>
          <w:color w:val="000000"/>
          <w:sz w:val="22"/>
        </w:rPr>
      </w:pPr>
      <w:r>
        <w:rPr>
          <w:rFonts w:ascii="Times New Roman;serif" w:hAnsi="Times New Roman;serif"/>
          <w:b w:val="false"/>
          <w:i/>
          <w:color w:val="000000"/>
          <w:sz w:val="22"/>
        </w:rPr>
        <w:t>Externally-Managed Funds</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Romspen—Real Estate Bridge Lending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manager is based in Toronto and focuses on complex construction, term, and pre-development bridge loans throughout North America. The strategy has approximately $1.9 billion of AUA as of December 31, 2025. Their experience with mortgages dates back to the 1950s when the firm operated as a real estate law firm and entered the mortgage lending business in the 1960s. The manager converted its individual mortgage syndication business to a commingled fund in early 2006. The strategy’s diversified portfolio primarily consists of first lien mortgages with little to no structural leverage. </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Zebedee—European Equities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This manager is based in London and focuses on European equities. The strategy has approximately $2.5 billion of AUA as of December 31, 2025. Founded in 2001, the manager trades the portfolio actively with absolute return-oriented focus on financials, cyclicals, and mining and minerals. The strategy is market agnostic and runs with a variable net exposure, equally comfortable net long or net short.</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Arkkan—Asian Credit and Special Situations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This manager has operated an Asia credit and special situations strategy based in Hong Kong since 2013. The strategy has approximately $1.1 billion of AUA as of December 31, 2025. They have more than 25 years of experience investing in performing, stressed, and distressed bonds and loans throughout the Asia Pacific region. We believe its on-the-ground expertise and deep local network makes them well-positioned to capitalize on an under-researched and inefficient market with limited competition and attractive levels of stressed and distressed activity.</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Ancillary Fund Management Services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offer both our manager and the External Strategic Managers in which we have made strategic investments in sales and marketing solutions including centralized marketing, investor relations, materials oversight and branding to enhance their growth.</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2024, our services also included back and middle office solutions for the funds. These services were spun out on November 15, 2024, under the name Altaira Strategic Partners which continues to provide services to the TIG Arbitrage strategy, in addition to other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240" w:after="283"/>
        <w:jc w:val="both"/>
        <w:rPr>
          <w:rFonts w:ascii="Times New Roman;serif" w:hAnsi="Times New Roman;serif"/>
          <w:b/>
          <w:color w:val="000000"/>
          <w:sz w:val="22"/>
        </w:rPr>
      </w:pPr>
      <w:r>
        <w:rPr>
          <w:rFonts w:ascii="Times New Roman;serif" w:hAnsi="Times New Roman;serif"/>
          <w:b/>
          <w:color w:val="000000"/>
          <w:sz w:val="22"/>
        </w:rPr>
        <w:t xml:space="preserve">OUR REVENUE STREAMS </w:t>
      </w:r>
    </w:p>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generates a diverse array of revenue streams that fall broadly into four categories: (i) recurring management, advisory, trustee, or administration fees (“management fees”); (ii) performance or incentive fees; (iii) distributions from investments and (iv) other income or fees.</w:t>
      </w:r>
    </w:p>
    <w:p>
      <w:pPr>
        <w:pStyle w:val="TextBody"/>
        <w:bidi w:val="0"/>
        <w:spacing w:lineRule="auto" w:line="256" w:before="180" w:after="283"/>
        <w:jc w:val="both"/>
        <w:rPr>
          <w:rFonts w:ascii="Times New Roman;serif" w:hAnsi="Times New Roman;serif"/>
          <w:b w:val="false"/>
          <w:i/>
          <w:color w:val="000000"/>
          <w:sz w:val="22"/>
        </w:rPr>
      </w:pPr>
      <w:r>
        <w:rPr>
          <w:rFonts w:ascii="Times New Roman;serif" w:hAnsi="Times New Roman;serif"/>
          <w:b w:val="false"/>
          <w:i/>
          <w:color w:val="000000"/>
          <w:sz w:val="22"/>
        </w:rPr>
        <w:t>Management Fees</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advisory, trustee, and administration fees are the Company’s primary source of revenue, and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 </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portfolios). AUM includes the value of all assets managed or supervised by operating partner subsidiaries, affiliates, and joint ventures in which the Company holds either a majority or minority stake.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AUA consists of all assets we are responsible for overseeing and reporting on, but we do not necessarily charge fees on all such assets. Billable assets represent the portion of our assets on which we charge fees. Non-billable assets are exempt from fees and consist of assets such as cash and cash equivalents in certain agreed upon situations, personally owned real estate, and other designated assets. Our calculations of AUM and AUA may differ from the calculation methodologies of other wealth managers and, as a result, this measure may not be comparable to similar measures presented by other wealth managers.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18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Incentive or performance fees comprise primarily of annual performance or incentive fees which may be earned by providing investment management and advisory as well as fund management activities. It also includes carried interest payments we earn on co-investment.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internally managed TIG Arbitrage fund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Wealth management clients in certain jurisdictions may also pay performance or incentive fees if their portfolio achieves returns in excess of an agreed benchmark or hurdle rate. Typically, such fees are paid annually upon crystallization and are not accrued prior to being earned.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Distributions from Investments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Distributions from investments are generated from the equity interests we have in the three external managers. Distributions from each external manager are recorded upon receipt of the distribution.</w:t>
      </w:r>
      <w:r>
        <w:rPr>
          <w:color w:val="000000"/>
        </w:rPr>
        <w:t xml:space="preserve"> </w:t>
      </w:r>
      <w:r>
        <w:rPr>
          <w:rFonts w:ascii="Times New Roman;serif" w:hAnsi="Times New Roman;serif"/>
          <w:b w:val="false"/>
          <w:color w:val="000000"/>
          <w:sz w:val="22"/>
        </w:rPr>
        <w:t>These distributions are generated through our equity interest in the external manager’s management fees and incentive fees.</w:t>
      </w:r>
      <w:r>
        <w:rPr>
          <w:color w:val="000000"/>
        </w:rPr>
        <w:t xml:space="preserve"> </w:t>
      </w:r>
      <w:r>
        <w:rPr>
          <w:rFonts w:ascii="Times New Roman;serif" w:hAnsi="Times New Roman;serif"/>
          <w:b w:val="false"/>
          <w:color w:val="000000"/>
          <w:sz w:val="22"/>
        </w:rPr>
        <w:t>The management fee component of the distributions is recurring in nature, while the incentive portion, which is performance based, is more susceptible to impact from exogenous factors.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Romspen—21% profit share;</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Zebedee—25% revenue share; and</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Arkkan—12% revenue share</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Other income/fees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Other income or fees primarily include transaction fees, which are generally non-recurring in nature, are typically commission based, and are received upon the successful completion of a transaction.</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OUR LEADERSHIP, CULTURE, AND VALUES </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 xml:space="preserve">Experienced Management Team with Proven Track Record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are led by a team of seasoned executives with diverse experience. Our management team has expertise across investment management, alternative asset management, financial planning, and trusts and estates as well as Impact Investing. Members of our senior management team have an average of over 20 years of experience and a strong track record in building successful businesses from the ground up and generating superior returns across market cycles. </w:t>
      </w:r>
    </w:p>
    <w:p>
      <w:pPr>
        <w:pStyle w:val="TextBody"/>
        <w:bidi w:val="0"/>
        <w:spacing w:lineRule="auto" w:line="288" w:before="200" w:after="283"/>
        <w:jc w:val="both"/>
        <w:rPr/>
      </w:pPr>
      <w:bookmarkStart w:id="0" w:name="id39690bf18b142368fe36385b94b1dcb_89366"/>
      <w:bookmarkEnd w:id="0"/>
      <w:r>
        <w:rPr>
          <w:rFonts w:ascii="Times New Roman;serif" w:hAnsi="Times New Roman;serif"/>
          <w:b/>
          <w:color w:val="000000"/>
          <w:sz w:val="22"/>
        </w:rPr>
        <w:t>OUR HISTORY AND PRESENCE TO DATE</w:t>
      </w:r>
      <w:r>
        <w:rPr>
          <w:color w:val="000000"/>
        </w:rPr>
        <w:t xml:space="preserve"> </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Our History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AlTi was formed as a combination of TWMH, the TIG Entities</w:t>
      </w:r>
      <w:r>
        <w:rPr>
          <w:rFonts w:ascii="Times New Roman;serif" w:hAnsi="Times New Roman;serif"/>
          <w:b w:val="false"/>
          <w:color w:val="008080"/>
          <w:sz w:val="24"/>
        </w:rPr>
        <w:t>,</w:t>
      </w:r>
      <w:r>
        <w:rPr>
          <w:color w:val="000000"/>
        </w:rPr>
        <w:t xml:space="preserve"> </w:t>
      </w:r>
      <w:r>
        <w:rPr>
          <w:rFonts w:ascii="Times New Roman;serif" w:hAnsi="Times New Roman;serif"/>
          <w:b w:val="false"/>
          <w:color w:val="000000"/>
          <w:sz w:val="22"/>
        </w:rPr>
        <w:t xml:space="preserve">and Alvarium. TIG was founded in 1980 by Carl Tiedemann to enable talented money managers to build their fund businesses, using a centralized platform of proven services that enable portfolio managers to focus exclusively on their clients and realize their investment objectives. Carl Tiedemann, Craig Smith, and Michael Tiedemann established TWMH on the premise that a wealth management business organized on principles of delivering a combination of excellent investment performance and high-touch client service would quickly differentiate itself from its competitors. Alvarium was established by its founder partners as LJ Capital in 2009, initially with the aim of sourcing direct and co-investments in real estate in the UK and in Central Europe. The firm rebranded as LJ Partnership and underwent a series of acquisitions, before rebranding as Alvarium in 2019. In 2024, we welcomed Allianz and Constellation as strategic partners.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Tiedemann Wealth Management (TWMH)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TWMH was founded in 1999 on the premise that if the business was staffed and organized to deliver a combination of excellent investment performance and high-touch client service, it would quickly differentiate itself from a crowded field of firms nominally in the wealth management business. The firm sought to attract and serve a base of individuals and families with $25 million or more of investable assets, where it believed it was particularly well-positioned to offer comprehensive investment and family office service solutions. In 2016,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TWMH acquired Presidio Capital Advisors, a wealth manager with approximately $4.1 billion of AUM. Then, in 2017 it acquired the Threshold Group, another independent wealth advisor and a leader in the rapidly growing Impact Investing market segment, with approximately $3.8 billion of total AUM (including both impact and non-impact client assets). This acquisition cemented its commitment to be a leader in Impact Investing for its clients.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2"/>
        </w:rPr>
      </w:pPr>
      <w:r>
        <w:rPr>
          <w:rFonts w:ascii="Times New Roman;serif" w:hAnsi="Times New Roman;serif"/>
          <w:b w:val="false"/>
          <w:i/>
          <w:color w:val="000000"/>
          <w:sz w:val="22"/>
        </w:rPr>
        <w:t>TIG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TIG Entities were founded by seasoned entrepreneurs and over their history they have advised more than 30 financial businesses on their growth strategy. Since inception in 1980, they have supported and helped money managers build their fund businesses, using a centralized platform of services proven to allow portfolio managers to focus exclusively on portfolio management. In total, TIG launched 24 separate fund strategies. In 1993, TIG launched the current version of the TIG Arbitrage strategy, which has grown from $6 million of AUM in 1993 to $1.8 billion of AUM as of December 31, 2025. In 2018, TIG launched a new business initiative focused on making growth equity investments in alternative managers. The first investment was in Romspen, the real estate bridge lending External Strategic Manager in 2018, followed by an investment in Zebedee, the European equities External Strategic Manager in 2020, and Arkkan, the Asian credit and special situations External Strategic Manager in January 2021. </w:t>
      </w:r>
    </w:p>
    <w:p>
      <w:pPr>
        <w:pStyle w:val="TextBody"/>
        <w:bidi w:val="0"/>
        <w:spacing w:before="0" w:after="0"/>
        <w:jc w:val="both"/>
        <w:rPr/>
      </w:pPr>
      <w:r>
        <w:rPr/>
      </w:r>
    </w:p>
    <w:p>
      <w:pPr>
        <w:pStyle w:val="TextBody"/>
        <w:bidi w:val="0"/>
        <w:spacing w:before="200" w:after="283"/>
        <w:jc w:val="center"/>
        <w:rPr/>
      </w:pPr>
      <w:r>
        <w:rPr/>
        <w:drawing>
          <wp:inline distT="0" distB="0" distL="0" distR="0">
            <wp:extent cx="5772150" cy="207645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5772150" cy="2076450"/>
                    </a:xfrm>
                    <a:prstGeom prst="rect">
                      <a:avLst/>
                    </a:prstGeom>
                  </pic:spPr>
                </pic:pic>
              </a:graphicData>
            </a:graphic>
          </wp:inline>
        </w:drawing>
      </w:r>
      <w:bookmarkStart w:id="1" w:name="i-1"/>
      <w:bookmarkEnd w:id="1"/>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Alvarium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firm was established as LJ Capital in 2009 to source direct and co-investments in real estate in the UK and in Central Europe. The firm, rebranded as LJ Partnership (“LJ”), continued to grow, and acquire global clients through acquisitions, including wealth management businesses in the United States, Europe, and Hong Kong. The first acquisition was Deloitte’s UK Investment Advisory business in 2011. Over the course of 2014 to 2017, LJ merged with or acquired the former Guggenheim wealth management businesses in Miami, Geneva, Lisbon and Hong Kong, and brought on board a team that originated from their business in New York. Then in 2015, LJ acquired Salisbury Partners LLP, a UK discretionary investment manager. Over the course of 2018 to 2020, it acquired Iskander in Paris, established a joint venture with Albacore in Lugano, and expanded into Milan. Also in 2019, it merged with London based media, consumer, and technology firm Lepe Partners. Finally, in 2019, LJ rebranded as Alvarium to reflect its global footprint, partners, and clients.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Strategic Partners - Allianz and Constellation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February 2024, we announced our strategic relationship with Allianz and Constellation, for a combined investment of up to $450 million into AlTi. Constellation’s investment, $150 million in convertible preferred stock, closed in the first half of 2024, and Allianz’s investment of $250 million through a combination of Class A Common Stock and convertible preferred stock, closed in July 2024, and an additional $19 million closed in May 2025. Allianz Group is a leading global insurer and asset manager. With an operating history of over 130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years and more than 160,000 employees in 70 countries, Allianz Group serves more than 120,000 clients. Through PIMCO and AGI, Allianz Group has nearly 1.7 trillion euros in third-party AUM. Constellation is an investment advisory firm that specializes in making investments in industry-leading wealth managers. Constellation has an experienced team with deep sector expertise and relationships, particularly in the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these investments will enable AlTi to establish long-term partnerships with experienced and well-respected players in the global financial services sector, accelerating our strategy to become the leading, global, independent multi-family office platform for the UHNW segment, with an intentional and targeted expertise in alternatives, and will advance the scale and reach of AlTi’s expansion strategy, accelerating top-line growth in existing and new markets across the U.S., Europe, and Asia. As part of the investment, two Allianz representatives joined AlTi’s Board as independent directors, and one representative of Constellation is an AlTi board observer.</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Our Presence to Date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business is global, with approximately 490 professionals operating in 19 cities in 9 countries across three continents as of December 31, 2025.</w:t>
      </w:r>
    </w:p>
    <w:p>
      <w:pPr>
        <w:pStyle w:val="TextBody"/>
        <w:bidi w:val="0"/>
        <w:spacing w:before="0" w:after="0"/>
        <w:jc w:val="both"/>
        <w:rPr/>
      </w:pPr>
      <w:r>
        <w:rPr/>
      </w:r>
    </w:p>
    <w:p>
      <w:pPr>
        <w:pStyle w:val="TextBody"/>
        <w:bidi w:val="0"/>
        <w:spacing w:before="0" w:after="0"/>
        <w:jc w:val="both"/>
        <w:rPr/>
      </w:pPr>
      <w:r>
        <w:rPr/>
        <w:drawing>
          <wp:inline distT="0" distB="0" distL="0" distR="0">
            <wp:extent cx="6286500" cy="32385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6286500" cy="3238500"/>
                    </a:xfrm>
                    <a:prstGeom prst="rect">
                      <a:avLst/>
                    </a:prstGeom>
                  </pic:spPr>
                </pic:pic>
              </a:graphicData>
            </a:graphic>
          </wp:inline>
        </w:drawing>
      </w:r>
      <w:bookmarkStart w:id="2" w:name="i-2"/>
      <w:bookmarkEnd w:id="2"/>
    </w:p>
    <w:p>
      <w:pPr>
        <w:pStyle w:val="TextBody"/>
        <w:bidi w:val="0"/>
        <w:spacing w:lineRule="auto" w:line="264" w:before="200" w:after="283"/>
        <w:jc w:val="both"/>
        <w:rPr>
          <w:rFonts w:ascii="Times New Roman;serif" w:hAnsi="Times New Roman;serif"/>
          <w:b/>
          <w:color w:val="000000"/>
          <w:sz w:val="22"/>
        </w:rPr>
      </w:pPr>
      <w:r>
        <w:rPr>
          <w:rFonts w:ascii="Times New Roman;serif" w:hAnsi="Times New Roman;serif"/>
          <w:b/>
          <w:color w:val="000000"/>
          <w:sz w:val="22"/>
        </w:rPr>
        <w:t>Our Competitive Strengths</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i/>
          <w:color w:val="000000"/>
          <w:sz w:val="22"/>
        </w:rPr>
        <w:t>Large and growing addressable market.</w:t>
      </w:r>
      <w:r>
        <w:rPr>
          <w:color w:val="000000"/>
        </w:rPr>
        <w:t xml:space="preserve"> </w:t>
      </w:r>
      <w:r>
        <w:rPr>
          <w:rFonts w:ascii="Times New Roman;serif" w:hAnsi="Times New Roman;serif"/>
          <w:b w:val="false"/>
          <w:color w:val="000000"/>
          <w:sz w:val="22"/>
        </w:rPr>
        <w:t xml:space="preserve">AlTi is an institution that is curated to serve the evolving UHNW demographic and meet the growing demand globally for independent advice and access to investment strategies in alternatives. Our target market, the upper end of the global wealth band, represents a $102 trillion addressable market and is expected to grow by 7% CAGR by 2028 (Morgan Stanley and Oliver Wyman). We believe there is a clear generational wealth transfer taking place as baby boomers transfer significant wealth to their heirs, foundations, charities, and endowments, and AlTi’s holistic service offering positions us to participate in this opportunity, which is estimated to be more than $124 trillion by 2048 (Cerulli Associates). UHNW clients are increasingly focused on transparency and alignment and demand direct investments and Impact Investing. We believe that clients are attracted to an independent advisory firm that holds similar values and has a curated set of solutions that address their holistic wealth management needs. In addition, the global demand for alternatives has been growing strongly in recent years and is expected to reach $30 trillion in 2030, a CAGR of 10% since 2017 (Preqin).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19"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4" w:before="0" w:after="0"/>
        <w:jc w:val="both"/>
        <w:rPr/>
      </w:pPr>
      <w:r>
        <w:rPr>
          <w:rFonts w:ascii="Times New Roman;serif" w:hAnsi="Times New Roman;serif"/>
          <w:b/>
          <w:i/>
          <w:color w:val="000000"/>
          <w:sz w:val="22"/>
        </w:rPr>
        <w:t>Recurring and diversified revenues.</w:t>
      </w:r>
      <w:r>
        <w:rPr>
          <w:color w:val="000000"/>
        </w:rPr>
        <w:t xml:space="preserve"> </w:t>
      </w:r>
      <w:r>
        <w:rPr>
          <w:rFonts w:ascii="Times New Roman;serif" w:hAnsi="Times New Roman;serif"/>
          <w:b w:val="false"/>
          <w:color w:val="000000"/>
          <w:sz w:val="22"/>
        </w:rPr>
        <w:t xml:space="preserve">For the year ended December 31, 2025, 82% of our revenue is generated from stable management or advisory fees. In the wealth management business we have a long-tenured, multi-generational client base with a retention rate of 96% since 2021. Our predictable revenue base results in a stable earnings model with attractive growth vectors.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i/>
          <w:color w:val="000000"/>
          <w:sz w:val="22"/>
        </w:rPr>
        <w:t>Global footprint.</w:t>
      </w:r>
      <w:r>
        <w:rPr>
          <w:color w:val="000000"/>
        </w:rPr>
        <w:t xml:space="preserve"> </w:t>
      </w:r>
      <w:r>
        <w:rPr>
          <w:rFonts w:ascii="Times New Roman;serif" w:hAnsi="Times New Roman;serif"/>
          <w:b w:val="false"/>
          <w:color w:val="000000"/>
          <w:sz w:val="22"/>
        </w:rPr>
        <w:t xml:space="preserve">We have offices located in 19 leading financial centers, in 9 countries across the U.S., Europe and Asia, which enables us to service our clients across multiple jurisdictions. This is an important differentiator as we are well-positioned as a global and independent advisor given most multi-family offices have a regional focus, and the private banks who have a global presence are not able to offer independent advice. Our global distribution platform in our alternatives business also enables us to reach clients across three continents.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i/>
          <w:color w:val="000000"/>
          <w:sz w:val="22"/>
        </w:rPr>
        <w:t>Comprehensive platform for UHNW families and wealth managers.</w:t>
      </w:r>
      <w:r>
        <w:rPr>
          <w:color w:val="000000"/>
        </w:rPr>
        <w:t xml:space="preserve"> </w:t>
      </w:r>
      <w:r>
        <w:rPr>
          <w:rFonts w:ascii="Times New Roman;serif" w:hAnsi="Times New Roman;serif"/>
          <w:b w:val="false"/>
          <w:color w:val="000000"/>
          <w:sz w:val="22"/>
        </w:rPr>
        <w:t>Through our global platform we provide a holistic solution for our wealth management and OCIO clients through our full spectrum of wealth management services, including discretionary investment management services, non-discretionary investment advisory services, trust services, family office services, cross-border wealth advice, unique access to impact and values-based investment opportunities, as well as targeted expertise in alternatives.</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i/>
          <w:color w:val="000000"/>
          <w:sz w:val="22"/>
        </w:rPr>
        <w:t>Identified pipeline of inorganic growth opportunities</w:t>
      </w:r>
      <w:r>
        <w:rPr>
          <w:rFonts w:ascii="Times New Roman;serif" w:hAnsi="Times New Roman;serif"/>
          <w:b w:val="false"/>
          <w:color w:val="000000"/>
          <w:sz w:val="22"/>
        </w:rPr>
        <w:t>. Given our track record of executing attractive and strategic transactions in the U.S. and internationally, we are a desirable partner and have identified a pipeline of potential acquisitions across our wealth management business.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2"/>
        </w:rPr>
        <w:t xml:space="preserve">Transformative strategic partners. </w:t>
      </w:r>
      <w:r>
        <w:rPr>
          <w:rFonts w:ascii="Times New Roman;serif" w:hAnsi="Times New Roman;serif"/>
          <w:b w:val="false"/>
          <w:color w:val="000000"/>
          <w:sz w:val="22"/>
        </w:rPr>
        <w:t xml:space="preserve">Our strategic partners, Allianz and Constellation, two experienced and well-respected players in the global financial services sector, provide us with the </w:t>
      </w:r>
      <w:r>
        <w:rPr>
          <w:rFonts w:ascii="Times New Roman;serif" w:hAnsi="Times New Roman;serif"/>
          <w:b w:val="false"/>
          <w:color w:val="000000"/>
          <w:sz w:val="24"/>
        </w:rPr>
        <w:t>c</w:t>
      </w:r>
      <w:r>
        <w:rPr>
          <w:rFonts w:ascii="Times New Roman;serif" w:hAnsi="Times New Roman;serif"/>
          <w:b w:val="false"/>
          <w:color w:val="000000"/>
          <w:sz w:val="22"/>
        </w:rPr>
        <w:t xml:space="preserve">apital, experience, networks, and global operating expertise to accelerate our growth strategy and deepen our offerings and solutions. </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color w:val="000000"/>
          <w:sz w:val="22"/>
        </w:rPr>
      </w:pPr>
      <w:r>
        <w:rPr>
          <w:rFonts w:ascii="Times New Roman;serif" w:hAnsi="Times New Roman;serif"/>
          <w:b/>
          <w:color w:val="000000"/>
          <w:sz w:val="22"/>
        </w:rPr>
        <w:t xml:space="preserve">Our Growth Strategy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We aim to continue to grow our business through the following initiatives: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2"/>
        </w:rPr>
        <w:t>New investment strategies and global presence</w:t>
      </w:r>
      <w:r>
        <w:rPr>
          <w:rFonts w:ascii="Times New Roman;serif" w:hAnsi="Times New Roman;serif"/>
          <w:b/>
          <w:color w:val="000000"/>
          <w:sz w:val="22"/>
        </w:rPr>
        <w:t xml:space="preserve">. </w:t>
      </w:r>
      <w:r>
        <w:rPr>
          <w:rFonts w:ascii="Times New Roman;serif" w:hAnsi="Times New Roman;serif"/>
          <w:b w:val="false"/>
          <w:color w:val="000000"/>
          <w:sz w:val="22"/>
        </w:rPr>
        <w:t>We expect to continue to deepen our reach and expansion in current markets, and position ourselves for expansion into complementary new markets in the U.S., Europe, and Asia, where we can bolster our client base, as well as enhance our service offering to existing clients across multiple jurisdictions. Our focus will be on markets with attractive characteristics including significant market size, low regulatory barriers, and limited competition, where we can leverage our existing footprint. We plan to offer private markets and Impact Investing solutions, which also have significant appeal to UHNW clients, foundations, and institutional investors, and where we are able to leverage our global distribution platform and our strategic partners’ expertise and networks.</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i/>
          <w:color w:val="000000"/>
          <w:sz w:val="22"/>
        </w:rPr>
        <w:t>Select acquisitions.</w:t>
      </w:r>
      <w:r>
        <w:rPr>
          <w:color w:val="000000"/>
        </w:rPr>
        <w:t xml:space="preserve"> </w:t>
      </w:r>
      <w:r>
        <w:rPr>
          <w:rFonts w:ascii="Times New Roman;serif" w:hAnsi="Times New Roman;serif"/>
          <w:b w:val="false"/>
          <w:color w:val="000000"/>
          <w:sz w:val="22"/>
        </w:rPr>
        <w:t xml:space="preserve">We expect to continue to diligently evaluate and execute inorganic opportunities which will enhance our platform by broadening our global footprint or enabling us to expand our product offerings. We have a proven track record in the wealth management, taking a disciplined approach to our pipeline and acquisition criteria. We focus on the target firm’s profile, footprint, and fit. As an independent platform with long-tenured clients and an extensive suite of services, we are a desirable partner for firms seeking consolidation and growth.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i/>
          <w:color w:val="000000"/>
          <w:sz w:val="22"/>
        </w:rPr>
        <w:t>Expanded client base and deepened existing relationships</w:t>
      </w:r>
      <w:r>
        <w:rPr>
          <w:rFonts w:ascii="Times New Roman;serif" w:hAnsi="Times New Roman;serif"/>
          <w:b/>
          <w:color w:val="000000"/>
          <w:sz w:val="22"/>
        </w:rPr>
        <w:t xml:space="preserve">. </w:t>
      </w:r>
      <w:r>
        <w:rPr>
          <w:rFonts w:ascii="Times New Roman;serif" w:hAnsi="Times New Roman;serif"/>
          <w:b w:val="false"/>
          <w:color w:val="000000"/>
          <w:sz w:val="22"/>
        </w:rPr>
        <w:t xml:space="preserve">We will continue to fortify our client base through exceptional service and innovative solutions. We plan to expand our client base by leveraging our enhanced scale, skills, and the experience gained over our 20+ year history, operating globally across various market cycles. We expect to expand existing relationships through new investment solutions and complementary services.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i/>
          <w:color w:val="000000"/>
          <w:sz w:val="22"/>
        </w:rPr>
        <w:t>Growth through impact offering.</w:t>
      </w:r>
      <w:r>
        <w:rPr>
          <w:color w:val="000000"/>
        </w:rPr>
        <w:t xml:space="preserve"> </w:t>
      </w:r>
      <w:r>
        <w:rPr>
          <w:rFonts w:ascii="Times New Roman;serif" w:hAnsi="Times New Roman;serif"/>
          <w:b w:val="false"/>
          <w:color w:val="000000"/>
          <w:sz w:val="22"/>
        </w:rPr>
        <w:t>As of December 31, 2025, assets invested in impact strategies accounted for $5.0 billion of our AUM, and are a key area of growth within our wealth management platform. We are also planning to offer impact strategies in our alternatives business as they have significant appeal to UHNW clients, foundations, and institutional investors.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20"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Strong M&amp;A track record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mergers and acquisition experience to complement our established track record of organic growth, having made a number of acquisitions or joint venture investments to date. Below are six examples of such accretive transactions. </w:t>
      </w:r>
    </w:p>
    <w:tbl>
      <w:tblPr>
        <w:tblW w:w="10205" w:type="dxa"/>
        <w:jc w:val="left"/>
        <w:tblInd w:w="0" w:type="dxa"/>
        <w:tblLayout w:type="fixed"/>
        <w:tblCellMar>
          <w:top w:w="28" w:type="dxa"/>
          <w:left w:w="28" w:type="dxa"/>
          <w:bottom w:w="28" w:type="dxa"/>
          <w:right w:w="28" w:type="dxa"/>
        </w:tblCellMar>
      </w:tblPr>
      <w:tblGrid>
        <w:gridCol w:w="1301"/>
        <w:gridCol w:w="1048"/>
        <w:gridCol w:w="1043"/>
        <w:gridCol w:w="109"/>
        <w:gridCol w:w="109"/>
        <w:gridCol w:w="109"/>
        <w:gridCol w:w="1079"/>
        <w:gridCol w:w="1079"/>
        <w:gridCol w:w="1083"/>
        <w:gridCol w:w="109"/>
        <w:gridCol w:w="109"/>
        <w:gridCol w:w="109"/>
        <w:gridCol w:w="852"/>
        <w:gridCol w:w="852"/>
        <w:gridCol w:w="1214"/>
      </w:tblGrid>
      <w:tr>
        <w:trPr/>
        <w:tc>
          <w:tcPr>
            <w:tcW w:w="130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East End Advisors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Envoi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Threshold Group </w:t>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Acquired New York based independent advisory firm with ~$6 billion AUM in 2024</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Enhanced outsourced OCIO capabilities </w:t>
            </w:r>
          </w:p>
          <w:p>
            <w:pPr>
              <w:pStyle w:val="TableContents"/>
              <w:bidi w:val="0"/>
              <w:spacing w:before="12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• </w:t>
            </w:r>
            <w:r>
              <w:rPr>
                <w:rFonts w:ascii="Times New Roman;serif" w:hAnsi="Times New Roman;serif"/>
                <w:b w:val="false"/>
                <w:color w:val="000000"/>
                <w:sz w:val="18"/>
              </w:rPr>
              <w:t>Acquired Minneapolis -based UHNW wealth manager with ~$3 billion AUM in 2024</w:t>
            </w:r>
          </w:p>
          <w:p>
            <w:pPr>
              <w:pStyle w:val="TableContents"/>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18"/>
              </w:rPr>
              <w:t>Expands operations to the Midwest region, fortifying AlTi’s domestic footprint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Acquired Seattle-based ~$3.4 billion AUM wealth manager in 2017</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Grew scale and West Coast presence in wealth management</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Expanded impact investing</w:t>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2"/>
        <w:gridCol w:w="1091"/>
        <w:gridCol w:w="1099"/>
        <w:gridCol w:w="109"/>
        <w:gridCol w:w="109"/>
        <w:gridCol w:w="109"/>
        <w:gridCol w:w="1016"/>
        <w:gridCol w:w="985"/>
        <w:gridCol w:w="990"/>
        <w:gridCol w:w="109"/>
        <w:gridCol w:w="109"/>
        <w:gridCol w:w="109"/>
        <w:gridCol w:w="914"/>
        <w:gridCol w:w="914"/>
        <w:gridCol w:w="1300"/>
      </w:tblGrid>
      <w:tr>
        <w:trPr/>
        <w:tc>
          <w:tcPr>
            <w:tcW w:w="12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Albacore Wealth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AL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Kontora</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Acquired 30% stake in Lugano-based ~$943 million AUM wealth manager in 2019 and remaining stake in 2023</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Expanded Swiss and Italian presence and client-base</w:t>
            </w:r>
          </w:p>
          <w:p>
            <w:pPr>
              <w:pStyle w:val="TableContents"/>
              <w:bidi w:val="0"/>
              <w:spacing w:before="12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• </w:t>
            </w:r>
            <w:r>
              <w:rPr>
                <w:rFonts w:ascii="Times New Roman;serif" w:hAnsi="Times New Roman;serif"/>
                <w:b w:val="false"/>
                <w:color w:val="000000"/>
                <w:sz w:val="18"/>
              </w:rPr>
              <w:t>Acquired Singapore -based ~$1 billion AUM wealth manager in 2023</w:t>
            </w:r>
          </w:p>
          <w:p>
            <w:pPr>
              <w:pStyle w:val="TableContents"/>
              <w:bidi w:val="0"/>
              <w:spacing w:before="120" w:after="283"/>
              <w:jc w:val="left"/>
              <w:rPr/>
            </w:pPr>
            <w:r>
              <w:rPr/>
            </w:r>
          </w:p>
          <w:p>
            <w:pPr>
              <w:pStyle w:val="TableContents"/>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18"/>
              </w:rPr>
              <w:t>Expanded Asian presence and entered a key investment &amp; philanthropic hub for global and regional families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Acquired Hamburg-based multi-family office and asset management company with ~$15 billion AUA in 2025 </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18"/>
              </w:rPr>
              <w:t xml:space="preserve">Entry into key wealth hub of Germany, the third largest UHNW market in the world </w:t>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Applying our core principles globally, we aim to build on the success of our business, through: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Organic Growth: We attract clients and grow our AUM by providing exceptional client service and executing our clients’ investment objectives, partnering with our clients to deliver solutions, and accessing Impact Investing and other innovative investment opportunities on our clients’ behalf.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Selective Accretive Acquisitions: We thoughtfully evaluate global acquisition opportunities that enhance and deepen the services that we can offer our clients and investors. As global markets continue to evolve, we see manifold possibilities for accretive expansion.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Through our business lines, we intend to: (1) provide our clients and investors access to unique investment and co-investment opportunities; (2) provide customized service to meet the needs of our clients and their families; (3) invest with intention—taking seriously the modern responsibilities of wealth; (4) innovate continuously to meet the needs and aspirations of our clients and investors; and (5) grow rapidly—both organically and by acquisitions—to build a premier global wealth management firm. </w:t>
      </w:r>
    </w:p>
    <w:p>
      <w:pPr>
        <w:pStyle w:val="TextBody"/>
        <w:bidi w:val="0"/>
        <w:spacing w:lineRule="auto" w:line="276" w:before="180" w:after="283"/>
        <w:jc w:val="both"/>
        <w:rPr>
          <w:rFonts w:ascii="Times New Roman;serif" w:hAnsi="Times New Roman;serif"/>
          <w:b/>
          <w:color w:val="000000"/>
          <w:sz w:val="22"/>
        </w:rPr>
      </w:pPr>
      <w:r>
        <w:rPr>
          <w:rFonts w:ascii="Times New Roman;serif" w:hAnsi="Times New Roman;serif"/>
          <w:b/>
          <w:color w:val="000000"/>
          <w:sz w:val="22"/>
        </w:rPr>
        <w:t>Competition</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wealth management industry is highly fragmented (according to the Investment Advisor Association, in 2024 there were 15,870 registered investment advisors in the United States alone), leading to intense competition on both the regional and local levels. The industry’s fragmentation is driven by a few key factors, including: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Low barriers to entry: launching a wealth management firm entails relatively low start-up costs with little upfront capital;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Local focus: wealth management firms are typically locally focused, and expansion beyond a registered investment advisor’s local market can require significant costs and senior management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21"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competition on the local level, we face intense competition in the markets in which we operate from national and international wealth managers, ranging from large independent wealth managers, wealth managers that sit within larger financial institutions, to private equity-backed wealth management platforms, which have been relatively recently built through serial acquisitions, driving near-term scale, enhanced scope of investment capabilities, and exposure to new markets.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Key competitors in the United States are regional or national independent multi-family offices, or consultants, including BBR, Brown Advisors, SCS, Jordan Park, Cresset, and Mercer Advisors, or banks or trust companies such as: Bessemer Trust, UBS, Northern Trust, JP Morgan and Goldman Sachs. Internationally we compete with certain local multi-family offices focused on specific regions or countries, as well as with consultants, such as: We Family Offices, Cambridge Associates and ARC. However, internationally our primary competitors currently are banks such as UBS, Goldman Sachs, Pictet, and JPMorgan</w:t>
      </w:r>
      <w:r>
        <w:rPr>
          <w:rFonts w:ascii="Arial;sans-serif" w:hAnsi="Arial;sans-serif"/>
          <w:b w:val="false"/>
          <w:color w:val="000000"/>
          <w:sz w:val="24"/>
        </w:rPr>
        <w:t xml:space="preserve">.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For additional information concerning the competitive risks that we face, see “Risk Factors” in Item 1A.</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Employees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we employed approximately 490 professionals. We recognize the important link between corporate values, employee engagement, and corporate performance. We also strive to foster a supportive environment that cultivates professional growth and development and encourages team members to continuously develop their skills. We consider our relationship with employees to be vital and are focused on effective attraction, development, retention, compensation and benefits for all employees. This includes workforce and management development, corporate culture and leadership quality, and morale and development, which are vital to the success of our innovation-driven growth strategy. Our values are built on mutual respect, constructive dissent, operating at the highest standard, and acting in the best interest of our stakeholders. </w:t>
      </w:r>
    </w:p>
    <w:p>
      <w:pPr>
        <w:pStyle w:val="TextBody"/>
        <w:bidi w:val="0"/>
        <w:spacing w:lineRule="auto" w:line="276" w:before="180" w:after="283"/>
        <w:jc w:val="both"/>
        <w:rPr>
          <w:rFonts w:ascii="Times New Roman;serif" w:hAnsi="Times New Roman;serif"/>
          <w:b/>
          <w:color w:val="000000"/>
          <w:sz w:val="22"/>
        </w:rPr>
      </w:pPr>
      <w:r>
        <w:rPr>
          <w:rFonts w:ascii="Times New Roman;serif" w:hAnsi="Times New Roman;serif"/>
          <w:b/>
          <w:color w:val="000000"/>
          <w:sz w:val="22"/>
        </w:rPr>
        <w:t xml:space="preserve">Regulatory and Compliance Matters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businesses, as well as the financial services industry, generally are subject to extensive regulation, including periodic examinations, by governmental agencies and self-regulatory organizations or exchanges in the United States and foreign jurisdictions in which we operate. Such regulation relates to, among other things, antitrust laws, anti-money laundering laws, anti-bribery laws relating to foreign officials, tax laws, and privacy laws with respect to client and other information, and some of our funds invest in businesses that operate in highly regulated industries.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Each of the regulatory bodies with jurisdiction over us has regulatory powers dealing with many aspects of financial services, including the authority to grant, and in specific circumstances to cancel, permissions to carry on particular activities. Any failure to comply with these rules and regulations could limit our ability to carry on particular activities or expose us to liability and/or reputational damage. Additional legislation, increasing global regulatory oversight of fundraising activities, changes in rules promulgated by self-regulatory organizations or exchanges, or changes in the interpretation or enforcement of existing laws and rules, either in the United States or elsewhere, may directly affect our mode of operation and profitability. See “Risk Factors” in Item 1A.</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Rigorous legal and compliance analysis of our businesses and our funds’ investments is important to our culture. We strive to maintain a culture of compliance using policies and procedures such as compliance oversight, codes of ethics, compliance systems, communication of compliance guidance, and employee education and training. All employees must annually certify their understanding of and compliance with key global firm policies, procedures, and code of ethics. We have compliance groups that monitor our compliance with the regulatory requirements to which we are subject and manage our compliance policies and procedures. Our compliance groups are supervised by our Chief Compliance Officer and divisional compliance officers, which are responsible for monitoring all regulatory and compliance matters that affect our activities. Our compliance policies and procedures address a variety of regulatory and compliance risks such as the handling of material non-public information, personal securities trading, document retention, potential conflicts of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22"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and the allocation of investment opportunities. We also engage with outside counsel as needed to ensure compliance with applicable laws and regulations. </w:t>
      </w:r>
    </w:p>
    <w:p>
      <w:pPr>
        <w:pStyle w:val="TextBody"/>
        <w:bidi w:val="0"/>
        <w:spacing w:lineRule="auto" w:line="276"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Many jurisdictions in which we operate also have laws and regulations relating to data privacy, cybersecurity, and protection of personal information, including the EU General Data Protection Regulation, which sets forth rules for the protection of personal data of individuals within the EEA and for the export of such individuals’ personal data outside the EEA, the UK General Data Protection Regulation, which replaced the EU GDPR in the UK on January 1, 2021 but which applies the same rules for the protection of personal data of individuals in the UK and for the export of such individuals’ personal data outside the UK, and the California Consumer Privacy Act, which creates new rights and obligations related to personal data of residents (and households) in California. Any determination of a failure to comply with any such laws or regulations could result in fines and/or sanctions, as well as reputational harm.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To the extent that any of these laws and regulations to which we are subject in the operation of our business or the enforcement of the same become more stringent, or if new laws or regulations are enacted, our financial performance or plans for growth may be adversely impacted. </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SEC Regulations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provide investment advisory services through certain entities within our structure that are registered as investment advisers with the SEC pursuant to the Advisers Act. As compared to other, more disclosure-oriented U.S. federal securities laws, the Advisers Act, and the Investment Company Act of 1940, as amended (the “Investment Company Act”), together with the SEC’s regulations and interpretations thereunder, are highly restrictive regulatory statutes. The SEC is authorized to institute proceedings and impose sanctions for violations of the Advisers Act and the Investment Company Act, ranging from fines and censures to termination of an adviser’s registration.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Under the Advisers Act, an investment adviser (whether registered or not under the Advisers Act) has fiduciary duties to its clients. The SEC has interpreted these duties to impose standards, requirements, and limitations on, among other things, trading for proprietary, personal, and client accounts; allocations of investment opportunities among clients; and conflicts of interest. The Advisers Act also imposes specific restrictions on an investment adviser’s ability to engage in principal and agency cross transactions. Our firm is subject to many additional requirements that cover, among other things, disclosure of information about our business to clients; maintenance of written policies and procedures; maintenance of extensive books and records; restrictions on the types of fees we may charge, including incentive fees or carried interest; solicitation arrangements; maintenance of an effective compliance program; custody of client assets; client privacy; advertising; political contributions; and proxy voting. The SEC has authority to inspect any registered investment adviser and typically inspects a registered investment adviser periodically to determine whether the adviser is conducting its activities in compliance with (i) applicable laws, (ii) disclosures made to clients, and (iii) adequate systems, policies, and procedures to ensure compliance.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recent years, the SEC and its staff have focused on issues relevant to global investment firms and have formed specialized units devoted to examining such firms and, in certain cases, brought enforcement actions against the firms, their principals and their employees. It is generally expected that the SEC’s oversight of global investment firms will continue to focus on concerns related to, among other things, transparency, investor disclosure practices, investment risks and conflicts of interest, fees and expenses, liquidity, valuation of assets, and controls around material non-public information, which could impact the Company’s investment adviser entities in various ways. 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23"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Under the Advisers Act, our investment advisory agreements may not be assigned without the client’s consent. “Assignment” is broadly defined and includes direct assignments as well as assignments that may be deemed to occur upon the transfer, directly or indirectly, of a controlling interest in us.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Other Federal and State Regulators; Self-Regulatory Organizations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SEC regulatory oversight, we are subject to compliance under the Advisers Act, and there are several other regulatory bodies that have or could potentially have jurisdiction to regulate our business activities.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Besides the United States, we currently have operations in France, Hong Kong, Italy, Portugal, Singapore, Switzerland and United Kingdom. As we expand our operations in the United States, Europe, Asia and other jurisdictions, we will become subject to various legislative frameworks in those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24"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ITEM 1A. RISK FACTORS </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Risk Factor Summary </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in Item 1A. of this Annual Report. These risks include, but are not limited to, the following: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Risks Related to Macroeconomic Conditions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Difficult market and political conditions may reduce the value or hamper the performance of the investments made by our investment products and services or impair the ability of our investment products and services to raise or deploy capital.</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Inflation may adversely affect the business, results of operations and financial condition of our investment products and services.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Higher interest rates could have a material adverse effect on our business and that of our investment products and services’ portfolio companies.</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our Business and Industry</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are a holding company and our only material asset is our interest in our subsidiaries, and we are accordingly dependent upon distributions made by our subsidiaries to pay taxes, make payments under the Tax Receivable Agreement (see Note 21 (Commitments and Contingencies) to our consolidated financial statements included in this Annual Report) and pay dividends.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Our revenue is derived from fees correlated to the amount of assets under management and assets under advisement that we have and the performance of our investment strategies and/or products. Poor performance of our investments in the future or terminations of significant client relationships, in each case, resulting in a reduction in assets under management or advisement, could have a materially adverse impact on our results, financial condition or business.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The historical returns attributable to our investment products and services should not be considered as indicative of the future results of our investment products and services or of our future results or of any returns expected on an investment in our Class A Common Stock.</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Valuation methodologies for certain assets of our investment products and services can be open to subjectivity.</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The due diligence process that we undertake in connection with investments and M&amp;A may not reveal all facts that may be relevant in connection with an investment or acquisition.</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The administration/insolvency of our International Real Estate Businesses, or any other subsidiaries, could negatively impact our business, and liabilities arising from intercompany balances could adversely affect our financial results.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Failure to properly disclose conflicts of interest could harm our reputation, results of operations, financial condition or business.</w:t>
      </w:r>
    </w:p>
    <w:p>
      <w:pPr>
        <w:pStyle w:val="TextBody"/>
        <w:bidi w:val="0"/>
        <w:spacing w:lineRule="auto" w:line="268" w:before="180" w:after="283"/>
        <w:jc w:val="both"/>
        <w:rPr/>
      </w:pPr>
      <w:r>
        <w:rPr>
          <w:rFonts w:ascii="Times New Roman;serif" w:hAnsi="Times New Roman;serif"/>
          <w:b/>
          <w:color w:val="000000"/>
          <w:sz w:val="22"/>
        </w:rPr>
        <w:t>Risks Related to Geographical Environmen</w:t>
      </w:r>
      <w:r>
        <w:rPr>
          <w:rFonts w:ascii="Times New Roman;serif" w:hAnsi="Times New Roman;serif"/>
          <w:b w:val="false"/>
          <w:color w:val="000000"/>
          <w:sz w:val="22"/>
          <w:u w:val="single"/>
        </w:rPr>
        <w:t>t</w:t>
      </w:r>
    </w:p>
    <w:p>
      <w:pPr>
        <w:pStyle w:val="TextBody"/>
        <w:bidi w:val="0"/>
        <w:spacing w:lineRule="auto" w:line="268" w:before="180" w:after="283"/>
        <w:ind w:left="0" w:right="0" w:hanging="360"/>
        <w:jc w:val="both"/>
        <w:rPr/>
      </w:pPr>
      <w:r>
        <w:rPr>
          <w:color w:val="000000"/>
          <w:u w:val="single"/>
        </w:rPr>
        <w:t>•</w:t>
      </w:r>
      <w:r>
        <w:rPr>
          <w:rFonts w:ascii="Times New Roman;serif" w:hAnsi="Times New Roman;serif"/>
          <w:b w:val="false"/>
          <w:color w:val="000000"/>
          <w:sz w:val="22"/>
        </w:rPr>
        <w:t>Our international operations subject us to numerous risks.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We are expanding our business and may enter into new lines of business or geographic markets, which may result in additional risks and uncertainties and place significant demands on our administrative, operational and financial resources. </w:t>
      </w:r>
    </w:p>
    <w:p>
      <w:pPr>
        <w:pStyle w:val="TextBody"/>
        <w:bidi w:val="0"/>
        <w:spacing w:lineRule="auto" w:line="268" w:before="180" w:after="283"/>
        <w:jc w:val="both"/>
        <w:rPr/>
      </w:pPr>
      <w:r>
        <w:rPr>
          <w:rFonts w:ascii="Times New Roman;serif" w:hAnsi="Times New Roman;serif"/>
          <w:b/>
          <w:color w:val="000000"/>
          <w:sz w:val="22"/>
        </w:rPr>
        <w:t>Risks Related to Our Regulatory Environmen</w:t>
      </w:r>
      <w:r>
        <w:rPr>
          <w:rFonts w:ascii="Times New Roman;serif" w:hAnsi="Times New Roman;serif"/>
          <w:b w:val="false"/>
          <w:color w:val="000000"/>
          <w:sz w:val="22"/>
          <w:u w:val="single"/>
        </w:rPr>
        <w:t>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25"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are exposed to litigation risk and subject to regulatory examinations and investigations.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are subject to extensive government regulation, and our failure or inability to comply with these regulations or regulatory action against us could adversely affect our results of operations, financial condition or business.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Financial regulations and changes thereto in the United States could adversely affect our business and the possibility of increased regulatory focus could result in additional burdens and expenses on our business.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may face damage to our professional reputation and legal liability if our services are not regarded as satisfactory or for other reasons.</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Personnel</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rely on our management team to grow our business, and the loss of key management members, or an inability to hire key personnel, could harm our business.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Our future growth depends on our ability to attract, retain and develop human capital in a highly competitive talent market.</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Being a Public Company</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Our management team has limited experience managing a public company.</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As a public company, we are subject to laws, regulations and stock exchange listing standards, which impose additional costs on us and may strain our resources and divert our management’s attention. Additionally, due to our anticipated loss of “emerging growth company status” as of December 31, 2026, these expenses may increase even more.</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As previously disclosed, we have identified material weaknesses in our internal control over financial reporting and may find additional weaknesses in the future or fail to maintain an effective system of internal control over financial reporting. If we fail to establish and maintain proper and effective internal control over financial reporting, our operating results and our ability to operate our business could be harmed.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If we are deemed an “investment company” subject to regulation under the Investment Company Act, applicable restrictions could make it impractical for us to continue our business as contemplated and could have a material adverse effect on our business.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Our Strategic Alternatives Review Process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Our review of preliminary indications of interest and potential strategic alternatives may not result in any transaction, and the announcement or conduct of such a process may adversely affect our business.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26"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General Risk Factors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We may be required to take write-downs or write-offs, restructuring and impairment or other charges that could have a significant negative effect on our financial condition and our share price, which could cause you to lose some or all of your investment.</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Future resales of shares may cause the market price of our securities to drop significantly, even if our business is doing well.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 xml:space="preserve">Risk Factors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You should carefully consider the risks and uncertainties described below and the other information in this Annual Report before making an investment in our Class A Common Stock. Our business, financial condition, results of operations, or prospects could be materially and adversely affected if any of these risks occurs, and as a result, the market price of our Class A Common Stock could decline and you could lose all or part of your investment. This Annual Report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 </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Macroeconomic Conditions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Difficult market and political conditions may reduce the value or hamper the performance of the investments made by our investment products and services or impair the ability of our investment products and services to raise or deploy capital.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business is affected by conditions and trends in the global financial markets and the global economic and political climate relating to, among other things, current high interest rates, the availability and cost of credit, economic uncertainty, changes in laws (including laws relating to our taxation, taxation of our clients and the possibility of changes to regulations applicable to alternative asset managers), trade policies by the U.S. or other countries (such as tariffs or retaliatory tariffs as those proposed or imposed by the new U.S. Administration), commodity prices, currency exchange rates and controls, supply chain disruptions, consumer spending, employment levels, labor shortages, challenging labor market conditions, wage stagnation, energy prices, home prices, commercial property values, federal government shutdowns, political elections and administration transitions, national and international political events (including conflicts, terrorist acts, and security operations) and catastrophic events such as fires, floods, earthquakes, tornadoes, hurricanes and global health pandemics. These factors are outside of our control and may affect the level and volatility of credit and securities prices and the liquidity and value of fund investments, and we and our investment products and services may not be able to or may choose not to manage our exposure to these conditions. Global financial markets have experienced heightened volatility in recent periods, including as a result of economic and political events in or affecting the world’s major economies. Concerns over increasing inflation, economic recession, as well as interest rate volatility and fluctuations in oil and gas prices resulting from global production and demand levels, as well as geopolitical tension, have exacerbated market volatility.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During periods of difficult market conditions or slowdowns, which may be across one or more industries, sectors or geographies, our investment products and services’ portfolio companies may experience decreased revenues, financial losses, credit rating downgrades, difficulty in obtaining access to financing and increased funding costs. During such periods, those companies may also have difficulty in pursuing growth strategies, expanding their businesses and operations and be unable to meet their debt service obligations or other expenses as they become due, including obligations and expenses payable to our funds. Negative financial results in our investment products and services’ portfolio companies may reduce the NAV of our investment products and services, result in the impairment of assets and reduce the investment returns for our investment products and services, which could have a material adverse effect on our operating results and cash flow or ability to raise additional capital through new or successor investment products and services. In addition, such conditions would increase the risk of default with respect to credit-oriented or debt investments by our investment products and services. Our investment products and services may be adversely affected by reduced opportunities to exit and realize value from their investments, by lower than expected returns on investments made prior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27"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deterioration of the credit markets and by our inability to find suitable investments for our investment products and services to effectively deploy capital, which could adversely affect our ability to raise new funds and thus adversely impact our prospects for future growth.</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Inflation may adversely affect the business, results of operations and financial condition of our investment products and services.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Inflation continued at elevated levels in 2025 and may remain elevated in 2026. Inflation could have an adverse impact on any variable rate debt and general and administrative expenses, as these costs could increase at a rate higher than our revenue. While the inflation rate has decreased, prices remain high. Certain of our investment products and services and their portfolio companies operate in industries that have been impacted by inflation. Inflationary pressures have continually increased the costs of labor, energy and raw materials and have adversely affected consumer spending, economic growth and our investment products and services’ portfolio companies’ operations. If such portfolio companies are unable to pass any increases in the costs of their operations along to their customers, it could adversely affect their operating results. Such conditions would increase the risk of default on their obligations as a borrower. In addition, any projected future decreases in the operating results of our investment products and services’ portfolio companies due to inflation could adversely impact the fair value of those investments. Any decreases in the fair value of our investment products and services’ investments could result in future realized or unrealized losses.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Higher interest rates could have a material adverse effect on our business and that of our investment products and services’ portfolio companies.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Higher interest rates could have a dampening effect on overall economic activity, the financial condition of our customers and the financial condition of the end customers who ultimately create demand for the capital we supply, all of which could negatively affect demand for our investment products and services’ capital.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High interest rates may have a material effect on our business making it particularly difficult for us to obtain financing at attractive rates, impacting our ability to execute on our growth strategies or future acquisitions.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Changes in market and economic conditions could lower the value of assets on which we earn revenue and could decrease the demand for our investment solutions and services.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operate in the financial services industry. The financial markets, and in turn the financial services industry, are affected by many factors, such as U.S. and foreign economic and geopolitical conditions and general trends in business and finance that are beyond our control, and could be adversely affected by changes in the equity or debt marketplaces, unanticipated changes in currency exchange rates, interest rates, inflation rates, the yield curve, financial crises, war, terrorism, natural disasters, pandemics and outbreaks of disease or similar public health concerns, and other factors that are difficult to predict. In the event that the U.S. or international financial markets suffer a severe or prolonged economic downturn, investments may lose value and investors may choose to withdraw assets from financial advisers and use the assets to pay expenses or transfer them to investments that they perceive to be more secure, such as bank deposits and Treasury securities. Any prolonged downturn in financial markets, or increased levels of asset withdrawals could have a material adverse effect on our results of operations, financial condition or business.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Significant fluctuations in securities prices have and will continue to materially affect the value of the assets we manage and may also influence financial adviser and investor decisions regarding whether to invest in, or maintain an investment in, one or more of our investment solutions. If such fluctuations in securities prices were to lead to decreased investment in the securities markets, our revenue and earnings derived from asset-based revenue could be materially and adversely affected.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Furthermore, although the immediate effects of the COVID-19 pandemic have moderated, it has had, and may continue to have, a long-term negative impact on certain commercial real estate assets, particularly office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28"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properties, due to the risk that tenants may continue to reduce the office space they lease as a portion of the workforce works remotely on a hybrid or full time basis. Lower occupancy, rental rates and declining values in our real estate portfolio could have the following negative effects on us: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the values of our investments in commercial properties could decrease below the amounts paid for such investments;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revenues from the properties underlying our real estate investments could decrease due to fewer tenants and/or lower rental rates.</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Inflation and rapid increases in interest rates have led to a decline in the trading value of previously issued government securities with interest rates below current market interest rates. If such events were to occur again in the future and result in the receivership of financial institutions, there is no guarantee that the U.S. Department of the Treasury, FDIC and/or Federal Reserve, as applicable, take such actions in the future that they would do so in a timely fashion or that such actions, if taken, would have their intended effect or would fully protect depositors or counterparties.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results of events or concerns that involve one or more of these factors could include a variety of material and adverse impacts on our current and projected business operations, our financial condition, and results of operations.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Risks Related to our Business and Industry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Over the next 12-months from the time of this filing and the foreseeable future, we believe our cash and cash equivalents are sufficient to meet all of our normal operational and liquidity needs. However, to fund new initiatives and accelerate our growth, we may be required to obtain additional funds. This is because periods of low cash balances, caused by potential mismatches between projected revenue and the timing of receipts,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29"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specifically impact the capital available for expansion and/or business initiative efforts to grow or scale the business.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are a holding company and our only material asset is our interest in our subsidiaries, and we are accordingly dependent upon distributions made by our subsidiaries to pay taxes, make payments under the Tax Receivable Agreement and pay dividends.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Since the completion of the Business Combination, we are a holding company with no material assets other than the equity interests in our direct and indirect subsidiaries, including Umbrella. As a result, we have no independent means of generating revenue or cash flow. Our ability to pay taxes, make payments under the Tax Receivable Agreement and pay dividends or make other distributions depends on the financial results and cash flows of our subsidiaries and the distributions we receive from our subsidiaries. Deterioration in the financial condition, earnings or cash flow of such subsidiaries for any reason could limit or impair such subsidiaries’ ability to pay such distributions. Additionally, to the extent that we need funds and our subsidiaries are restricted from making such distributions under applicable law or regulation or under the terms of any financing arrangements, or our subsidiaries are otherwise unable to provide such funds, it could materially adversely affect our liquidity and financial condition.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Subject to the discussion herein, Umbrella will continue to be treated as a partnership for U.S. federal income tax purposes and, as such, generally will not be subject to any entity-level U.S. federal income tax. Instead, taxable income will be allocated to holders of Umbrella common units. Accordingly, we will be required to pay income taxes on our allocable share of any net taxable income of Umbrella. Under the terms of the Umbrella LLC Agreement, Umbrella is obligated to make tax distributions to holders of Umbrella common units (including the Company) calculated at certain assumed tax rates. In addition to tax expenses, we will also incur expenses related to our operations, including our payment obligations under the Tax Receivable Agreement, which could be significant, and some of which will be reimbursed by Umbrella (excluding payment obligations under the Tax Receivable Agreement). We intend to cause Umbrella to make ordinary distributions and tax distributions to holders of Umbrella common units on a pro rata basis in amounts sufficient to cover all applicable taxes, relevant operating expenses, payments we make under the Tax Receivable Agreement and dividends, if any, we declare. However, Umbrella’s ability to make such distributions may be subject to various limitations and restrictions including, but not limited to, retention of amounts necessary to satisfy the obligations of Umbrella and restrictions on distributions that would violate any applicable restrictions contained in Umbrella’s debt agreements, or any applicable law, or that would have the effect of rendering Umbrella insolvent. Any restrictions on the ability of Umbrella’s subsidiaries to make dividends or other distributions to Umbrella would also reduce the cash available to Umbrella to make distributions. To the extent that we are unable to make payments under the Tax Receivable Agreement for any reason, such payments will be deferred and will accrue interest until paid.</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Dividends on our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stockholders. In addition, entities are generally prohibited under relevant law from making a distribution to a stockholder to the extent that, at the time of the distribution, after giving effect to the distribution, the liabilities of such entity (subject to certain exceptions) exceed the fair value of its assets. If our subsidiaries do not have sufficient funds to make distributions, our ability to declare and pay cash dividends may also be restricted or impaired.</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revenue is derived from fees correlated to the amount of AUM and AUA that we have and the performance of our investment strategies and/or products. Poor performance of our investments in the future or terminations of significant client relationships, in each case, resulting in a reduction in AUM or advisement, could have a materially adverse impact on our results, financial condition or business.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success and growth of our business is dependent upon the performance of our investments. Poor performance of our investments could cause a decline in our revenues as a result of reduced management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30"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and incentive fees from our clients, as applicable, and may therefore have a materially adverse impact on our results. If we fail to meet the expectations of our clients or our investments otherwise experience poor investment performance, whether due to general economic and financial conditions, our investment acumen or otherwise, our ability to retain existing AUM or advisement and attract new clients could be materially adversely affected and our management fees and/or incentive fees would be reduced. Furthermore, even if the investment performance of our investments is positive, our business or financial condition could be materially adversely affected if we are unable to attract and retain additional AUM and AUA consistent with our past experience, industry trends or investor and market expectations. </w:t>
      </w:r>
    </w:p>
    <w:p>
      <w:pPr>
        <w:pStyle w:val="TextBody"/>
        <w:bidi w:val="0"/>
        <w:spacing w:lineRule="auto" w:line="288" w:before="180" w:after="283"/>
        <w:jc w:val="both"/>
        <w:rPr/>
      </w:pPr>
      <w:r>
        <w:rPr>
          <w:rFonts w:ascii="Times New Roman;serif" w:hAnsi="Times New Roman;serif"/>
          <w:b/>
          <w:i/>
          <w:color w:val="000000"/>
          <w:sz w:val="22"/>
        </w:rPr>
        <w:t>The success of our business depends on the identification and availability of suitable investment opportunities for our clients</w:t>
      </w:r>
      <w:r>
        <w:rPr>
          <w:rFonts w:ascii="Times New Roman;serif" w:hAnsi="Times New Roman;serif"/>
          <w:b w:val="false"/>
          <w:color w:val="000000"/>
          <w:sz w:val="22"/>
        </w:rPr>
        <w:t xml:space="preserve">.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success largely depends on the identification and availability of suitable investment opportunities for our clients, including the success of underlying funds and products in which our clients invest. The availability of investment opportunities will be subject to market conditions and other factors outside of our control and the control of the investment managers with which we invest for our clients. Past returns of our clients have benefited from investment opportunities and general market conditions that may not continue or reoccur, including favorable borrowing conditions in the debt markets, and there can be no assurance that our clients or the underlying funds and other products in which we invest for our clients will be able to avail themselves of comparable opportunities and conditions. There can also be no assurance that the underlying funds and other products we select will be able to identify sufficient attractive investment opportunities to meet their investment objectives.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The historical returns attributable to our investment products and services should not be considered as indicative of the future results of our investment products and services or of our future results or of any returns expected on an investment in our Class A Common Stock.</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historical performance of our investment products and services is relevant to us primarily insofar as it is indicative of our reputation and ability to raise new funds. The historical and potential returns of the funds we advise are not, however, directly linked to returns on shares of our Class A Common Stock. Therefore, holders of our Class A Common Stock should not conclude that positive performance of the funds we advise will necessarily result in positive returns on a return on investment in our Class A Common Stock. However, poor performance of our investment products and services we advise would likely cause a decline in our revenues and would therefore likely have a negative effect on our operating results, returns on our Class A Common Stock and a negative impact on our ability to raise new funds. Also, there is no assurance that projections in respect of our investment products and services or unrealized valuations will be realized.</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Moreover, the historical returns of our investment products and services should not be considered indicative of the future returns of these or from any future funds we may raise, in part because: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market conditions during previous periods may have been significantly more favorable for generating positive performance than the market conditions we may experience in the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our investment products and services’ rates of returns, which are calculated on the basis of NAV of the funds’ investments, reflect unrealized gains, which may never be realized;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our investment products and services’ returns have previously benefited from investment opportunities and general market conditions that may not recur, including the availability of debt capital on attractive terms and the availability of distressed debt opportunities, and we may not be able to achieve the same returns or profitable investment opportunities or deploy capital as quickly;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future fund returns will depend increasingly on the performance of our newer funds or funds not yet formed, which may have little or no realized investment track record;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the circumstances under which our current or future funds may make future investments may differ significantly from those conditions prevailing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31"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the increased competition for investments may reduce our returns in the future;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our newly established funds may generate lower returns during the period that they take to deploy their capital.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future return for any current or future fund may vary considerably from the historical return generated by any particular fund, or for our investment products and services as a whole. Future returns will also be affected by the risks described elsewhere in this report, including risks of the industries and businesses in which a particular fund invests.</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Valuation methodologies for certain assets of our investment products and services can be open to subjectivity.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Many of the investments in our investment products and services are illiquid and thus have no readily ascertainable market prices. We value these investments based on our estimate, or an independent third party’s estimate, of their value as of the date of determination. The determination of fair value, and thus the amount of unrealized appreciation or depreciation our investment products and services may recognize in any reporting period, is to a degree subjective. Our investment products and services generally value their investments quarterly at fair value, based on, among other things, the input of third party valuation firms and taking into account the nature and realizable value of any collateral, the portfolio company’s ability to make payments and its earnings, the markets in which the portfolio company operates, comparison to publicly traded companies, discounted cash flow, current market interest rates and other relevant factors. Because such valuations, and particularly valuations of private securities, private companies and privately owned real estate, are inherently uncertain, the valuations may fluctuate significantly over short periods of time due to changes in current market conditions. A fund’s NAV could be adversely affected if the determinations regarding the fair value of the investments were materially higher than the values that are ultimately realized upon the disposal of such investments. These valuations could, in turn, affect the management fees or performance income that our business receives.</w:t>
      </w:r>
    </w:p>
    <w:p>
      <w:pPr>
        <w:pStyle w:val="TextBody"/>
        <w:bidi w:val="0"/>
        <w:spacing w:lineRule="auto" w:line="288" w:before="180" w:after="283"/>
        <w:jc w:val="both"/>
        <w:rPr/>
      </w:pPr>
      <w:r>
        <w:rPr>
          <w:rFonts w:ascii="Times New Roman;serif" w:hAnsi="Times New Roman;serif"/>
          <w:b/>
          <w:i/>
          <w:color w:val="000000"/>
          <w:sz w:val="22"/>
        </w:rPr>
        <w:t>The due diligence process that we undertake in connection with investments and M&amp;A may not reveal all facts that may be relevant in connection with an investment or acquisition.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Before investing the assets of our clients, we conduct due diligence that we deem reasonable and appropriate based on the facts and circumstances applicable to each investment. When conducting due diligence, we may be required to evaluate important and complex business, financial, tax, accounting, technological, environmental, social, governance and legal and regulatory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and such an investigation will not necessarily result in the investment ultimately being successful. Moreover, the due diligence investigation that we will carry out with respect to any investment opportunity may not reveal or highlight all relevant facts or risks that are necessary or helpful in evaluating such investment opportunity. For example, instances of bribery, fraud, accounting irregularities and other improper, illegal or corrupt practices can be difficult to detect and may be more widespread in certain jurisdictions.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a substantial portion of our clients invest in underlying funds, and therefore we are dependent on the due diligence investigation of the underlying investment manager of such funds. We have little or no control over their due diligence process, and any shortcomings in their due diligence could be reflected in the performance of the investment we make with them on behalf of our funds. Poor investment performance could lead investors to terminate their agreements with us and/or result in negative reputational effects, either of which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32"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Dependence on leverage by certain funds, underlying investment funds and portfolio companies subjects us to volatility and contractions in the debt financing markets and could adversely affect the ability of our funds to achieve attractive rates of return on their investments.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Many of the funds we manage, the funds in which we invest and portfolio companies within our funds and customized separate accounts currently rely on credit facilities either to facilitate efficient investing or for speculative purposes. If our funds are unable to obtain financing, or the underlying funds or the companies in which our funds invest are unable to access the structured credit, leveraged loan and high yield bond markets (or do so only at increased cost), the results of their operations may suffer if such markets experience dislocations, contractions or volatility. Any such events could adversely impact our funds’ ability to invest efficiently, and may impact the returns of our funds’ investments.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absence of available sources of sufficient debt financing for extended periods of time or an increase in either the general levels of interest rates or in the risk spread demanded by sources of indebtedness would make it more expensive to finance those investments, and, in the case of rising interest rates, decrease the value of fixed-rate debt investments made by our funds. Certain investments may also be financed through fund-level debt facilities, which may or may not be available for refinancing at the end of their respective terms. Finally, limitations on the deductibility of interest expense on indebtedness used to finance our funds’ investments reduce the after-tax rates of return on the affected investments and make it more costly to use debt financing. Any of these factors may have an adverse impact on our business, results of operations and financial condition.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Similarly, private markets fund portfolio companies regularly utilize the corporate debt markets to obtain additional financing for their operations. The leveraged capital structure of such businesses increases the exposure of the funds’ portfolio companies to adverse economic factors such as rising interest rates, downturns in the economy or deterioration in the condition of such business or its industry. Any adverse impact caused by the use of leverage by portfolio companies in which we directly or indirectly invest could in turn adversely affect the returns of our funds.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Defaults by third-party investors could adversely affect that fund’s operations and performance.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is exposed to the risk that investors that owe us money for our services may not pay us. If investors default on their obligations to fund or similar commitments, there may be adverse consequences on the investment process, and we could incur losses and be unable to meet underlying capital calls. For example, certain of our funds may utilize lines of credit to fund investments. Because interest expense and other costs of borrowings under lines of credit are an expense of the fund, the fund’s net multiple of invested capital may be reduced, as well as the amount of carried interest generated by the fund. Any material reduction in the amount of carried interest generated by a fund may adversely affect our revenues.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failure to comply with investment guidelines of our clients could result in damage awards against us or a reduction in AUM, either of which would cause our earnings to decline and adversely affect our business.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Each of our clients is serviced pursuant to specific investment guidelines, which, with respect to our customized separate accounts, are often established collaboratively between us and the investor. Our failure to comply with these guidelines and other limitations could result in investors terminating their relationships with us or deciding not to commit further capital to us in respect of new or different funds. In some cases, these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 client or termination of the client relationship and a corresponding reduction in AUM. Even if we comply with all applicable investment guidelines, our investors may nonetheless be dissatisfied with our investment performance or our services or fees and may terminate their investment with us or be unwilling to commit new capital to our funds. Any of these events could cause our earnings to decline and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33"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may not have control over the day-to-day operations of many of the funds included in our investments and we do not control the business of the External Strategic Managers in which we have made strategic investments.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Investments by most of our funds, as well as by the External Strategic Managers in which we have made strategic investments, will include debt instruments and equity securities of companies that we do not control.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funds, as well as the External Strategic Managers, may invest through co-investment arrangements or acquire minority equity interests and may also dispose of a portion of the equity investments in portfolio companies over time in a manner that results in their retaining a minority investment. Consequently, the performance of our funds, as well as the External Strategic Managers, will depend significantly on the investment and other decisions made by third parties, which could have a material adverse effect on the returns achieved by our funds, as well as our External Strategic Managers.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our clients could decrease and our financial condition, results of operations and cash flow could suffer as a result. The operations of the External Strategic Managers are not subject to our control.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The investment products, services, and investment strategies we currently pursue may expose us to specific market, tax, regulatory and other risks.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currently pursue, through our investment products and services, multiple investment strategies. While we believe that there may be certain synergies amongst the various strategies, there can be no assurance that the benefits will manifest or that there will not be unanticipated consequences resulting therefrom. Although we are seeking additional investment strategies, relative to more diversified asset managers, our investment products and services’ limited and specialized focus also leaves us more exposed to risks affecting the sectors in which our investment products and services invest. As our investment management program is not broadly diversified, we may be uniquely exposed to market, tax, regulatory and other risks affecting the sectors in which we invest. There can be no assurance that we will be able to take actions necessary to mitigate the effect of such risks or otherwise diversify our investment program to minimize such exposure.</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Investments made on behalf of our clients may in many cases rank junior to investments made by other investors.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many cases, the companies in which we invest on behalf of our clients have indebtedness or equity securities, or may be permitted to incur indebtedness or to issue equity securities, that rank senior to investments made on behalf of our clients. By their terms, these instruments may provide that their holders are entitled to receive payments of dividends, interest or principal on or before the dates on which payments are to be made in respect of our clients’ investments. Also, in the event of insolvency, liquidation, dissolution, reorganization or bankruptcy of a company in which one or more of our clients hold an investment, holders of securities ranking senior to our client investments would typically be entitled to receive payment in full before distributions could be made in respect of our client investments. After repaying senior security holders, the issuer may not have any remaining assets to use for repaying amounts owed in respect of our client investments. To the extent that any assets remain, holders of claims that rank equally with our client investments would be entitled to share on an equal and ratable basis in distributions that are made out of those assets. Also, during periods of financial distress or following an insolvency, our ability to influence a company’s affairs and to take actions to protect investments by our clients may be substantially less than that of those holding senior interests.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Certain of our investments utilize special situation and distressed debt investment strategies that involve significant risks.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clients sometimes invest in companies with weak financial conditions, poor operating results, substantial financial needs, negative net worth and/or special competitive or regulatory problems. These clients also invest in companies that are or are anticipated to be involved in bankruptcy or reorganization proceedings. In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34"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situations, it may be difficult to obtain full information as to the exact financial and operating conditions of these companies. Additionally, the fair values of such investments are subject to abrupt and erratic market movements and significant price volatility if they are publicly traded securities, and are subject to significant uncertainty in general if they are not publicly traded securities. Furthermore, some of our clients’ distressed investments may not be widely traded or may have no recognized market. A client’s exposure to such investments may be substantial in relation to the market for those investments, and the assets are likely to be illiquid and difficult to sell or transfer. As a result, it may take a number of years for the market value of such investments to ultimately reflect their intrinsic value as perceived by us, if at all.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distressed investment strategies depend in part on our ability to successfully predict the occurrence of certain corporate events, such as debt and/or equity offerings, restructurings, reorganizations, mergers, takeover offers and other transactions, that we believe will improve the condition of the business. If the corporate event we predict is delayed, changed or never completed, the market price and value of the applicable fund’s investment could decline sharply.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these investments could subject us to certain potential additional liabilities that may exceed the value of our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a restructuring proposal or plan of reorganization in bankruptcy, our clients and/or we may become involved in substantial litigation.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investment advisory contracts may be terminated or may not be renewed by investors or fund boards on favorable terms and the liquidation of certain funds may be accelerated at the option of investors.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derive a substantial portion of our revenue from providing investment advisory services. The advisory or management contracts we have entered into with our clients, including the agreements that govern many of our investment funds, provide investors or, in some cases, the independent directors of applicable investment funds, with significant latitude to terminate such contracts, withdraw funds or liquidate funds by simple majority vote with limited notice or penalty, or to remove or terminate us as investment advisor (or equivalent). Our fee arrangements under any of our advisory or management contracts may be reduced (including at the behest of a fund’s board of directors). In addition, if a number of our investors terminate their contracts, or otherwise remove us from our advisory roles, liquidate funds or fail to renew management contracts on favorable terms, the fees or carried interest we earn could be reduced, which may cause our AUM, revenue and earnings to decline. The occurrence of any of these events could lead to a reduction in our revenues and profitability.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may sell our strategic investments in the External Strategic Managers or they may sell their businesses or exercise their rights to purchase our interests.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made, and may make in the future strategic investments with certain External Strategic Managers that contribute to our revenues. Depending on the circumstances, in the future we may sell our strategic investments in one or more of the External Strategic Managers. We also do not have control over these External Strategic Managers, who may sell their business (including our interests) without our consent, or they may have a contractual right to purchase our interest from us without our consent. The occurrence of any of these events could lead to a reduction in our revenues and profitability.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may establish fund vehicles in the future to own the existing strategic investments in our External Strategic Managers or to make strategic investments in new External Strategic Managers.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Although we currently own our strategic investments in the External Strategic Managers, in the future we may establish fund vehicles that we manage to own these investments and any strategic investments we may make in new External Strategic Managers. The benefit of setting up these fund vehicles is that we would not have to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35"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own capital to fund these investments since they would be funded by third party investors in our fund vehicles. However, if we establish such fund vehicles, we will only be entitled to a management fee for managing the vehicles and a carried interest based on the performance of the investments made in these External Strategic Managers, rather than all of the economics associated with owning the investments in these External Strategic Managers. Setting up these fund vehicles to own the investments in External Strategic Managers could lead to a reduction in the revenues and profitability we would have otherwise realized had we owned those interests directly.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If we are unable to compete effectively, our business and financial condition could be adversely affected.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industry in which we operate is intensely competitive, with competition based on a variety of factors, including investment performance, the scope and the quality of service provided to clients, brand recognition, business reputation and price. Our business competes with a number of private equity funds, hedge funds, wealth managers, specialized investment funds, solutions providers and other sponsors managing pools of capital, as well as corporate buyers, traditional asset managers, commercial banks, investment banks and other financial institutions (including sovereign wealth funds), and we expect that competition will continue to increase. For example, certain traditional asset managers have developed their own private equity platforms and are marketing other asset allocation strategies as alternatives to hedge fund investments. Additionally, developments in financial technology, such as distributed ledger technology, commonly referred to as blockchain, have the potential to disrupt the financial industry and change the way financial institutions, as well as asset managers, do business. A number of factors serve to increase our competitive risks: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a number of our competitors have greater financial, technical, marketing and other resources and more personnel than we do;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competitors have significant amounts of capital or are expected to raise significant amounts of capital, and many of them have investment objectives similar to ours, which may create additional competition for investment opportunities and may reduce the size and duration of pricing inefficiencies that our investments seek to exploit;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investments may not perform as well as competitors’ funds or other available investment products;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competitors may have a lower cost of capital, which may be exacerbated to the extent potential changes to the Internal Revenue Code of 1986, as amended (the “Code”) limit the deductibility of interest expense;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competitors may have access to funding sources that are not available to us, which may create competitive disadvantages for us with respect to investment opportunities;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competitors may be subject to less regulation and accordingly may have more flexibility to undertake and execute certain businesses or investments than we can and/or bear less compliance expense than we do;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competitors may have more flexibility than us in raising certain types of investment funds under the investment management contracts they have negotiated with their investors;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some of our competitors may have better expertise or be regarded by investors as having better expertise in a specific asset class or geographic region than we do;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other industry participants may, from time to time, seek to recruit our investment professionals and other employees away from us.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may find it harder to attract and retain wealth management clients and raise new funds, and we may lose investment opportunities in the future, if we do not match the prices, structures and terms offered by our competitors. We may not be able to maintain our current fee structures as a result of industry pressure from investors to reduce fees. In order to maintain our desired fee structures in a competitive environment, we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36"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be able to continue to provide clients with investment returns and service that incentivize them to pay our desired fee rates. We cannot assure you that we will succeed in providing investment returns and service that will allow us to maintain our desired fee structure. Fee reductions on existing or future new business could have a material adverse effect on our profit margins and results of operations.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The anticipated benefits of future acquisitions that we may pursue may not be realized or may take longer than expected to realize.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may pursue acquisitions of assets or businesses that are complementary to our business. For any such acquisitions, the optimization of our combined operations may be a complex, costly and time-consuming process and if we experience difficulties in this process, the anticipated benefits may not be realized fully or at all, or may take longer to realize than expected, which could have an adverse effect on us for an undetermined period after any such future acquisition. There can be no assurances that we will realize any potential operating efficiencies, synergies and other benefits anticipated in connection with such acquisitions.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integration of our acquisitions may present material challenges, including, without limitation: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combining leadership teams and corporate cultures;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the diversion of management’s attention from ongoing business concerns and performance shortfalls as a result of the devotion of management’s attention to the integration of a new asset or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managing a larger combined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maintaining employee morale and retaining key management and other employees, including by offering sufficiently attractive terms of employment;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retaining existing business and operational relationships, and attracting new business and operational relationships;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the possibility of faulty assumptions underlying expectations regarding the integration process;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consolidating corporate and administrative infrastructures and eliminating duplicative operations;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managing expense loads and maintaining currently anticipated operating margins given that investment products and services may be different in nature and therefore may require additional personnel and compensation expenses, which expenses may be borne by us, rather than our investment products and services;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unanticipated issues in integrating information technology, communications and other systems.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Some of those factors are outside of our control, and any one of them could result in delays, increased costs, decreases in the amount of potential revenues or synergies, potential cost savings, and diversion of management’s time and energy, which could materially affect our financial position, results of operations, and cash flows.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The administration/insolvency of our International Real Estate Businesses could negatively impact our business, and liabilities arising from intercompany balances could adversely affect our financial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July 11, 2025, we placed our International Real Estate Businesses into administration in England and Wales under applicable insolvency laws and appointed the Administrators. The Administrators are officers of the court and, upon their appointment, the directors’ powers were suspended such that the day-to-day operations of these businesses are now under the control of the Administrators. The administration process presents risks and uncertainties that could negatively affect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ultimate costs of the administration/insolvency could exceed our current estimates. In addition, the realization of any remaining assets may be less than anticipated.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37"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Administrators have broad powers, including with respect to the realization of assets, including intercompany balances owed to the International Real Estate Businesses, and adjudication of claims.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have historically engaged in transactions with our subsidiaries and affiliated entities, including intercompany funding arrangements and other financial support. The treatment of intercompany balances is subject to applicable insolvency laws, including limitations on contractual or other rights of setoff, and will require negotiated resolution with the Administrators (which may require payments or other consideration from us or our solvent subsidiaries). If a mutually acceptable resolution is not achieved, the Administrators could seek payment of amounts they determine to be due, which could require certain of our affiliated entities to satisfy obligations in cash or otherwise. Any such amounts, and the timing of any required payments, are uncertain and could be material to our results of operations, cash flows or financial condition. There can be no assurance that such matters will be resolved on terms favorable to us, or at all.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may also retain responsibility for certain pre-administration liabilities or other obligations, or face claims related to the historical operations of the International Real Estate Businesses. Any such pre-administration liabilities could be material and could adversely affect our results of operations, cash flows or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The potential insolvency of other subsidiaries or affiliated entities could materially adversely affect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additional subsidiaries or affiliated entities were to become subject to bankruptcy, administration, liquidation or similar insolvency proceedings in any jurisdiction, we could be adversely affected. Although our subsidiaries are separate legal entities, a court, administrator, liquidator or other insolvency official could seek to enforce intercompany arrangements, guarantees, letters of support or other financial commitments, or assert claims against us under applicable law. In certain jurisdictions, local law may permit recourse against shareholders or affiliated entities in circumstances involving undercapitalization, workforce-related liabilities, or other statutory obligations.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our right to receive any assets of a subsidiary upon its bankruptcy, liquidation or reorganization would be junior to the claims of that subsidiary’s creditors, including trade creditors and employees. If any material subsidiary, particularly one that holds significant contracts, licenses or assets, were to enter insolvency proceedings, the resulting disruption, potential loss of value, and related claims could have a material adverse effect on our business, results of operations, cash flows and financial condition.</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Potential conflicts of interest may arise in the allocation of investment opportunities among funds.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Certain of our investment products and services may have overlapping investment objectives, including funds that have different fee structures, and potential conflicts may arise with respect to our decisions regarding how to allocate investment opportunities among those funds. We may allocate an investment opportunity that is appropriate for two or more investment funds in a manner that excludes one or more funds or results in a disproportionate allocation based on factors or criteria that we determine, including but not limited to differences with respect to available capital, the current or anticipated size of a fund, minimum investment amounts, the remaining life of a fund, differences in investment objectives, guidelines or strategies, diversification, portfolio construction considerations and other considerations deemed relevant to us and in accordance with our policy. Although we have adopted investment allocation policies and procedures that are designed to ensure fair and equitable treatment over time, and expect these policies and procedures to continue to evolve, those policies and procedures will not eliminate all potential conflicts. Certain investment opportunities may be allocated to certain funds that have lower fees or to our co-investment funds that pay no fees.</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Conflicts of interest may arise in our allocation of costs and expenses, and we are subject to increased regulatory scrutiny and uncertainty with regard to those allocations.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an asset manager with multiple funds, we regularly make determinations to allocate costs and expenses both among our funds and between our funds and us. Certain of those allocation determinations are inherently subjective and virtually all of them are subject to regulatory oversight. Any allocation or allegation of,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38"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investigation into, a potential violation could cause reputational harm and a loss of investor confidence in our business. It could also result in regulatory lapses and any applicable penalties, as well as increased regulatory oversight of our business. In addition, any determination to allocate costs and expenses to us could negatively affect our net income, and ultimately decrease the value of our Class A Common Stock and our dividends to our stockholders. Similar considerations arise when allocating expenses to, or away from vehicles to which specified interests apply.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a conflict of interest in determining whether certain costs and expenses are incurred in the course of operating our funds, including the extent to which services provided by certain employees and associated costs, including compensation, are allocable to certain funds. Our funds generally pay or otherwise bear all legal, accounting, filing, and other expenses incurred in connection with organizing and establishing the funds and the offering of interests in the funds, including certain employee compensation. Such determinations often require subjective judgment and may result in us, rather than our funds, being allocated certain fees and expenses. In addition, our funds generally pay all expenses related to the operation of the funds and their investment activities, in certain cases subject to caps. We also determine, in our sole discretion, the appropriate allocation of investment-related expenses, including broken deal expenses, incurred in respect of unconsummated investments and expenses more generally relating to a particular investment strategy, among our investment products and services, vehicles and accounts participating or that would have participated in such investments or that otherwise participate in the relevant investment strategy, as applicable. That often requires judgment and could result in one or more of our funds bearing more or less of these expenses than other investors or potential investors in the relevant investments or a fund paying a disproportionate share, including some or all, of the broken deal expenses or other expenses incurred by potential investors. Any dispute regarding such allocations could lead to our funds or us, as further described below, having to bear some portion of these costs as well as reputational risk. In addition, for funds that do not pay or otherwise bear the costs and expenses described above because of the application of caps or otherwise, such amounts may be borne by us, which will reduce the amount of net fee income we receive for providing advisory services to the funds.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Additional and unpredictable conflicts of interests may rise in the future.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addition to the conflicts outlined above, we may experience conflicts of interest in connection with the management of our business affairs relating to and arising from a number of matters, including the amounts paid to us by our investment funds; services that may be provided by us and our affiliates to investments in which our investment funds invest (including the determination of whether or not to charge fees to our investments for our provision of such services); investments by our investment funds and our other clients, subject to the limitations of the Investment Company Act; our formation of additional investment funds; differing recommendations given by us to different clients; and our use of information gained from an investment funds’ investments used to inform investments by other clients, subject to applicable law.</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Our entitlement and that of certain employees to receive performance income from certain of our investment products and services may create an incentive for us to make more speculative investments and determinations on behalf of our investment products and services than would be the case in the absence of such performance income.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Some of our investment products and services generate performance-based fees, including carried interest. Carried interest and performance-based fees or allocations may create an incentive for us or our investment professionals to make more speculative or riskier investments and determinations, directly or indirectly on behalf of our investment products and services, or otherwise take or refrain from taking certain actions that it would otherwise make in the absence of such carried interest or performance-based fees or allocations. It may also create incentives to influence how we establish economic terms for future funds. In addition, we may have an incentive to make exit determinations based on factors that maximize economics in favor of the employees relative to us and our non-participating stockholders. Our failure to appropriately address any actual, potential or perceived conflicts of interest resulting from our entitlement to receive performance income from many of our investment products and services could have a material adverse effect on our reputation, which could materially and adversely affect our business in a number of ways, including limiting our ability to raise additional funds, attract new clients or retain existing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39"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have implemented procedures to mitigate potential conflicts of interest and address certain regulatory requirements that prevent us from fully realizing potential synergies across our various businesses. </w:t>
      </w:r>
    </w:p>
    <w:p>
      <w:pPr>
        <w:pStyle w:val="TextBody"/>
        <w:bidi w:val="0"/>
        <w:spacing w:lineRule="auto" w:line="288" w:before="180" w:after="283"/>
        <w:jc w:val="both"/>
        <w:rPr/>
      </w:pPr>
      <w:r>
        <w:rPr>
          <w:rFonts w:ascii="Times New Roman;serif" w:hAnsi="Times New Roman;serif"/>
          <w:b w:val="false"/>
          <w:color w:val="000000"/>
          <w:sz w:val="22"/>
        </w:rPr>
        <w:t>In an effort to mitigate potential conflicts of interest and address regulatory, legal and contractual requirements and contractual restrictions, we have implemented certain procedures that may reduce the positive synergies that would otherwise exist across our various businesses. For example, in certain instances, our procedures prohibit reliance by one of our business lines on due diligence on investment opportunities performed by another business line.</w:t>
      </w:r>
      <w:r>
        <w:rPr>
          <w:color w:val="000000"/>
        </w:rPr>
        <w:t xml:space="preserve"> </w:t>
      </w:r>
      <w:r>
        <w:rPr>
          <w:rFonts w:ascii="Times New Roman;serif" w:hAnsi="Times New Roman;serif"/>
          <w:b w:val="false"/>
          <w:color w:val="000000"/>
          <w:sz w:val="22"/>
        </w:rPr>
        <w:t xml:space="preserve">This prohibition may result in multiple business lines conducting duplicative and costly due diligence. Additionally, the terms of confidentiality or other agreements with or related to companies in which we have entered, either on our own behalf or on behalf of any of our clients, sometimes restrict or otherwise limit the ability of us or our clients to make investments or otherwise engage in businesses or activities competitive with such companies.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Failure to properly disclose conflicts of interest could harm our reputation, results of operations, financial condition or business.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currently provide or may in the future provide a broad spectrum of financial services, including investment advisory, asset management, capital markets, and idea generation. Because of our size and the variety of investment strategies that we may pursue or we currently pursue, we may face a higher degree of scrutiny compared with investment managers that are smaller or focus on fewer asset classes. In the ordinary course of business, we engage in activities in which our interests or the interests of our clients may conflict with the interests of other clients, including the investors in our funds. Such conflicts of interest could adversely affect one or more of our clients and/or our performance or returns to our investors.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Certain of our clients may have overlapping investment objectives, including clients that have different fee structures and/or investment strategies that are more narrowly focused, and potential conflicts may arise with respect to allocation of investment opportunities among those clients. We will, from time to time, be presented with investment opportunities that fall within the investment objectives of multiple clients. In such circumstances, we will seek to allocate such opportunities among our clients on a basis that we reasonably determine in good faith to be fair and equitable, and may take into account a variety of relevant factors in determining eligibility, including the investment team primarily responsible for sourcing or performing due diligence on the transaction, the nature of the investment focus of each client, the relative amounts of capital available for investment, anticipated expenses to the applicable client and/or to us with regard to investment by our various clients, the investment pacing and timing of our clients and other considerations deemed relevant by us. Allocating investment opportunities appropriately frequently involves significant and subjective judgments. The risk that investors could challenge allocation decisions as inconsistent with our obligations under applicable law, governing client agreements or our own policies cannot be eliminated. In addition, the perception of non-compliance with such requirements or policies could harm our reputation with investors.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clients may invest in companies in which we or one or more of our other clients also invest, either directly or indirectly. Investments in a company by certain of our clients may be made prior to the investment by other clients, concurrently, including as part of the same financing plan or subsequent to the investments by such other clients. Any such investment by a client may consist of securities or other instruments of a different class or type from those in which other of our clients are invested, and may entitle the holder of such securities and other instruments to greater control or to rights that otherwise differ from those to which such other clients are entitled. In connection with any such investments—including as they relate to acquisition, owning, and disposition of such investments—our clients may have conflicting interests and investment objectives, and any difference in the terms of the securities or other instruments held by such parties may raise additional conflicts of interest for our clients and us. Our failure to adequately mitigate these conflicts could give rise to regulatory and investor scrutiny.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our investment activities on behalf of our clients, we receive investment-related information. We do not generally establish information barriers between internal investment teams. To the extent permitted by law, investment professionals have access to and make use of such investment-related information in making investment decisions for our clients. Therefore, information related to investments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40"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behalf of a particular client may inform investment decisions made in respect of another of our clients or otherwise be used and monetized by us. The access and use of this information may create conflicts between our clients and between our clients and us, and no client, including any fund investor, is entitled to any compensation for any profits earned by another client or us based on our use of investment-related information received in connection with managing such clients.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Certain persons employed by or otherwise associated with us are related to, or otherwise have business, personal, political, financial, or other relationships with, persons employed by or otherwise associated with service providers engaged for our clients, and third-party investment managers with whom we invest on behalf of our clients. These types of relationships may also influence us in deciding whether to select or recommend such a service provider to perform services for a particular client or to make or redeem an investment on behalf of a client.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we permit employees, former employees and other parties associated with the firm to invest in or alongside our funds on a no-fee, no-carry basis. These arrangements may create a conflict in connection with investments we make on behalf of our clients.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It is possible that actual, potential or perceived conflicts could give rise to investor dissatisfaction or litigation or regulatory enforcement actions.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attract new investors or retain existing clients. </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pay carried interest and performance-based fees to our investment professionals and other personnel in order to attract and retain them, which may result in a reduction of our revenues and a decrease in our profit margins.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order to recruit and retain existing and future investment professionals and other key personnel, and to further align the interests of our investment professionals and other personnel with the investment performance of our funds and other products, we expect to increase the level, or change the form or composition, of the amounts we pay to them, including providing them with a greater share of carried interest or performance-based fees. If we increase these amounts, it will likely reduce our revenues, or cause a higher percentage of our revenue to be paid out in the form of compensation, adversely impacting our profit margins. To the extent an increased share of carried interest and performance-based fees are insufficient to ensure an adequate amount of cash is received by our investment professionals and other key personnel, we may not be able to adequately attract or retain them. </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Risks Related to Geographical Environment</w:t>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international operations subject us to numerous risks.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or the External Strategic Managers in which we have made strategic investments maintain operations in the United Kingdom and Hong Kong, among other places, and may grow our business into new regions with which we have less familiarity and experience, and this growth is important to our overall success. In addition, many of our investors are non-U.S. entities where we are expected to have a familiarity with the specific legal and regulatory requirements applicable to such investors. We rely upon stable and free international markets, not only in connection with seeking investors outside the U.S. but also in investing fund capital in these markets.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international operations carry special financial and business risks, which could include the following: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greater difficulties in managing and staffing foreign operations;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differences between the U.S. and foreign capital markets, such as for accounting, auditing, financial reporting and legal standards, practices and disclosure requirements;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fluctuations in foreign currency exchange rates that could adversely affect our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41"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additional costs of complying with, and exposure to liability under, foreign regulatory regimes;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changes in governmental policies;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unexpected changes in trading policies, regulatory requirements, tariffs and other barriers;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longer transaction cycles;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higher operating costs;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local labor conditions and regulations;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adverse consequences or restrictions on the repatriation of earnings;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potentially adverse tax consequences, such as trapped foreign losses;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less stable political and economic environments;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terrorism, political hostilities, war, public health crises and other civil disturbances or other catastrophic or pandemic events that reduce business activity;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cultural and language barriers and the need to adopt different business practices in different geographic areas;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difficulty collecting fees and, if necessary, enforcing judgments.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part of our day-to-day operations outside the United States, we are required to maintain compensation programs, employment policies, compliance policies and procedures and other administrative programs that comply with the laws of multiple countries. We also must communicate and monitor standards and directives across our global operations. Changes in governmental policy may adversely affect the profitability of our business. Our failure to successfully manage and grow our geographically diverse operations could impair our ability to react quickly to changing business and market conditions and to enforce compliance with non-U.S. standards and procedures.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materially and adversely affected if we are unable to successfully manage these and other risks of international operations in a volatile environment. If our international business increases relative to our total business, these factors could have a more pronounced effect on our results of operations or growth prospects.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operations in Hong Kong may be adversely affected by political and trade tensions between the U.S. and China.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our client portfolios, we maintain (depending upon client objective and mandate) allocations of investments in Asian equities and Emerging Market Funds. In both cases, we have direct exposure to Hong Kong equities, Chinese equities and equities of other Asian countries for which China is a significant export market. In the case of a significant change in how the Chinese government treats Hong Kong or regulation of its equity markets, or how China itself evolves from a sovereign risk perspective, there may be risk to the valuation of these shares. Our Hong Kong wealth management business represents $1.1 billion in AUM as of December 31, 2025, which represents approximately 1.1% of our AUM and less than 2.5% of revenue for the year ended December 31, 2025. Moreover, more than 99.9% of our Hong Kong client assets are custodied in locations other than China or Hong Kong.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operations and financial condition may be affected by political and legal developments in Hong Kong. Hong Kong is a special administrative region of the People’s Republic of China (the “PRC”) and the basic policies of the PRC regarding Hong Kong are reflected in the Basic Law, which provides Hong Kong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42"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 high degree of autonomy and executive, legislative and independent judicial powers, including that of final adjudication under the principle of “one country, two systems.”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However, there is no assurance that the PRC will not cause changes in the economic, political and legal environment in Hong Kong in the future. The U.S. State Department has indicated that the United States no longer considers Hong Kong to have significant autonomy from China. Any reduction in Hong Kong’s autonomy may have adverse global implications. Tensions between the United States and China with respect to international trade policy, human rights and relations with Taiwan and Russia may result in the imposition of more tariffs, export controls or economic sanctions, the application of which may be extended to Hong Kong. Legislative or administrative actions with respect to China-U.S. relations could cause investor uncertainty for affected issuers, including us, and the market price of our Common Stock could be adversely affected.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are expanding our business and may enter into new lines of business or geographic markets, which may result in additional risks and uncertainties and place significant demands on our administrative, operational and financial resources. There can be no assurance that we will be able to successfully manage this growth.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currently generate substantially all of our revenues from either management fees and/or incentive fees. However, we intend to grow our business by offering additional products and services, by entering into new lines of business and by entering into, or expanding our presence in, new geographic markets. Introducing new types of investment structures, products and services could increase our operational costs, and the complexities involved in managing such investments, including with respect to ensuring compliance with regulatory requirements and the terms of the investment. For example, we invest in funds that seek to capitalize on investment opportunities accessed by investing with women-owned and minority-owned investment firms and funds, which may be subject to greater levels of regulatory scrutiny.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 In addition, we have in the past and continue in the future to explore opportunities to grow our business via acquisitions, partnerships, investments or other strategic transactions, and to execute on those opportunities. There can be no assurance that we will successfully identify, negotiate or complete such transactions in the future, that any completed transactions will produce favorable financial results or that we will be able to successfully integrate an acquired business with ours.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Entry into certain lines of business or geographic markets or the introduction of new types of products or services may subject us to new laws and regulations with which we are not familiar, or from which we are currently exempt, and may lead to increased litigation and regulatory risk. If a new business generates insufficient revenues or if we are unable to efficiently manage our expanded operations, our business, financial condition and results of operations could be materially and adversely affected.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future growth will depend in part on our ability to maintain an operating platform and management system sufficient to address our growth and may require us to incur significant additional expenses and to commit additional senior management and operational resources. As a result, we may face significant challenges in: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maintaining adequate financial, regulatory (legal, tax and compliance) and business controls;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providing current and future investors and stockholders with accurate and consistent reporting;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implementing new or updated information and financial systems and procedures; and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training, managing and appropriately sizing our work force and other components of our businesses on a timely and cost-effective basis.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may not be able to manage our expanding operations effectively and may not be ready to continue to grow because of operational needs, and any failure to do so could adversely affect our ability to generate revenue and control our expenses. In addition, if we are unable to consummate or successfully integrate development opportunities, acquisitions or joint ventures, we may not be able to implement our growth strategy successfully. </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Our Regulatory Environment</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are exposed to litigation risk and subject to regulatory examinations and investigations.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43"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services industry faces substantial regulatory risks and litigation. Like many firms operating within the financial services industry, we are experiencing a difficult regulatory environment across our markets. Our current scale and reach as a provider to the financial services industry, the continued stringent regulatory oversight of the financial services industry generally, new laws and regulations affecting the financial services industry, ever-changing regulatory interpretations of existing laws and regulations and the retroactive imposition of new interpretations through enforcement actions have made this an increasingly challenging and costly regulatory environment in which to operate. These examinations or investigations, including any enforcement action brought by the SEC, UK FCA or other regulator against us, could result in the identification of matters that may require remediation activities or enforcement proceedings by the relevant regulator. The direct and indirect costs of responding to these examinations, or of defending us in any litigation could be significant. Additionally, actions brought against us may result in settlements, awards, injunctions, fines and penalties. The outcome of litigation or regulatory action is inherently difficult to predict and could have an adverse effect on our ability to offer some of our products and services.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are subject to extensive government regulation, and our failure or inability to comply with these regulations or regulatory action against us could adversely affect our results of operations, financial condition or business.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activities are subject to extensive and evolving laws, rules and regulations. Any changes or potential changes in the regulatory framework applicable to our business may impose additional expenses or capital requirements on us, limit our fundraising activities, have an adverse effect on our business, financial condition, results of operations, reputation or prospects, impair employee retention or recruitment and require substantial attention by senior management. It is impossible to determine the extent of the impact of any new laws, regulations, initiatives or regulatory guidance that may be proposed or may become law on our business or the markets in which we operate.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Governmental authorities around the world have implemented or are implementing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risk management and anti-money laundering procedures; restrictions on specific types of investments and the provision and use of leverage; implementation of capital requirements; limitations on compensation to managers; and books and records, reporting and disclosure requirements. We cannot predict with certainty the impact on us, our clients, or on alternative investment funds generally, of any such reforms. Any of these regulatory reform measures could have an adverse effect on our clients’ investment strategies or our business model. We may incur significant expense in order to comply with such reform measures and may incur significant liabilities if regulatory authorities determine that we are not in compliance.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is subject to regulation in the United States, including by the SEC, the Commodity Futures Trading Commission, the IRS, and other regulatory agencies. Any change in such regulation or oversight could materially increase our financial burden in order to comply with such regulation or have a material adverse effect on our business, financial condition and results of operations. In addition, we regularly rely on exemptions from various requirements of these and other applicable laws. These exemptions are sometimes highly complex and may in certain circumstances depend on compliance by third parties whom we do not control. If, for any reason, these exemptions were to be revoked or challenged or otherwise become unavailable to us, we could be subject to regulatory action or third-party claims, and our business, financial condition and results of operations could be materially and adversely affected. Our failure to comply with applicable laws or regulations could result in fines, suspensions of personnel or other sanctions, including revocation of certain of our subsidiaries’ registrations as investment advisors, recession of contracts or products that we offer. Even if a sanction imposed against us or our personnel is small in monetary amount, the adverse publicity arising from the imposition of sanctions against us by regulators could harm our reputation and cause us to lose existing clients or fail to gain new clients.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SEC continues to increase its regulation of the asset management and private equity industries, focusing on the private equity industry’s fees, allocation of expenses to funds, including the allocation of broken-deal expenses, marketing practices, allocation of investment opportunities, disclosures to investors, cybersecurity, data protection, and general conflicts of interest disclosures. The SEC has also heightened its focus on the valuation practices employed by investment advisers. The lack of readily ascertainable market prices for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44"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of the investments made by our clients or the funds in which we invest could subject our valuation policies and processes to increased scrutiny by the SEC. We may be adversely affected as a result of new or revised legislation or regulations imposed by the SEC, other U.S. or foreign governmental regulatory authorities or self-regulatory organizations that supervise the financial markets. Brexit may result in our being subject to new and increased regulations if we can no longer rely on passporting privileges that allow U.K. financial institutions to access the EU single market without restrictions. We also may be adversely affected by changes in the interpretation or enforcement of existing laws and rules by these governmental authorities and self-regulatory organizations.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are subject to the fiduciary responsibility provisions of ERISA and the prohibited transaction provisions of ERISA and Section 4975 of the Code in connection with the management of certain of funds. With respect to these funds, this means that (1) the application of the fiduciary responsibility standards of ERISA to investments made by such funds, including the requirement of investment prudence and diversification, and (2) certain transactions that we enter into, or may have entered into, on behalf of these funds, in the ordinary course of business, are subject to the prohibited transactions rules under Section 406 of ERISA and Section 4975 of the Code. A non-exempt prohibited transaction, in addition to imposing potential liability upon fiduciaries of an ERISA plan, may also result in the imposition of an excise tax under the Code upon a “party in interest” (as defined in ERISA), or “disqualified person” (as defined in the Code), with whom we engaged in the transaction. In addition, a court could find that our funds that invest directly in operating companies have formed a partnership-in-fact conducting a trade or business with such operating companies and would therefore be jointly and severally liable for these companies’ unfunded pension liabilities.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certain entities in our structure are registered as an investment adviser with the SEC and are subject to the requirements and regulations of the Advisers Act. Such requirements relate to, among other things, restrictions on entering into transactions with clients,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certain of our subsidiaries are registered investment advisors, they have fiduciary duties to our clients. A failure to comply with the obligations imposed by the Advisers Act,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EU, MiFID II requires, among other things, all MiFID investment firms to comply with prescriptive disclosure, transparency, reporting and recordkeeping obligations and obligations in relation to the receipt of investment research, best execution, product governance and marketing communications. As we operate investment firms which are subject to MiFID II, we have implemented policies and procedures to comply with MiFID II where relevant, including where certain rules have an extraterritorial impact on us. Compliance with MiFID II has resulted in greater overall complexity, higher compliance, administration and operational costs, and less overall flexibility. The complexity, operational costs and reduction in flexibility may be further compounded as a result of Brexit. This is because the UK is both: (i) no longer generally required to transpose EU law into UK law; and (ii) electing to transpose certain EU legislation into UK law subject to various amendments and subject to the UK FCA’s oversight rather than that of EU regulators. Taken together, (i) and (ii) could result in divergence between the UK and EU regulatory frameworks.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across the EU, we are subject to the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relate primarily to registration and reporting obligations. As described above, Brexit and the potential resulting divergence between the UK and EU regulatory frameworks may result in additional complexity and costs in complying with AIFMD across both the UK and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45"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EU Securitization Regulation (the “Securitization Regulation”) imposes due diligence and risk retention requirements on “institutional investors,” which includes managers of alternative investment funds assets, and constrains the ability of alternative investment funds to invest in securitization positions that do not comply with the prescribed risk retention requirements. The Securitization Regulation may impact or limit our funds’ ability to make certain investments that constitute “securitizations” and may impose additional reporting obligations on securitizations, which may increase the costs of managing such vehicles.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 new EU Regulation on the prudential requirements of investment firms (Regulation (EU) 2019/2033) and its accompanying Directive (Directive (EU) 2019/2034) (together, “IFR/IFD”) went into effect on June 26, 2021. IFR/IFD introduced a bespoke prudential regime for most MiFID investment firms to replace the one that previously applied under the fourth Capital Requirements Directive and the Capital Requirements Regulation. IFR/IFD represents a complete overhaul of “prudential” regulation in the EU. As the application dates for IFR/IFD fall outside the end of the Brexit transition period, the UK is not required to implement the legislation and has instead established a new Investment Firms Prudential Regime that went into effect January 1, 2022, which is intended to achieve similar outcomes to IFD/IFR. There is a risk that the new regime will result in higher regulatory capital requirements for affected firms and new, more onerous remuneration rules, as well as re-cut and extended internal governance, disclosure, reporting, liquidity, and group “prudential” consolidation requirements (among other things), each of which could have a material impact on our European operations, although there are transitional provisions allowing firms to increase their capital to the necessary level over three to five years.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It is expected that additional laws and regulations will come into force in the EEA, the EU, the UK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are subject to U.S. foreign investment regulations, which may impose conditions on or limit certain investors’ ability to purchase or maintain our Class A Common Stock.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Investments that involve the acquisition of, or investment in, a U.S. business by a non-U.S. investor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802, as amended, administered by the Committee on Foreign Investment in the United States (“CFIUS”).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Whether CFIUS has jurisdiction to review an acquisition or investment transaction depends on, among other factors, the nature and structure of the transaction, including the level of beneficial ownership interest and the nature of any information or governance rights involved. For example, investments that result in “control” of a “U.S. business” by a “foreign person” (in each case, as such terms are defined in 31 C.F.R. Part 800) are subject to CFIUS jurisdiction. Significant CFIUS reform legislation, which was fully implemented through regulations that became effective in 2020, expanded the scope of CFIUS’s jurisdiction to investments that do not result in control of a U.S. business by a foreign person, but where they afford certain foreign investors certain information or governance rights in a U.S. business that has a nexus to “critical technologies,” “covered investment critical infrastructure,” and/or “sensitive personal data” (in each case, as such terms are defined in 31 C.F.R. Part 800). The current U.S. Administration may also seek to expand the scope of regulation on foreign investment through executive orders.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Business Combination resulted in investments in various U.S. entities by non-U.S. persons that could be considered by CFIUS to result in a covered control transaction that CFIUS would have authority to review. IlWaddi Cayman Holdings is organized in the Cayman Islands and has its principal place of business in Qatar,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and its sole ultimate beneficial owner is a Qatar national, and holds 11.9% of our issued and outstanding Common Stock. Several of our directors and executive officers, including each of such persons who is currently a partner and/or officer of AlTi, are also citizens and/or residents of countries other than the United States. While we do not believe that any of the foregoing foreign persons or entities, nor any other foreign person or entity, “controls” us or any of our subsidiaries, CFIUS or another U.S. governmental agency could choose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46"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review any of our past or proposed transactions, including the Business Combination, involving new or existing foreign investors, even if a filing with CFIUS is or was not required at the time of such transaction.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There can be no assurances that CFIUS or another U.S. governmental agency will not choose to review the Business Combination or any of our past or proposed transactions. There are no time bars or statute of limitations for CFIUS to exert jurisdiction over a transaction. Any review and approval of an investment or transaction by CFIUS may have outsized impacts on transaction certainty, timing, feasibility, and cost, among other things. CFIUS policies and agency practices are rapidly evolving, and, in the event that CFIUS reviews the Business Combination or one or more proposed or existing investments by investors, there can be no assurances that such investors will be able to maintain, or proceed with, such investments on terms acceptable to the parties to the Business Combination or to such investors. Among other things, CFIUS could seek to impose limitations or restrictions on, or prohibit, investments by such investors (including, but not limited to, limits on purchasing our Common Stock, limits on information sharing with such investors, requiring a voting trust, governance modifications, or forced divestiture, among other things), or CFIUS could require us to divest a portion of the Target Companies.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Changes in tax law or policy could increase our effective tax rate and tax liability or the taxes payable by investors in our funds or holders of shares of our Common Stock, each of which could have a material adverse effect on our business, financial condition and results of operations.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rules addressing U.S. federal, state and local and non-U.S. income taxation are constantly under review including by persons involved in the legislative process and by the IRS and the U.S. Treasury Department. Changes to tax laws (which changes may have retroactive application) could adversely affect us or holders of our Common Stock. In recent years, many changes have been made and changes are likely to continue to occur in the future.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our effective tax rate and tax liability are based on the application of current income tax laws, regulations and treaties. These laws, regulations and treaties are complex, and the manner which they apply to us and our funds and diverse set of business arrangements is often open to interpretation. Significant management judgment is required in determining our provision for income taxes, our deferred tax assets and liabilities and any valuation allowance recorded against our net deferred tax assets. The tax authorities could challenge our interpretation of laws, regulations and treaties, resulting in additional tax liability or adjustment to our income tax provision that could increase our effective tax rate. Changes to tax laws may also adversely affect our ability to attract and retain key personnel.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may be subject to the excise tax included in the Inflation Reduction Act of 2022 in connection with redemptions of our Class A Common Stock.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August 16, 2022, President Biden signed into law the Inflation Reduction Act, which, among other things, imposes a 1% excise tax on any domestic corporation the stock of which is traded on an established securities market (a “covered corporation”) that repurchases its stock after December 31, 2022 (the “Excise Tax”). The Excise Tax is imposed on the fair market value of the repurchased stock, subject to certain exceptions and adjustments. Because we are a Delaware corporation and our securities trade on Nasdaq, we are a “covered corporation” within the meaning of the Inflation Reduction Act and the Excise Tax may apply to any future redemptions of our stock.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Federal, state and foreign anti-corruption, export control and sanctions laws create the potential for significant liabilities and penalties and reputational harm.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are also subject to a number of laws and regulations governing payments and contributions to political persons or other third parties, including restrictions imposed by the U.S. Foreign Corrupt Practices Act of 1977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47"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(“FCPA”), as well as trade sanctions and export control laws administered by the Office of Foreign Assets Control of the U.S. Department of the Treasury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and economic and trade sanctions laws and regulations based on U.S. foreign policy and national security goals against targeted foreign states, regions, organizations, entities and individuals. These laws and regulations relate to a number of aspects of our business, including with respect to servicing existing investors, finding new investors, and sourcing new investments, as well as activities by the portfolio companies in our investment portfolio or other controlled investments.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materially and adversely affect our business, results of operations and financial condition. In addition, we may be subject to successor liability for FCPA violations or other acts of bribery, or violations of applicable sanctions or other export control laws, committed by companies in which we or our clients invest or which we or our clients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financial condition and results of operations.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Failure to comply with “pay to play” regulations implemented by the SEC and certain states, and changes to the “pay to play” regulatory regimes, could adversely affect our business.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Certain states and other regulatory authorities require investment managers to register as lobbyists. We are registered as a lobbyist in California. These registration requirements impose significant compliance obligations on registered lobbyists and their employers, which may include annual registration fees, periodic disclosure reports and internal record keeping, and may also prohibit the payment of contingent fees.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Under applicable SEC rules, investment advisers are required to implement compliance policies designed, among other matters, to track contributions by certain of the adviser’s employees and engagements of third parties that solicit government entities and to keep certain records to enable the SEC to determine compliance with the rule. The SEC also has adopted rules that, among other things, prohibit an investment adviser from providing advisory services for compensation with respect to a government plan investor for two years after the adviser or certain of its executives or employees make a contribution to certain elected officials or candidates.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These rules could impose significant economic sanctions on our business if we or one of the other persons covered by the rules make any prohibited contribution or payment, whether or not material or with an intent to secure an investment from certain government entities, including a public pension plan. We may also acquire other investment managers or hire additional personnel who are not subject to the same restrictions as us, but whose activity, and the activity of their principals, prior to our ownership or employment of such person, could affect our product raising. Any failure on our part to comply with these rules could cause us to lose compensation for our advisory services or expose us to significant penalties and reputational damage.</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Failure to comply with regulations regarding the prevention of money laundering or terrorism or national security could adversely affect our business.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part of our responsibility for the prevention of money laundering under applicable laws, we may require detailed verification of a prospective investor’s identity and the source of such prospective investor’s funds.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48"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event of delay or failure by a prospective investor to produce any such information required for verification purposes, we may refuse to admit the investor to our investment products and services. We may from time-to-time request (outside of the subscription process), and our investment products and services’ investors will be obligated to provide to us as appropriate upon such request, additional information as from time to time may be required for us to satisfy our obligations under these and other laws that may be adopted in the future. Additionally, we may from time to time be obligated to file reports with regulatory authorities in various jurisdictions with regard to, among other things, the identity of our investment products and services’ investors and suspicious activities involving the interests of our investment products and services. In the event it is determined that any investor, or any direct or indirect owner of any investor, is a person identified in any of these laws as a prohibited person, or is otherwise engaged in activities of the type prohibited under these laws, we may be obligated, among other actions to be taken, to withhold distributions of any funds otherwise owing to such investor or to cause such investor’s interests to be cancelled or otherwise redeemed (without the payment of any consideration in respect of those interests).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Bank Secrecy Act of 1970 and the USA PATRIOT Act require that financial institutions (a term that includes banks, broker-dealers and investment companies) establish and maintain compliance programs to guard against money laundering activities. Laws or regulations may presently or in the future require us, our investment products and services or any of our affiliates or other service providers to establish additional anti-money laundering procedures, to collect information with respect to our investment products and services’ investors, to share information with governmental authorities with respect to our investment products and services’ investors or to implement additional restrictions on the transfer of the interests. These requirements can lead to increased expenses and exposure to enforcement actions.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Financial regulations and changes thereto in the United States could adversely affect our business and the possibility of increased regulatory focus could result in additional burdens and expenses on our business.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Dodd-Frank Act has imposed significant changes on almost every aspect of the U.S. financial services industry, including aspects of our business. In June 2010, the SEC approved Rule 206(4)-5 under the Advisers Act regarding “pay to play” practices by investment advisers involving campaign contributions and other payments to government clients and elected officials able to exert influence on such clients. The rule prohibits investment advisers from providing advisory services for compensation to a government client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client. Any failure on our part to comply with the rule could expose us to significant penalties, loss of fees, and reputational damage. There have also been similar laws, rules and regulations and/or policies adopted by a number of states and municipal pension plans, which prohibit, restrict or require disclosure of payments to (and/or certain contracts with) state officials by individuals and entities seeking to do business with state entities, including investment by public retirement funds.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Initially proposed on May 16, 2016 and re-proposed on May 6, 2024, the SEC and other federal regulatory agencies proposed a rule that would apply requirements on incentive-based compensation arrangements of “covered financial institutions,” including certain registered investment advisers above a specific asset threshold. This rule, if adopted, could limit our ability to recruit and retain investment professionals and senior management executives. However, the proposed rule remains pending and may be subject to significant modifications. In addition, as directed under the Dodd-Frank Act, on October 26, 2022, the SEC adopted final rules under which companies listed on the NYSE and Nasdaq will be required to adopt “clawback” policies that mandate recovery by companies of certain incentive-based compensation awarded to current and former executives in the event of an accounting restatement. On June 9, 2023, the SEC approved, on an accelerated basis, the NYSE and Nasdaq proposed listing standards implementing the SEC’s Dodd-Frank rules covering the recovery of erroneously awarded compensation and the listing standards became effective on October 2, 2023.</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SEC’s amended rule for investment adviser marketing became effective in November 2022. The rule increases regulatory obligations and potential scrutiny and imposes more prescriptive requirements on investment advisers’ marketing activities, including but not limited to prohibitions on advertisements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49"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misleading or contain material statements that an investment adviser cannot substantiate as well as requirements for performance advertising and the use of placement agent arrangements. The rule impacts the marketing of certain of our funds and other investment advisory functions. Compliance with new rule entails compliance and operational costs.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In October 2023, the SEC adopted amendments to accelerate the filing deadlines for companies to make filings of beneficial ownership and to expand the scope of instances where such a filing is required, and rules to require certain asset managers to file with the SEC on a monthly basis certain data related to their short sales activity. The adopted rules require that we devote additional resources to fulfilling our beneficial ownership and short-sale reporting obligations and there may be additional regulatory attention focused on such activities.</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In May 2023, the SEC adopted amendments to Form PF (the “Form PF Amendments”) that greatly expand the type, amount, and frequency of information the SEC collects from private fund advisers registered with the SEC. The Form PF Amendments require (i) new “quarterly event” reporting for all private equity fund advisers within 60 days of the end of the fiscal quarter regarding certain trigger events (including adviser-led secondary transactions), (ii) expanded reporting for “large private equity fund advisers,” including reporting on any general partner clawback reporting on any limited partner clawback that is more than 10% of the fund’s capital commitments and additional information on events of default, and (iii) new “current” reporting for “large hedge fund advisers” upon a “trigger event,” including certain extraordinary investments losses that are 20% or more of a fund’s reporting fund aggregate calculated value over a rolling 10 business day period, significant margin and default events, certain operations events with respect to the fund’s critical operations, and events associated with withdrawals and / or redemptions of 50% or more of the fund’s NAV. The Form PF Amendments require the adviser to file additional Form PF reports requiring significant quantitative and qualitative analyses. Consequently, certain of our investment adviser entities will have to devote resources and attention to complying with this additional requirement. The Form PF Amendments will impose operational burdens on such subsidiaries as it will have to build or modify systems to gather the information required by the newly adopted reporting regime. This could result in increased compliance and monitoring costs and divert resources away from advancing a fund’s profitability.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In February 2023, the SEC proposed a significant transformation of the Custody Rule under the Advisers Act into a new Rule 223-1 (the “Safeguarding Rule”) applicable to SEC-registered investment advisers. The proposed Safeguarding Rule would, among other things. On June 12, 2025, the SEC formally withdrew the Safeguarding Rule proposal and indicated that it does not intend to finalize that proposal. However, the SEC has signaled its intention to pursue modernization of the existing Custody Rule (Rule 206(4)-2) through future rulemaking. While the scope and requirements of any future custody rule amendments remain uncertain, they could present significant compliance challenges for investment advisers and may require advisers to modify their custodial arrangements, operational procedures, and compliance programs.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In addition, an amended SEC rule and subsequent guidance has, from January 2025 and on, prohibited broker dealers from providing price quotations for certain private debt securities unless information about the issuer of these securities is current and publicly available. This rule impacts our ability to obtain quotations in affected securities for which there is no exemptive or no action relief and may affect our ability to trade such securities.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These adopted rules and proposed rules, if adopted, could significantly impact the regulatory landscape applicable to our operations, potentially resulting in increased compliance obligations and associated costs. Additionally, they could affect our business by making it more costly financially or burdensome for us to engage in certain business transactions. However, the outcome and timing of these proposed rules remain uncertain. The change in the U.S. Administration may influence the SEC’s regulatory priorities and the ultimate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50"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disposition of these proposals. At this time, it is unclear whether these proposed rules will be adopted in their current form, modified, or withdrawn altogether.</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It is difficult to determine the full extent of the impact on us of any new laws, regulations or initiatives that may be proposed or whether any of the proposals will become law. Any changes in the regulatory framework applicable to our business, including the changes described above, may impose additional costs on us, impact our ability to generate revenue, require the attention of our senior management or result in limitations on the manner in which we conduct our business. Moreover, we anticipate there may be an increase in regulatory investigations of the trading and other investment activities of private funds, including our investment funds. Compliance with any new laws or regulations (including recent heightened SEC scrutiny regarding adviser compliance with advisers’ own internal policies) could make compliance more difficult and expensive, affect the manner in which we conduct our business and adversely affect our profitability.</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may be subject to increasing scrutiny from our clients with respect to the societal and environmental impact of investments we make, which may adversely impact our ability to retain clients or to grow our client base and assets under management or AUA, and also may cause us to be more likely to invest client capital based on societal and environmental factors instead of investing client capital in the investment opportunities with the highest return potential for a particular level of risk.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recent years, certain investors, including U.S. public pension funds and certain non-U.S. investors, have placed increasing importance on the impacts of investments to which they invest or commit capital, including with respect to ESG matters. Investors for whom ESG matters are a priority may decide to redeem or withdraw previously committed capital from our funds and accounts (where such withdrawal is permitted) or to not invest or commit capital to future funds or accounts as a result of their assessment of our approach to and consideration of the social cost of our investments or their assessment of the potential impact of investments made by our competitors’ funds and other products. To the extent our access to capital from investors, including public pension funds, is impaired, we may not be able to maintain or increase the size of our funds, investment vehicles or accounts or raise sufficient capital for new funds, investment vehicles or accounts, which may adversely impact our revenues.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transition to sustainable finance accelerates existing risks and raises new risks for our business that may impact our profitability and success.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failure to comply with applicable legal and regulatory changes in relation to ESG matters may attract increased regulatory scrutiny of our business and could result in fines and/or other sanctions being levied against us.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European Commission has implemented various legislative reforms, which include, without limitation: (a) Regulation 2019/2088 regarding the introduction of transparency and disclosure obligations for investors, funds and asset managers in relation to ESG factors, for which most rules took effect beginning on March 10, 2021; (b) a regulation regarding the introduction of an EU-wide taxonomy of environmentally sustainable activities, which takes effect in a staggered approach following the first phase which came into effect as of January 1, 2022; and (c) amendments to existing regulations including MiFID II and AIFMD to embed ESG requirements. As a result of these legislative initiatives, we may be required to provide additional disclosure to investors in our funds with respect to ESG matters. This exposes us to increased disclosure risks, for example due to a lack of available or credible data, and the potential for conflicting disclosures may also expose us to an increased risk of misstatement litigation or misselling allegations. Failure to manage these risks could result in a material adverse effect on our business in a number of ways.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ERISA regulations require that an ERISA plan fiduciary base its investment decisions on factors that the fiduciary reasonably determines are relevant to a “risk and return analysis, using appropriate investment horizons consistent with the plan’s investment objectives and taking into account the funding policy of the plan established pursuant to section 402(b)(1) of ERISA.” The responsible fiduciary of each ERISA plan must determine whether to invest in our Class A Common Stock independently and without relying on any information provided by us as advice or a recommendation in connection with such determination.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51"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pPr>
      <w:r>
        <w:rPr>
          <w:rFonts w:ascii="Times New Roman;serif" w:hAnsi="Times New Roman;serif"/>
          <w:b/>
          <w:i/>
          <w:color w:val="000000"/>
          <w:sz w:val="22"/>
        </w:rPr>
        <w:t>We are exposed to data and cybersecurity risks that could result in data breaches, service interruptions, harm to our reputation, protracted and costly litigation or significant liability</w:t>
      </w:r>
      <w:r>
        <w:rPr>
          <w:rFonts w:ascii="Times New Roman;serif" w:hAnsi="Times New Roman;serif"/>
          <w:b w:val="false"/>
          <w:color w:val="000000"/>
          <w:sz w:val="22"/>
        </w:rPr>
        <w:t xml:space="preserv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products and services that we provide, we collect, use, store, transmit and otherwise process certain confidential, proprietary and sensitive information, including the personal information of end-users, third-party service providers and employees. We rely on the efficient, uninterrupted and secure operation of complex information technology systems and networks to operate our business and securely store, transmit and otherwise process such information. In the normal course of business, we also share information with our service providers and other third parties. We and the third parties we rely upon, like other organizations in our industry, have experienced and expect to continue to experience threats that could cause cybersecurity incidents or data breaches. Such threats are prevalent and continue to rise, are increasingly difficult to detect, and come from a variety of sources. A failure to safeguard the integrity, confidentiality, availability and authenticity of personal information, client data and our proprietary data from cyber-attacks, unauthorized access, fraudulent activity (e.g., check “kiting” or fraud, wire fraud or other dishonest acts), data breaches and other security incidents that we, our third-party service providers or our clients may experience may lead to modification, destruction, loss of availability or theft of critical and sensitive data pertaining to us, our clients or other third parties.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management and Board actively manage and oversee cybersecurity risks. Our cybersecurity program is designed to protect systems and data, containing preventive and detective controls, and our Board, audit committee and management team are regularly briefed on our cybersecurity policies and practices and ongoing efforts to improve security, as well as periodic updates on cybersecurity events. All such protective measures, as well as additional measures that may be required to comply with rapidly evolving data privacy and security standards and protocols imposed by law, regulation, industry standards or contractual obligations, have and will continue to cause us to incur substantial expenses. Failure to timely upgrade or maintain computer systems, software and networks as necessary could also make us or our third-party service providers susceptible to breaches and unauthorized access and misuse. We may be required to expend significant additional resources to modify, investigate or remediate vulnerabilities or other exposures arising from data and cybersecurity risks.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Improper access to our or our third-party service providers’ systems or databases could result in the theft, publication, deletion or modification of confidential, proprietary or sensitive information, including personal information. An actual or perceived breach of our security systems or those of our third-party service providers may require notification under applicable data privacy regulations or contractual obligations. The accidental or unauthorized access to or disclosure, loss, destruction, disablement, corruption or encryption of, use or misuse of or modification of our, our clients’ or other third parties’ confidential, proprietary or sensitive information, including personal information, by us or our third-party service providers could result in significant fines, penalties, orders, sanctions and proceedings or actions against us by governmental bodies and other regulatory authorities, customers or third parties, which could materially and adversely affect our business, financial condition and results of operations. Any such proceeding or action, and any related indemnification obligations, could damage our reputation, force us to incur significant expenses in defense of such proceeding or action, distract our management, increase our costs of doing business or result in the imposition of financial liability.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Despite our efforts to ensure the integrity, confidentiality, availability, and authenticity of our proprietary systems and information, it is possible that we may not be able to anticipate or to implement effective preventive measures against all cyber threats. No security solution, strategy, or measures can address all possible security threats or block all methods of penetrating a network or otherwise perpetrating a security incident. The risk of unauthorized circumvention of our security measures or those of our third-party providers, clients and partners has been heightened by advances in computer and software capabilities and the increasing sophistication of hackers, including those operating on behalf of nation-state actors, who employ complex techniques involving the theft or misuse of personal and financial information, counterfeiting, “phishing” or social engineering incidents, business email compromise, account takeover attacks, denial or degradation of service attacks, malware, fraudulent payment and identity theft. Because the techniques used by hackers change frequently and are increasingly complex and sophisticated, and new technologies may not be identified until they are launched against a target, we and our third-party service providers may be unable to anticipate these techniques or detect an incident, assess its severity or impact, react or appropriately respond in a timely manner or implement adequate preventative measures. Bad actors around the world use increasingly sophisticated methods, including the use of artificial intelligence, to engage in illegal activities involving the theft and misuse of personal information, confidential information and intellectual property. In addition, the use of artificial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52"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intelligence (“AI”) based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 Our systems may also be subject to compromise from internal threats, such as theft, misuse, unauthorized access or other improper actions by employees, service providers and other third parties with otherwise legitimate access to our systems or databases. The latency of a compromise is often measured in months, but could be years, and we may not be able to detect a compromise in a timely manner. </w:t>
      </w:r>
    </w:p>
    <w:p>
      <w:pPr>
        <w:pStyle w:val="TextBody"/>
        <w:bidi w:val="0"/>
        <w:spacing w:lineRule="auto" w:line="268" w:before="180" w:after="283"/>
        <w:jc w:val="both"/>
        <w:rPr/>
      </w:pPr>
      <w:r>
        <w:rPr>
          <w:rFonts w:ascii="Times New Roman;serif" w:hAnsi="Times New Roman;serif"/>
          <w:b w:val="false"/>
          <w:color w:val="000000"/>
          <w:sz w:val="22"/>
        </w:rPr>
        <w:t xml:space="preserve">Due to applicable laws and regulations or contractual obligations, we may also be held responsible for any failure or cybersecurity breaches attributed to our third-party service providers as they relate to the information that we share with them. Although we generally have agreements relating to data privacy and security in place with our third-party service providers, they are limited in nature and we cannot guarantee that such agreements will prevent the accidental or unauthorized access to or disclosure, loss, destruction, disablement, corruption or encryption of, use or misuse of or modification of confidential, proprietary or sensitive information, including personal information, or enable us to obtain reimbursement from third-party service providers in the event we should suffer incidents resulting in accidental or unauthorized access to or disclosure, loss, destruction, disablement or encryption of, use or misuse of or modification of confidential, proprietary or sensitive information, including personal information. In addition, because we do not control our third-party service providers and our ability to monitor their data security is limited, we cannot ensure the security measures they take will be sufficient to protect confidential, proprietary or sensitive information (including personal information). Our contracts may not contain limitations of liability, and even where they do, there can be no assurance that limitations of liability in our contracts are sufficient to protect us from liabilities, damages, or claims related to our privacy and data security obligations. </w:t>
      </w:r>
      <w:r>
        <w:rPr>
          <w:rFonts w:ascii="Times New Roman;serif" w:hAnsi="Times New Roman;serif"/>
          <w:b w:val="false"/>
          <w:color w:val="000000"/>
          <w:sz w:val="24"/>
        </w:rPr>
        <w:t>Further, although we maintain cyber liability insurance, this insurance may not provide adequate coverage against potential liabilities related to any experienced cybersecurity incident or data breach.</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Regardless of whether a security incident or act of fraud involving our services is attributable to us or our third-party service providers, such an incident could, among other things, result in improper disclosure of information, harm our reputation and brand, reduce the demand for our products and services, lead to loss of client business or confidence in the effectiveness of our security measures, disrupt normal business operations or result in our systems or products and services being unavailable. In addition, such incidents may require us to spend material resources to investigate or correct the incident and to prevent future security incidents, expose us to uninsured liability, increase our risk of regulatory scrutiny, expose us to protracted and costly litigation, trigger indemnity obligations, result in damages for contract breach, divert the attention of management from the operation of our business and otherwise cause us to incur significant costs or liabilities, any of which could affect our financial condition, results of operations and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Class A Common Stock. In addition, our remediation efforts may not be successful. Further, any adverse findings in security audits or examinations could result in reputational damage to us, which could reduce the use and acceptance of our services, cause our customers to cease doing business with us or have a significant adverse impact on our revenue and future growth prospects. Furthermore, even if not directed at us specifically, attacks on other financial institutions could disrupt the overall functioning of the financial system or lead to additional regulation and oversight by federal and state agencies, which could impose new and costly compliance obligations.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If we are not able to satisfy data protection, security, privacy and other government- and industry-specific requirements or regulations, our results of operations, financial condition or business could be harmed.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are subject to various risks and costs associated with the collection, processing, storage and transmission of personal data and other sensitive and confidential information. Personal data is information that can be used to identify a natural person, including names, photos, email addresses, or computer IP addresses. This data is wide ranging and relates to our clients, employees, counterparties and other third parties. Our compliance obligations include those relating to federal laws and regulations, such as Section 5 of the Federal Trade Commission (“FTC”) Act and the Gramm-Leach-Bliley Act (“GLBA”) and its implementing regulations, as well as state laws, such as the California Consumer Privacy Act (“CCPA”), and similar privacy and data security laws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53"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pPr>
      <w:r>
        <w:rPr>
          <w:rFonts w:ascii="Times New Roman;serif" w:hAnsi="Times New Roman;serif"/>
          <w:b w:val="false"/>
          <w:color w:val="000000"/>
          <w:sz w:val="22"/>
        </w:rPr>
        <w:t>been enacted or proposed in numerous other states. These laws provides for enhanced notice and privacy rights, a private right of action for data breaches, and statutory fines and damages for data breaches or other CCPA violations, as well as requirements of “reasonable” cybersecurity, among other requirements. We are also required to comply with foreign data collection and privacy laws in various non-U.S. jurisdictions in which we have offices or conduct business, such as the European Economic Area (“EEA”) and the United Kingdom (“UK”). The collection, use, disclosure, transfer, or other processing of personal data regarding individuals in the European Economic Area or EEA and the UK is subject to the EU General Data Protection Regulation, or EU GDPR, with respect to the EEA, and the UK General Data Protection Regulation, or UK GDPR, with respect to the UK, and collectively with the EU GDPR referred to as the “GDPR” in this report unless specified otherwise.</w:t>
      </w:r>
      <w:r>
        <w:rPr>
          <w:color w:val="000000"/>
        </w:rPr>
        <w:t xml:space="preserve"> </w:t>
      </w:r>
      <w:r>
        <w:rPr>
          <w:rFonts w:ascii="Times New Roman;serif" w:hAnsi="Times New Roman;serif"/>
          <w:b w:val="false"/>
          <w:color w:val="000000"/>
          <w:sz w:val="22"/>
        </w:rPr>
        <w:t xml:space="preserve">The GDPR applies to all organizations processing or holding personal data of EEA and/or UK data subjects (regardless of the organization’s location) as well as to organizations outside these jurisdictions that offer goods or services in the EEA and UK, or that monitor the behavior of EEA and/or UK data subjects. Compliance with the GDPR requires us to analyze and evaluate how we handle data in the ordinary course of business, from processes to technology. The GDPR imposes extensive obligations on organizations that process personal data, including requirements relating to lawful bases for processing, transparency, consent where required, security safeguards, data processing agreements, data subject rights, breach notification, record-keeping, data protection impact assessments and, in some cases, appointment of a data protection officer. It also restricts transfers of personal data outside the EEA and UK (including to the US). Breaches can result in significant penalties (up to €20 million / £17.5 million or 4% of global annual turnover, whichever is higher), and data subjects have rights to lodge complaints and seek compensation. There are currently a number of proposals pending before federal, state, and foreign legislative and regulatory bodies.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Many statutory requirements include obligations for companies to notify individuals of security breaches involving certain personal information, which could result from breaches experienced by us or our third-party service providers. For example, laws in all 50 U.S.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In addition, we may be contractually required to notify clients, end-investors or other counterparties of a security breach. Although we may have contractual protections with our third-party service providers, any security breach, or actual or perceived non-compliance with privacy or security laws, regulations, standards, policies or contractual obligations, could harm our reputation and brand, expose us to potential liability and require us to expend significant resources on data security and in responding to any such incident or actual or perceived non-compliance. Any contractual protections we may have from our third-party service providers may not be sufficient to adequately protect us from any such liabilities and losses, and we may be unable to enforce any such contractual protections.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make public statements about our use and disclosure of personal information through our privacy policy, information provided on our website and press statements. Although we endeavor to comply with our public statements and documentation, we may at times fail to do so or be alleged to have failed to do so. The publication of our privacy policy and other statements that provide promises and assurances about data privacy and security can subject us to potential government or legal action if they are found to be deceptive, unfair or misrepresentative of our actual practices. In addition, from time to time, concerns may be expressed about whether our products and services compromise the privacy of clients and others. Even the perception, whether or not valid, of privacy concerns or any failure by us to comply with our posted privacy policies or with any legal or regulatory requirements, standards, certifications or orders or other privacy or consumer protection-related laws and regulations applicable to us may harm our reputation, inhibit adoption of our products by current and future customers or adversely impact our ability to attract and retain workforce talent.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Given the complexity of operationalizing data privacy and security laws and regulations to which we are subject, the maturity level of proposed compliance frameworks and the relative lack of guidance in the interpretation of the numerous requirements of the data privacy and security laws and regulations to which we are subject, we may not be able to respond quickly or effectively to regulatory, legislative and other developments, and these changes may in turn impair our ability to offer our existing or planned products and services or increase our cost of doing business. Although we work to comply with applicable laws and regulations, industry standards, contractual obligations and other legal obligations, such laws, regulations, standards and obligations are evolving and may be modified, interpreted and applied in an inconsistent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54"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from one jurisdiction to another, and may conflict with one another. In addition, they may conflict with other requirements or legal obligations that apply to our business or the features and services that our adviser clients and their investor clients expect from our products and services. As such, we cannot assure ongoing compliance with all such laws, regulations, standards and obligations. Any failure, or perceived failure, by us to adequately address privacy and security concerns, even if unfounded, or to comply with applicable laws, regulations and standards, or with employee, client and other data privacy and data security requirements pursuant to contract and our stated privacy notice(s), could result in investigations or proceedings against us by data protection authorities, governmental entities or others, including class action privacy litigation in certain jurisdictions, which could subject us to fines, civil or criminal liability, public censure, claims for damages by customers and other affected individuals, damage to our reputation and loss of goodwill (in relation to both existing and prospective clients), or we could be required to fundamentally change our business activities and practices, which may not be possible in a commercially reasonable manner, or at all. Any or all of these consequences could have a material adverse effect on our operations, financial performance and business.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2"/>
        </w:rPr>
        <w:t xml:space="preserve">The use of new and evolving technologies, such as </w:t>
      </w:r>
      <w:r>
        <w:rPr>
          <w:rFonts w:ascii="Times New Roman;serif" w:hAnsi="Times New Roman;serif"/>
          <w:b/>
          <w:i/>
          <w:color w:val="000000"/>
          <w:sz w:val="24"/>
        </w:rPr>
        <w:t>artificial intelligence (AI)</w:t>
      </w:r>
      <w:r>
        <w:rPr>
          <w:rFonts w:ascii="Times New Roman;serif" w:hAnsi="Times New Roman;serif"/>
          <w:b/>
          <w:i/>
          <w:color w:val="000000"/>
          <w:sz w:val="22"/>
        </w:rPr>
        <w:t xml:space="preserve">,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may use and integrate artificial intelligence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 AI technologies may also introduce novel and evolving attack vectors, including prompt</w:t>
        <w:noBreakHyphen/>
        <w:t>injection vulnerabilities, model</w:t>
        <w:noBreakHyphen/>
        <w:t>extraction attacks, indirect or hidden prompt manipulation, training</w:t>
        <w:noBreakHyphen/>
        <w:t>data contamination, and the generation of hyper</w:t>
        <w:noBreakHyphen/>
        <w:t>realistic synthetic content (including “deepfakes”), enabling sophisticated fraud or identity spoofing. These emerging risks may compromise the integrity, confidentiality, availability, or reliability of our systems and may increase exposure to operational disruption, financial loss, and reputational harm. Additionally,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began implementing the Artificial Intelligence Act (the “AI Act”) on August 1, 2024. The AI Act will apply on a phased basis between 2025 and 2027, with most high</w:t>
        <w:noBreakHyphen/>
        <w:t>risk system obligations becoming enforceable beginning August 2026, and additional obligations potentially extending into 2027–2028, depending on harmonized standards under the EU’s Digital Omnibus initiative. In the U.S., states have advanced, and in some cases passed, dozens of laws focusing on AI governance and regulation. State legislation is rapidly evolving, with more than 1,200 AI</w:t>
        <w:noBreakHyphen/>
        <w:t>related bills introduced in 2025 and significant new laws taking effect in 2026, creating a fragmented and frequently shifting compliance landscape. Federal deregulation efforts have triggered preemption conflicts and legal challenges to state AI laws, creating additional regulatory uncertainty. Regulators, including the SEC, increasingly expect tailored, non</w:t>
        <w:noBreakHyphen/>
        <w:t>generic AI risk disclosures, clear definitions of AI use cases, and transparency regarding board oversight and material operational impacts. Companies are also cautioned against ‘AI washing’ – that is, overstating AI capabilities in ways that may mislead investors.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55"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Confidentiality agreements with employees, consultants, and others may not adequately prevent disclosure of trade secrets and other proprietary information.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devoted substantial resources to the development of our proprietary technologies, investment solutions and services. To protect our proprietary rights, we enter into confidentiality, nondisclosure, non-interference and invention assignment agreements with our employees, consultants and independent contractors. However, we cannot guarantee that we have entered into such agreements with each party that has or may have had access to our trade secrets and proprietary know-how. Further, these agreements may not effectively prevent unauthorized disclosure of confidential information or unauthorized parties from copying aspects of our technologies, investment solutions or products or obtaining and using information that we regard as proprietary. Moreover, these agreements may not provide an adequate remedy in the event of such unauthorized disclosures of confidential information and we cannot assure you that our rights under such agreements will be enforceable.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reduce any competitive advantage we have developed and cause us to lose customers or otherwise harm our business.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We may face damage to our professional reputation and legal liability if our services are not regarded as satisfactory or for other reasons.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recent years, the volume of claims and amount of damages claimed in litigation and regulatory proceedings against financial advisors and investment managers has been increasing. Our asset management and advisory activities may expose us to the risk of significant legal liabilities to our clients and third parties, including our clients’ stockholders or beneficiaries, under securities or other laws and regulations for, for example, materially false or misleading statements made in connection with securities and other transactions. We make investment decisions on behalf of our clients that could result in substantial losses. Since November 2022, Home REIT and AHRA, which served as its investment advisor until June 30, 2023, have been the subject of allegations regarding Home REIT’s operations, stemming from a report issued by a short seller and Home REIT has seen its financial performance materially decline. AlTi was formed on January 3, 2023 through a business combination transaction that included certain legacy Alvarium companies. Although AHRA was sold prior to the business combination and has never been a subsidiary of AlTi, we were required under GAAP to consolidate its results in our financial statements until June 30, 2023, when it was deconsolidated. HLIF pursues a similar investment strategy to Home REIT and its financial performance has similarly declined significantly since the end of 2021. The historic management of these funds by certain legacy Alvarium companies is now the subject of separate investigations by the UK FCA and, with respect to certain individuals previously affiliated with Home REIT, the UK SFO and, in the case of Home REIT, potential claims are being asserted by its current and former shareholders and, separately, by Home REIT and its directors against certain group entities (AFM UK and ARE). We no longer provide services to Home REIT. Notwithstanding this, we or our subsidiaries may potentially suffer reputational damage from the allegations concerning the historic management of Home REIT or HLIF. Further, we may be subject to the risk of legal and regulatory liabilities or actions alleging breach of regulatory rules and/or principles, negligence, misconduct (including deceit), breach of fiduciary duty or breach of contract. In particular, although the UK FCA’s investigations concerning the historic management of Home REIT and HLIF only commenced in February 2024 and the UK SFO’s investigation of certain individuals previously affiliated with Home REIT became known to us in January 2026, and their outcomes cannot be known or anticipated as at the date of this Annual Report, any financial penalties or other adverse outcomes resulting from these investigations may adversely affect our business, financial condition or results of operations. Similarly, if any litigation or other action is commenced against AFM UK and/or ARE in connection with Home REIT, whilst it is not possible at this point in time for us to reliably assess the quantum of such claims, or AFM UK’s and ARE’s potential exposure, such claims may potentially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56"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material to the Company and, although our intent is for any such claims to be defended, an adverse outcome could have an adverse affect on the business, financial condition or results of operations. These risks often may be difficult to assess or quantify and their existence and magnitude often remain unknown for substantial periods of time. Significant legal expenses may be incurred in defending litigation and responding to regulatory investigations. In addition, negative publicity and press speculation about us, our investment activities or the private markets in general, whether or not based in truth, or litigation or regulatory action against us or any third-party managers recommended by us or involving us may tarnish our reputation and harm our ability to attract and retain clients. Substantial legal or regulatory liability could have a material adverse effect on our business, financial condition and results of operations or cause significant reputational harm to us, which could seriously harm our business.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inability to obtain adequate insurance could subject us to additional risk of loss or additional expenses.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may not be able to obtain or maintain sufficient insurance on commercially reasonable terms or with adequate coverage levels against potential liabilities we may face, which could have a material adverse effect on our business. We may face a risk of loss from a variety of claims, including those related to contracts, fraud, compliance with laws and various other issues, whether or not such claims are valid. Insurance and other safeguards might only partially reimburse us for our losses, if at all, and if a claim is successful and exceeds or is not covered by our insurance policies, we may be required to pay a substantial amount in respect of such successful claim. Certain losses of a catastrophic nature, such as public health crises, wars, earthquakes, typhoons, terrorist attacks or other similar events, may be uninsurable or may only be insurable at rates that are so high that maintaining coverage would cause an adverse impact on our business, in which case we may choose not to maintain such coverage.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controls and procedures may fail or be circumvented, our risk management policies and procedures may be inadequate and operational risks could adversely affect our reputation and financial condition.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Some of our risk evaluation methods depend upon information provided by others and public information regarding markets, clients or other matters that are otherwise accessible by us. If our policies and procedures are not fully effective or we are not successful in capturing all risks to which we are or may be exposed, we may suffer harm to our reputation or be subject to litigation or regulatory actions that could have a material adverse effect on our business, results of operations or financial condition.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If Umbrella were treated as a corporation for U.S. federal, state or local tax purposes, then the amount available for distribution by it could be substantially reduced and our financial condition and results of operations could be adversely affected.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 entity that would otherwise be classified as a partnership for U.S. federal income tax purposes (such as Umbrella) may nonetheless be treated as, and taxable as, a corporation if it is a “publicly traded partnership” unless an exception to such treatment applies. An entity that would otherwise be classified as a partnership for U.S. federal income tax purposes will be treated as a “publicly traded partnership” if interests in such entity are traded on an established securities market or interests in such entity are readily tradable on a secondary market or the substantial equivalent thereof. If Umbrella were determined to be treated as a “publicly traded partnership” that is taxable as a corporation for U.S. federal income tax purposes, it would be taxable on its income at the U.S. federal income tax rate applicable to corporations and distributions by it to its members (including the Company) could be taxable as dividends to such members to the extent of the earnings and profits of Umbrella. In addition, we would no longer have the benefit of increases in the tax basis of Umbrella’s assets as a result of exchanges of Umbrella common units. Pursuant to the Umbrella LLC Agreement, certain holders of Umbrella common units may, from time to time, subject to the terms of the Umbrella LLC Agreement, have their Umbrella common units redeemed by Umbrella for cash or Class A Common Stock. Such redemptions could be treated as trading in the interests of the Umbrella for purposes of testing “publicly traded partnership” status. While the Umbrella LLC Agreement contains restrictions on such redemptions that are intended to prevent Umbrella from being treated as a “publicly traded partnership” for U.S. federal income tax purposes by complying with certain safe harbors provided for under applicable U.S. federal income tax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57"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such position is not free from doubt and, if such provisions are not effective, Umbrella may be treated as a “publicly traded partnership” taxable as a corporation for U.S. federal income tax purposes.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In certain cases, payments under the Tax Receivable Agreement may be accelerated or exceed the actual tax benefits realized by the Company.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Payments under the Tax Receivable Agreement will be based on the tax reporting positions that we determine, and the IRS or another taxing authority may challenge all or any part of the tax basis increases, as well as other tax positions that we take, and a court may sustain such a challenge. In the event that any tax benefits we initially claim are disallowed, the recipients of the payments under the Tax Receivable Agreement will not be required to reimburse us for any excess payments that may previously have been made under the Tax Receivable Agreement, for example, due to adjustments resulting from examinations by taxing authorities. As a result, in certain circumstances we could make payments under the Tax Receivable Agreement in excess of our actual income or franchise tax savings, which could materially impair our financial condition.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Moreover, the Tax Receivable Agreement provides that, in certain events, including a change of control or our exercise of early termination rights, our obligations under the Tax Receivable Agreement will accelerate and we will be required to make a lump-sum cash payment to the parties to the Tax Receivable Agreement equal to the present value of all forecasted future payments that would have otherwise been made under the Tax Receivable Agreement, which lump-sum payment would be based on certain assumptions, including those relating to our future taxable income. The lump-sum payment could be substantial and could exceed the actual tax benefits that we realize subsequent to such payment because such payment would be calculated assuming, among other things, that we would have certain tax benefits available to it and that we would be able to use the potential tax benefits in future years.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There may be a material negative effect on our liquidity if the payments we are required to make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Umbrella may directly or indirectly make distributions of cash to us substantially in excess of the amounts we use to make distributions to our stockholders and pay our expenses (including our taxes and payments under the Tax Receivable Agreement). To the extent we do not distribute such excess cash to our stockholders, the direct or indirect holders of Umbrella common units would benefit from any value attributable to such cash as a result of their ownership of our stock upon a Unit Exchange.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will directly or indirectly receive a pro rata portion of any distributions made by Umbrella. Any cash received from such distributions will first be used to satisfy any tax liability and then to make any payments required to be made under the Tax Receivable Agreement. Subject to having available cash and subject to limitations imposed by applicable law and contractual restrictions, the Umbrella LLC Agreement requires Umbrella to make certain distributions to holders of Umbrella common units (including the Company) pro rata to facilitate the payment of taxes with respect to the income of Umbrella that is allocated to them. To the extent that the tax distributions we directly or indirectly receive exceed the amounts we actually require to pay taxes, Tax Receivable Agreement payments and other expenses (which is likely to be the case given that the assumed tax rate for such distributions will generally exceed our effective tax rate), we will not be required to distribute such excess cash. Our Board may, in its sole discretion, choose to use such excess cash for certain purposes, including to make distributions to the holders of our stock. Unless and until our Board chooses, in its sole discretion, to declare a distribution, we will have no obligation to distribute such cash (or other available cash other than any declared dividend) to our stockholders.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Certain holders of Umbrella common units (i) were deemed to have sold a portion of their Umbrella common units at the time of the Business Combination, and (ii) may in the future redeem their Umbrella common units for shares of the Company or cash pursuant to the Umbrella LLC Agreement, subject to certain conditions and transfer restrictions as set forth therein (each such redemption, a “Unit Exchange”). No adjustments to the exchange ratio of Umbrella common units for our shares pursuant to a Unit Exchange will be made as a result of either (i) any cash distribution by us or (ii) any cash that we retain and do not distribute to our stockholders. To the extent we do not distribute such cash as dividends and instead, for example, hold such cash balances or use such cash for certain other purposes, this may result in shares of our stock increasing in value relative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58"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Umbrella common units. The holders of Umbrella common units may benefit from any value attributable to such cash balances if they acquire shares of our stock in an exchange of Umbrella common units. </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Personnel</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rely on our management team to grow our business, and the loss of key management members, or an inability to hire key personnel, could harm our business.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While the success of our business is not tied to any particular person or group of “key persons,” the success of our business does depend on the efforts, judgment and reputations of our personnel generally, and in particular our experienced and senior personnel in investment, operational and executive functions. Our personnel’s reputation, expertise in investing and risk management and relationships with our clients and third parties on which our funds depend for investment opportunities are each critical elements in operating and expanding our business. However, we may not be successful in our efforts to retain our most valued employees, as the market for alternative asset management professionals is extremely competitive. The loss of one or more members of our senior team could harm our business and jeopardize our relationships with our clients and members of the investing community. Accordingly, the retention of our personnel is crucial to our success. Certain of our executives are subject to long-term employment contracts that contain various incentives and restrictive covenants designed to retain these employees for the long-term success of our business, but none of them are obligated to remain actively involved with us. In addition, if any of our personnel were to join or form a competitor, following any required restrictive period set forth in their employment agreements, some of our investors could choose to invest with that competitor rather than with us. The loss of the services of one or more members of our senior team could have a material adverse effect on our business, financial condition and results of operations, including our performance, our ability to retain and attract funds and highly qualified employees and our ability to raise new funds. Any change to our senior management team could have a material adverse effect on our business, financial condition and results of operations.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do not carry any “key person” insurance that would provide us with proceeds in the event of the death or disability of any of our personnel. In addition, certain of our funds have key person provisions that are triggered upon the loss of services of one or more specified employees and could, upon the occurrence of such event, provide the investors in these funds with certain rights such as rights providing for the termination or suspension of the funds’ investment periods and/or wind-down of the funds. Accordingly, the loss of such personnel could result in significant disruption of certain funds’ investment activities, which could have a material adverse impact on our business, financial condition and results of operations, and could harm our ability to maintain or grow our assets under management in existing funds or raise additional funds in the future. Similarly, to the extent there is a perception in the market that one or more of our employees is critical to the success of a particular investment strategy, the loss of one or more such employees could lead investors to redeem from our funds or choose not to make further investments in existing or future funds that we manage, which would correspondingly reduce our management fees and potential to earn incentive fees.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Employee misconduct could harm us by impairing our ability to attract and retain fund investors and subjecting us to significant legal liability, regulatory scrutiny and reputational harm.</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ability to attract and retain fund investors and to pursue investment opportunities for our clients depends heavily upon the reputation of our professionals, especially our senior professionals as well as third-party service providers. We are subject to a number of obligations and standards arising from our investment management business and our authority and statutory fiduciary status over the assets managed by our investment management business. Further, our employees are subject to various internal policies including a Code of Ethics and policies covering conflicts of interest, information systems, business continuity and information security. The violation of those obligations, standards and policies by any of our employees or misconduct by one of our third-party service providers could adversely affect investors in our investment products and services and us. Our business often requires that we deal with confidential matters of great significance to companies in which our investment products and services may invest. If our employees, former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59"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employees or third-party service providers were to use or disclose confidential information improperly, we could suffer serious harm to our reputation, financial position and current and future business relationships. Employee or third-party service provider misconduct could also include, among other things, binding us to transactions that exceed authorized limits or present unacceptable risks and other unauthorized activities or concealing unsuccessful investments (which, in either case, may result in unknown and unmanaged risks or losses), or otherwise charging (or seeking to charge) inappropriate expenses or inappropriate or unlawful behavior or actions directed towards other employees.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It is not always possible to detect or deter misconduct by employees or third-party service providers, and the extensive precautions we take to detect and prevent this activity may not be effective in all cases. If one or more of our employees, former employees or third-party service providers were to engage in misconduct or were to be accused of such misconduct, our business and our reputation could be adversely affected and a loss of fund investor confidence could result, which would adversely impact our ability to raise future funds. Our current and former employees and those of our investment products and services’ investments as well as our third-party service providers may also become subject to allegations of sexual harassment, racial and gender discrimination or other similar misconduct, which, regardless of the ultimate outcome, may result in adverse publicity that could harm our and such portfolio company’s brand and reputation.</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Our future growth depends on our ability to attract, retain and develop human capital in a highly competitive talent market.</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success of our business will continue to depend upon us attracting, developing and retaining human capital. Competition for qualified, motivated, and highly 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future growth and maintain our standards of excellence. Our future success will depend upon our ability to find, attract, retain and motivate highly skilled and highly qualified individuals. We seek to provide our personnel with competitive benefits and compensation packages. However, our efforts may not be sufficient to enable us to attract, retain and motivate qualified individuals to support our growth. Moreover, if our personnel join competitors or form businesses that compete with ours, that could adversely affect our ability to raise new or successor funds.</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 xml:space="preserve">Risks Related to Being a Public Company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management team has limited experience managing a public company.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compliance with obligations as a public company subject to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results of operations and financial condition.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internal controls over financial reporting may not be effective and our independent registered public accounting firm may not be able to certify as to their effectiveness, which could have a significant and adverse effect on our business and reputation.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As an “emerging growth company,” as defined in the JOBS Act, our independent registered public accounting firm will not be required to formally attest to the effectiveness of our internal controls over financial reporting pursuant to Section 404 until the date we are no longer an emerging growth company. We anticipate losing “emerging growth company” status as of December 31, 2026. At such time, our independent registered public accounting firm may issue a report that is adverse in the event that it is not satisfied with the level at which our controls are documented, designed or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60"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To comply with the requirements of being a public company, we may need to undertake various actions, such as implementing additional internal controls and procedures and hiring additional accounting or internal audit staff. Testing and maintaining internal controls can divert our management’s attention from other matters that are important to the operation of our business. If we identify material weaknesses in our internal controls over financial reporting or are unable to comply with the requirements of Section 404 or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have identified material weaknesses in our internal control over financial reporting and may find additional weaknesses in the future or fail to maintain an effective system of internal control over financial reporting. If we fail to establish and maintain proper and effective internal control over financial reporting, our operating results and our ability to operate our business could be harmed.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regularly review and update our internal controls, disclosure controls and procedures, and corporate governance policies and procedures. Any system of controls, however well designed and operated, is based in part on certain assumptions and can provide only reasonable, not absolute, assurances that the objectives of the system will be met. Any failure or circumvention of our controls and procedures or failure to comply with regulations related to controls and procedures could have a material adverse effect on our business, financial condition and results of operations.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D0D0D"/>
          <w:sz w:val="22"/>
          <w:shd w:fill="FFFFFF" w:val="clear"/>
        </w:rPr>
        <w:t xml:space="preserve">We previously identified three material weaknesses in our internal control over financial reporting, primarily stemming from: (1) insufficiently documented risk assessments, (2) insufficiently documented process-level controls, and (3) insufficiently documented information technology controls supporting our financial statements and reporting. Consequently, our Chief Executive Officer and Chief Financial Officer previously determined that our internal controls and disclosure controls and procedures were ineffective as of December 31, 2024. To address these weaknesses, management has been active in implementing remediation plans, including a testing plan to determine the effectiveness of controls that support our financial statements and reporting, the recruitment of additional accounting personnel and the establishment of process-level controls, management review protocols, and documentation policies. These measures aim to ensure the completeness and accuracy of financial statement disclosures and to identify and to mitigate emerging risks. </w:t>
      </w:r>
      <w:r>
        <w:rPr>
          <w:rFonts w:ascii="Times New Roman;serif" w:hAnsi="Times New Roman;serif"/>
          <w:b w:val="false"/>
          <w:color w:val="0D0D0D"/>
          <w:sz w:val="22"/>
        </w:rPr>
        <w:t xml:space="preserve">During 2024, management was able to successfully remediate the previously identified material weakness regarding insufficiently documented risk assessments with additional enhancements made in management’s report on internal controls over financial reporting, including establishment of entity level controls and fraud risk management. Furthermore, </w:t>
      </w:r>
      <w:r>
        <w:rPr>
          <w:rFonts w:ascii="Times New Roman;serif" w:hAnsi="Times New Roman;serif"/>
          <w:b w:val="false"/>
          <w:color w:val="0D0D0D"/>
          <w:sz w:val="22"/>
          <w:shd w:fill="FFFFFF" w:val="clear"/>
        </w:rPr>
        <w:t>during 2025, management was able to successfully remediate the previously identified material weakness regarding insufficiently documented information technology controls supporting our financial statements and reporting. This effort resulted in enhancement of information security general controls across five key information technology segments, which include: change management, computer operations, IT governance, security administration and system development.</w:t>
      </w:r>
      <w:r>
        <w:rPr>
          <w:color w:val="0D0D0D"/>
        </w:rPr>
        <w:t xml:space="preserve"> </w:t>
      </w:r>
      <w:r>
        <w:rPr>
          <w:rFonts w:ascii="Times New Roman;serif" w:hAnsi="Times New Roman;serif"/>
          <w:b w:val="false"/>
          <w:color w:val="0D0D0D"/>
          <w:sz w:val="22"/>
          <w:shd w:fill="FFFFFF" w:val="clear"/>
        </w:rPr>
        <w:t>Additionally, an information technology assessment was completed to remediate four key dependent information technology financial reporting categories, which include: accounts payable, financial reporting, human resources &amp; payroll, and revenue.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D0D0D"/>
          <w:sz w:val="22"/>
          <w:shd w:fill="FFFFFF" w:val="clear"/>
        </w:rPr>
        <w:t>While we have made progress in remediating the remaining material weakness, insufficiently documented process-level controls, additional time is required to complete sustainability testing of our internal control over financial reporting during 2026, finalize our remediation efforts, and satisfy the SEC’s rules implementing the Section 404(a) internal control certification requirements.</w:t>
      </w:r>
      <w:r>
        <w:rPr>
          <w:color w:val="0D0D0D"/>
        </w:rPr>
        <w:t xml:space="preserve"> </w:t>
      </w:r>
      <w:r>
        <w:rPr>
          <w:rFonts w:ascii="Times New Roman;serif" w:hAnsi="Times New Roman;serif"/>
          <w:b w:val="false"/>
          <w:color w:val="0D0D0D"/>
          <w:sz w:val="22"/>
        </w:rPr>
        <w:t xml:space="preserve">Accordingly, </w:t>
      </w:r>
      <w:r>
        <w:rPr>
          <w:rFonts w:ascii="Times New Roman;serif" w:hAnsi="Times New Roman;serif"/>
          <w:b w:val="false"/>
          <w:color w:val="0D0D0D"/>
          <w:sz w:val="22"/>
          <w:shd w:fill="FFFFFF" w:val="clear"/>
        </w:rPr>
        <w:t>our Chief Executive Officer and Chief Financial Officer have determined that our internal controls and disclosure controls and procedures remained ineffective as of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If we identify additional material weaknesses in our internal control over financial reporting or are otherwise required to restate our financial statements in the future, we could be required to implement expensive and time-consuming remedial measures and could lose investor confidence in the accuracy and completeness of our financial reports. In addition, there are risks that individuals, either employees or contractors, consciously circumvent established control mechanisms by, for example, exceeding trading or investment management limitations, or committing fraud. Failure to implement and maintain effective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61"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before="180" w:after="283"/>
        <w:jc w:val="both"/>
        <w:rPr/>
      </w:pPr>
      <w:r>
        <w:rPr/>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If securities or industry analysts do not publish research or reports about our business, if they adversely change their recommendations regarding our shares or if our results of operations do not meet their expectations, our share price and trading volume could decline.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trading market for our Class A Common Stock will be influenced by the research and reports that industry or securities analysts publish about us or our business. We do not have any control over these analysts. If securities or industry analysts cease coverage of us or fail to publish reports on us regularly, the trading price of our Class A Common Stock would likely be negatively impacted and we could lose visibility in the financial markets. Moreover, if one or more of the analysts who cover us downgrade our stock, or if our results of operations do not meet their expectations, the price of our Class A Common Stock could decline.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As a public company, we are subject to laws, regulations and stock exchange listing standards, which will impose additional costs on us and may strain our resources and divert our management’s attention.</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a company with publicly traded securities, we are subject to the reporting requirements of the Exchange Act, the Sarbanes-Oxley Act, the Dodd-Frank Act, the listing requirements of Nasdaq and other applicable securities laws and regulations. These rules and regulations require that we adopt additional controls and procedures and disclosure, corporate governance and other practices thereby significantly increasing our legal, financial and other compliance costs. Additionally, due to our anticipated loss of “emerging growth company status” as of December 31, 2026, these expenses may increase even more. These new obligations will also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will need to commit significant resources, hire additional staff and provide additional management oversight. Furthermore, as a result of disclosure of information in this Annual Report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Class A Common Stock, fines, sanctions, other regulatory actions and civil litigation, any of which could negatively affect the price of our Class A Common Stock. </w:t>
      </w:r>
    </w:p>
    <w:p>
      <w:pPr>
        <w:pStyle w:val="TextBody"/>
        <w:bidi w:val="0"/>
        <w:spacing w:lineRule="auto" w:line="268" w:before="180" w:after="283"/>
        <w:jc w:val="both"/>
        <w:rPr/>
      </w:pPr>
      <w:r>
        <w:rPr>
          <w:rFonts w:ascii="Times New Roman;serif" w:hAnsi="Times New Roman;serif"/>
          <w:b/>
          <w:i/>
          <w:color w:val="000000"/>
          <w:sz w:val="22"/>
        </w:rPr>
        <w:t>If we are deemed an “investment company” subject to regulation under the Investment Company Act, applicable restrictions could make it impractical for us to continue our business as contemplated and could have a material adverse effect on our business</w:t>
      </w:r>
      <w:r>
        <w:rPr>
          <w:rFonts w:ascii="Times New Roman;serif" w:hAnsi="Times New Roman;serif"/>
          <w:b w:val="false"/>
          <w:color w:val="000000"/>
          <w:sz w:val="22"/>
        </w:rPr>
        <w:t xml:space="preserv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 issuer will generally be deemed to be an “investment company” for purposes of the Investment Company Act if, absent an applicable exemption: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pursuant to Section 3(a)(1)(A) of the Investment Company Act, it is or holds itself out as being engaged primarily, or proposes to engage primarily, in the business of investing, reinvesting or trading in securities; or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pursuant to Section 3(a)(1)(C) of the Investment Company Act, it owns or proposes to acquire investment securities having a value exceeding 40% of the value of its total assets (exclusive of U.S. government securities and cash items) on an unconsolidated basis (the “40%” Test).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regard ourselves as a financial services business. We believe that we are engaged primarily in the business of providing financial services and advice and not in the business of investing, reinvesting or trading in securities. We also believe that the primary source of income from each of our businesses is properly characterized as income earned in exchange for the provision of services. We hold ourselves out as a financial services and advisory business and do not propose to engage primarily in the business of investing, reinvesting or trading in securities. Consequently, we do not believe that we or our subsidiaries would be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62"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investment companies with an obligation to register as such pursuant to Section 3(a)(1)(A) of the Investment Company Act.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based on their respective asset compositions subject to the 40% Test to determine assets that would or would not be considered investment securities, we do not believe that we or our subsidiaries would be deemed investment companies with an obligation to register as such pursuant to Section 3(a)(1)(C) of the Investment Company Act. Our and our subsidiaries’ asset compositions are, however, fluid and may be subject to change in the future.</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we become obligated to register ourselves or any of our subsidiaries as an investment company pursuant to the Investment Company Act, the registered entity would have to comply with a variety of substantive requirements under the Investment Company Act including, among other things: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limitations on capital structure;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restrictions on specified investments;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prohibitions on transactions with affiliates; and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compliance with reporting, record keeping, voting, proxy disclosure and other rules and regulations that would significantly change our operations.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we were deemed to be an investment company under the Investment Company Act, we would either have to register as an investment company under the Investment Company Act, obtain exemptive relief from the SEC or modify our equity interests and debt positions or organizational structure or our contract rights to fall outside the definition of an investment company under the Investment Company Act. Registering as an investment company pursuant to the Investment Company Act could, among other things, materially adversely affect our financial condition, business and results of operations, materially limit our ability to borrow funds or engage in other transactions involving leverage and require us to add directors who are independent of us and otherwise would subject us to additional regulation that would be costly and time-consuming. Modifying our equity interests and debt positions or organizational structure or our contract rights could require us to alter our business and investment strategy in a manner that could require us to purchase or dispose of assets or securities, prevent us from pursuing certain opportunities, or otherwise restrict our business, which may have a material adverse effect on our business results of operations, financial condition or prospects.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quarterly operating results and other operating metrics may fluctuate from quarter to quarter, which makes these metrics difficult to predict.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quarterly operating results and other operating metrics have fluctuated in the past and may continue to fluctuate in the future.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 the performance of our investments, competition with other market participants, and changes in market and economic conditions.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one of the factors above or the cumulative effect of some of the factors above may result in significant fluctuations in our operating results.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shares of Class A Common Stock could fall substantially, and we could face costly lawsuits, including securities class action suits.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ability to raise capital in the future may be limited.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and operations may consume resources faster than we anticipate. In the future, we may need to raise additional funds through the issuance of new equity securities, debt or a combination of both, which may not be available on favorable terms, or at all. If adequate funds are not available on acceptable terms,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63"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unable to fund our capital requirements. If we issue new debt securities, the debt holders would have rights senior to holders of Class A Common Stock to make claims on our assets, and the terms of any debt could restrict our operations, including our ability to pay dividends on our Class A Common Stock. If we issue additional equity securities, existing stockholders will experience dilution, and the new equity securities could have rights senior to those of our Class A Common Stock. Because our decision to issue securities in any future offering will depend on market conditions and other factors beyond our control, we cannot predict or estimate the amount, timing or nature of our future offerings.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The forecasts of market growth and other projections included in this Annual Report may prove to be inaccurate, and even if the markets in which we compete achieve the forecasted growth, we cannot assure you that our business will grow at a similar rate, if at all.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Growth forecasts and projections are subject to significant uncertainty and are based on assumptions and estimates that may not prove to be accurate. The forecasts in this Annual Report relating to the expected growth in the financial services market may prove to be inaccurate. Even if the markets experience the forecasted growth described in this Annual Report, we may not grow our business at a similar rate,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are an emerging growth company within the meaning of the Securities Act and we have taken advantage of certain exemptions from disclosure requirements available to emerging growth companies; this could make our securities less attractive to investors and may make it more difficult to compare our performance with other public companies.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are an “emerging growth company” within the meaning of the Securities Act, as modified by the JOBS Act, and have taken advantage of certain exemptions from various reporting requirements that are applicable to other public companies that are not emerging growth companies, which exemptions include, but are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certain executive compensation matters. As a result, our stockholders may not have access to certain information they may deem important. We may be an emerging growth company for up to five years from the initial public offering, although circumstances could cause the loss of that status earlier, including if the market value of the Common Stock held by non-affiliates exceeds $700 million as of any time before or as of June 30, in which case we would no longer be an emerging growth company as of the following December 31.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the securities may be more volatile.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certificate of incorporation provides, subject to limited exceptions, that the Court of Chancery of the State of Delaware is the sole and exclusive forum for certain stockholder litigation matters, which could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64"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stockholders’ ability to obtain a favorable judicial forum for disputes with us or our directors, officers, employees or stockholders.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certificate of incorporation requires, to the fullest extent permitted by law, that, unless we consent in writing to the selection of an alternative forum, (i) derivative actions brought in our name, (ii) actions asserting a claim of breach of fiduciary duty owed by any of our director, officer or stockholders, (iii) actions asserting a claim pursuant to the DGCL, the certificate of incorporation or the amended and restated bylaws of the Company, or (iv) actions asserting claims governed by the internal affairs doctrine, may be brought only in the Court of Chancery in the State of Delaware (or, in the event that the Chancery Court does not have jurisdiction, the federal district court for the District of Delaware or other state courts of the State of Delaware). Subject to the preceding sentence, the federal district courts of the United States of America will be the exclusive forum for the resolution of any complaint asserting a cause of action arising under the Securities Act. However, such forum selection provisions will not apply to suits brought to enforce any liability or duty created by the Exchange Act or any other claim for which the federal courts of the United States have exclusive jurisdiction.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choice of forum provision may limit a stockholder’s ability to bring a claim in a judicial forum that it finds favorable for disputes with us or our directors, officers, or other employees, or may increase the cost for such stockholder to bring a claim, both of which may discourage such lawsuits against us and our directors, officers, and other employees. Alternatively,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Section 22 of the Securities Act creates concurrent jurisdiction for federal and state courts over all suits brought to enforce any duty or liability created by the Securities Act or the rules and regulations thereunder. As noted above, the certificate of incorporation provides that the federal district courts of the United States of America will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 Any person or entity purchasing or otherwise acquiring any interest in shares of our capital stock will be deemed to have notice of and consented to the forum provisions in our certificate of incorporation. </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Risks Related to Our Strategic Alternatives Review Process</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Our Review of Preliminary Indications of Interest and Potential Strategic Alternatives May Not Result in Any Transaction, and the Announcement or Conduct of Such a Process May Adversely Affect Our Business.</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9, 2025, we announced that we had received multiple preliminary indications of interest regarding a potential transaction with the Company and that our Board had formed a Special Committee of independent directors to consider these preliminary indications of interest and assess potential strategic options to maximize long-term value for shareholders, support the Company’s continued growth and continue delivering best-in-class service to clients.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There can be no assurance that our review process will result in any particular outcome or transaction. Any indications of interest received are preliminary and non-binding, and we may not be able to identify or consummate a transaction on acceptable terms, or at all. Even if a transaction is pursued, it may not be completed due to, among other things, the inability to agree on terms, failure to obtain necessary approvals, financing constraints, regulatory considerations or other factors.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announcement and pendency of the review process may adversely affect our business, financial condition and results of operations. The process may be time-consuming and disruptive to our operations, may divert the attention of management and our Board from executing our business strategy, and may negatively impact our ability to recruit and retain key personnel, maintain relationships with clients, business partners and other stakeholders, and pursue strategic initiatives. </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 xml:space="preserve">General Risk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65"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We may be required to take write-downs or write-offs, restructuring and impairment or other charges that could have a significant negative effect on our financial condition and our share price, which could cause you to lose some or all of your investment.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a result of unidentified issues or factors outside of our control, we may be forced to later write-down or write-off assets, restructure operations, or incur impairment or other charges that could result in reporting losses. Even if we identify certain risks, unexpected risks may arise and previously known risks may materialize in a manner not consistent with the preliminary risk analysis conducted by us. Even though these charges may be non-cash items that would not have an immediate impact on our liquidity, the reporting of charges of this nature could contribute to negative market perceptions about us or our securities. In addition, charges of this nature may cause us to violate leverage or other covenants to which it may be subject. Accordingly, our stockholders could suffer a reduction in the value of their shares from any such write-down or write-offs.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The certificate of incorporation contains certain provisions, including anti-takeover provisions that limit the ability of stockholders to take certain actions and could delay or discourage takeover attempts that stockholders may consider favorable.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certificate of incorporation contains provisions that may discourage unsolicited takeover proposals that stockholders may consider to be in their best interests. These provisions may make more difficult the removal of management and may discourage transactions that otherwise could involve payment of a premium over prevailing market prices for our securities.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Our business and operations could be negatively affected if we become subject to any securities litigation or stockholder activism, which could cause us to incur significant expense, hinder execution of business and growth strategy and impact our stock price.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securities or other reasons may in the future cause it to become the target of securities litigation or stockholder activism. Securities litigation and stockholder activism, including potential proxy contests, could result in substantial costs and divert management’s and the Board’s attention and resources from our business. Further, such securities litigation and stockholder activism could give rise to perceived uncertainties as to our future, adversely affect our relationships with service providers and clients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 </w:t>
      </w:r>
    </w:p>
    <w:p>
      <w:pPr>
        <w:pStyle w:val="TextBody"/>
        <w:bidi w:val="0"/>
        <w:spacing w:lineRule="auto" w:line="268" w:before="180" w:after="283"/>
        <w:jc w:val="both"/>
        <w:rPr>
          <w:rFonts w:ascii="Times New Roman;serif" w:hAnsi="Times New Roman;serif"/>
          <w:b/>
          <w:i/>
          <w:color w:val="000000"/>
          <w:sz w:val="22"/>
        </w:rPr>
      </w:pPr>
      <w:r>
        <w:rPr>
          <w:rFonts w:ascii="Times New Roman;serif" w:hAnsi="Times New Roman;serif"/>
          <w:b/>
          <w:i/>
          <w:color w:val="000000"/>
          <w:sz w:val="22"/>
        </w:rPr>
        <w:t xml:space="preserve">Future resales of shares may cause the market price of our securities to drop significantly, even if our business is doing well.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Registration Rights and Lock-Up Agreement and the Sponsor Support Agreement, dated September 19, 2021, by and between the Company, Sponsor, TWMH, the TIG Entities, and Alvarium (the “Sponsor Support Agreement”) subject to certain exceptions, the Sponsor and certain stockholders receiving shares of Company stock as consideration pursuant to the Business Combination Agreement are contractually restricted from selling or transferring a portion of their shares. The last applicable lock-up period expired on January 3, 2026.</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Following the expiration of the applicable lock-up period, no equity holders will be restricted from selling shares of the Company held by them, other than by applicable securities laws. As such, sales of a substantial number of our securities in the public market could occur at any time. These sales, or the perception in the market that the holders of a large number of securities intend to sell securities, could reduce the market price of our securities. Pursuant to the subscription agreements for the private placements and the registration rights and lock-up agreement, we were required to register the resale of the Class A Common Stock issued to the subscribers that agreed to purchase shares of Class A Common Stock at the Closing pursuant to the Private Placement, including, without limitation, as reflected in the Subscription Agreements and securities received by certain stockholders as consideration pursuant to the Business Combination Agreement. As restrictions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66"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resale end and as long as the registration statements we filed after the Closing to provide for the resale of such shares from time to time remain available for use, the sale or possibility of sale of these shares could have the effect of increasing the volatility in the Company’s share price or the market price of our securities could decline if the holders of currently restricted shares sell them or are perceived by the market as intending to sell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1B. UNRESOLVED STAFF COMMENTS </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ITEM 1C. CYBERSECURITY </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 xml:space="preserve">Cybersecurity Risk Management and Strategy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implemented a cybersecurity risk management program that is designed to identify, respond to, protect against and manage cybersecurity threats and incidents. Our cybersecurity risk management processes include regular assessments of our cyber threat detection and response capabilities. </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established cybersecurity risk assessment processes, which include annual risk assessments using third-party consultants. Our Chief Information Security Officer (“CISO”) has oversight over our information security policies and works with our internal IT resources and third-party managed IT support providers to facilitate the implementation of our cybersecurity risk assessment and management processes. Our cybersecurity risk management processes are designed to protect systems and data and contain preventive and detective controls, including internal and external testing. We also provide cybersecurity awareness training to our employees during onboarding and periodically thereafter, including through simulated phishing attacks. </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maintain processes designed to evaluate the security practices and controls of our critical third-party vendors that have access to our confidential information, which includes security questionnaires and third-party information security assessments, as applicable. </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We maintain policies regarding our information security practices, including an incident response plan to coordinate response and mitigation efforts in the event we experience a cybersecurity incident. These policies require notification of cybersecurity incidents to our information security team, and if warranted based on the perceived level of severity of the incident, to members of our executive leadership. We have not identified any cybersecurity incidents or threats that have materially affected us, including our business strategy, results of operations, or financial condition. However, like other companies in our industry, we and our third-party vendors have from time to time experienced threats and security incidents that could affect our information or systems. For more information, please consult “ITEM 1A.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 xml:space="preserve">Cybersecurity Governance Related to Cybersecurity Risks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Board considers cybersecurity risk as part of its overall risk oversight, and has delegated to the Audit, Finance and Risk Committee (“AFRC”) responsibility for oversight of major risk exposures, including in relation to security, cybersecurity and privacy. At the management level, we have also established an Executive Risk and Compliance Committee (“ERCC”), which oversees the development and implementation of our risk oversight and management processes, including in relation to cybersecurity. The ERCC is comprised of members of our executive leadership from across the organization. Our CISO reports to the ERCC on identified material cyber risks (if any) and on the implementation of cybersecurity priorities. The members of the ERCC, in turn, are responsible for updating the AFRC, and, where required, our Board on key milestones and progress regarding identified material cyber threats.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Our CISO is responsible for advising on the strategic and operational processes related to our cyber risk management program. Our CISO has over two decades of cybersecurity experience, has served on a cybersecurity advisory board for a university, and is a Certified Information Systems Security Professional.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67"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2. PROPERTIES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corporate headquarters, which we lease, is located at 22 Vanderbilt Avenue, 27th Floor, New York, NY. Additionally we lease office space in Bethesda, Dallas, Hamburg, Hong Kong, Lisbon, London, Lugano, Miami, Milan, Minneapolis, New York, Palm Beach, Paris, Portland, San Francisco, Seattle, Singapore, Wilmington and Zurich. The Company does not own any real estate. We believe that our existing office space is sufficient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 xml:space="preserve">ITEM 3. LEGAL PROCEEDINGS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involved in various legal proceedings, lawsuits, and claims incidental to the conduct of our business, some of which may be material. Our businesses are also subject to extensive regulation, which may result in regulatory proceedings against us. For additional information, see “Management’s Discussion and Analysis of Financial Condition and Results of Operations of AlTi Global, Inc. - Litigation” and Note 21 (Commitments and Contingencies) to our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4. MINE SAFETY DISCLOSURES </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68"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5. MARKET FOR REGISTRANT’S COMMON EQUITY, RELATED STOCKHOLDER MATTERS AND ISSUER PURCHASES OF EQUITY SECURITIES </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 xml:space="preserve">Market Information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Class A Common Stock trades on the Nasdaq Capital Market under the symbol “ALTI.”</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Holders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March 31, 2026, there were 293 holders of record of our Class A Common Stock. This does not include the number of stockholders that hold shares in “street name” through banks or broker-dealers.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Dividends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not paid any cash dividends to date. The payment of cash dividends in the future will be dependent upon our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69"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7. Management’s Discussion and Analysis of Financial Condition and Results of Operations</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MANAGEMENT’S DISCUSSION AND ANALYSIS OF FINANCIAL CONDITION AND RESULTS OF OPERATIONS OF ALTI GLOBAL, INC.</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audited financial statements and the related notes included in this Annual Report.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Amounts and percentages presented throughout our discussion and analysis of the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manage or advise approximately $93.1 billion in combined assets as of December 31, 2025. We have approximately 490 professionals operating in 19 cities in 9 countries across three continents as of December 31,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Separately, we have one internally managed fund and stakes in three Externally-Managed Funds in our alternatives platform, with a largely institutional client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Fee Structure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generates a diverse array of revenue streams that fall broadly into four categories: (i) recurring management, advisory, trustee, or administration fees (“management fees”); (ii) performance or incentive fees; (iii) distributions from investments and (iv) other income or fees: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i/>
          <w:color w:val="000000"/>
          <w:sz w:val="22"/>
        </w:rPr>
        <w:t>Management Fees</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advisory, trustee, and administration fees are the Company’s primary source of revenue, and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 </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pStyle w:val="TextBody"/>
        <w:bidi w:val="0"/>
        <w:spacing w:lineRule="auto" w:line="256" w:before="180" w:after="283"/>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portfolios). AUM includes the value of all assets managed or supervised by operating partner subsidiaries, affiliates, and joint ventures in which the Company holds either a majority or minority stake.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70"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AUA consists of all assets we are responsible for overseeing and reporting on, but we do not necessarily charge fees on all such assets. Billable assets represent the portion of our assets on which we charge fees. Non-billable assets are exempt from fees and consist of assets such as cash and cash equivalents in certain agreed upon situations, personally owned real estate, and other designated assets. Our calculations of AUM and AUA may differ from the calculation methodologies of other wealth managers and, as a result, this measure may not be comparable to similar measures presented by other wealth managers.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18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Incentive or performance fees are comprised primarily of annual performance or incentive fees which may be earned by providing investment management and advisory as well as fund management activities. It also includes carried interest payments we earn on co-investment.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Our internally managed TIG Arbitrage fund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Wealth management clients in certain jurisdictions may also pay performance or incentive fees if their portfolio achieves returns in excess of an agreed benchmark or hurdle rate. Typically, such fees are paid annually upon crystallization and are not accrued prior to being earned.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Distributions from Investments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Distributions from investments are generated from the equity interests we have in three external managers. Distributions from each external manager are recorded upon receipt of the distribution.</w:t>
      </w:r>
      <w:r>
        <w:rPr>
          <w:color w:val="000000"/>
        </w:rPr>
        <w:t xml:space="preserve"> </w:t>
      </w:r>
      <w:r>
        <w:rPr>
          <w:rFonts w:ascii="Times New Roman;serif" w:hAnsi="Times New Roman;serif"/>
          <w:b w:val="false"/>
          <w:color w:val="000000"/>
          <w:sz w:val="22"/>
        </w:rPr>
        <w:t>These distributions are generated through our equity interest in the external manager’s management fees and incentive fees.</w:t>
      </w:r>
      <w:r>
        <w:rPr>
          <w:color w:val="000000"/>
        </w:rPr>
        <w:t xml:space="preserve"> </w:t>
      </w:r>
      <w:r>
        <w:rPr>
          <w:rFonts w:ascii="Times New Roman;serif" w:hAnsi="Times New Roman;serif"/>
          <w:b w:val="false"/>
          <w:color w:val="000000"/>
          <w:sz w:val="22"/>
        </w:rPr>
        <w:t>The management fee component of the distributions is recurring in nature, while the incentive portion, which is performance based, is more susceptible to impact from exogenous factors.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Real Estate Bridge Lending Strategy—21% profit share;</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European Equities—25% revenue share; and</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Asian Credit and Special Situations—12% revenue share</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Other income/fees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Other income or fees primarily include transaction fees, which are generally non-recurring in nature, are typically commission based, and are received upon the successful completion of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71"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Market Trends and Business Environment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business performance is directly and indirectly influenced by U.S. and to a lesser extent, global financial market and macroeconomic conditions including economic growth, interest rates and inflation. These factors shape market behavior and client decision-making, which in turn impact the demand for our wealth management services and the composition of assets under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fourth quarter of 2025, global equity markets continued to advance, with major indices ending the year near record or multi</w:t>
        <w:noBreakHyphen/>
        <w:t>year highs. In the U.S., performance was positive but more moderate compared to earlier in the year. The S&amp;P 500 returned 2.66%, the Nasdaq Composite gained 2.72%, and international equities outperformed with the MSCI ACWI ex USA rising 5.05% in the quarter. Market leadership, while still concentrated in large</w:t>
        <w:noBreakHyphen/>
        <w:t>cap growth and technology names, showed signs of broadening as value</w:t>
        <w:noBreakHyphen/>
        <w:t>tilted and international markets strengthened.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U.S. economic backdrop remained resilient. According to the updated estimate from the Bureau of Economic Analysis, real gross domestic product grew at an annualized rate of 4.4% in the third quarter of 2025, an acceleration from the second quarter’s 3.8% increase. This upward revision reflected stronger consumer spending, exports, government outlays, and investment. Robust household demand, rebounding exports, and easing inventory drags continued to support overall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Inflation remained above the Federal Reserve’s long</w:t>
        <w:noBreakHyphen/>
        <w:t>term target but continued to show gradual improvement. The core PCE price index increased 2.8% year</w:t>
        <w:noBreakHyphen/>
        <w:t>over</w:t>
        <w:noBreakHyphen/>
        <w:t>year in September, and remained at 2.7% in October and 2.8% in November, signaling relatively stable underlying inflation pressures despite tariff</w:t>
        <w:noBreakHyphen/>
        <w:t>related price impacts.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operations are also affected by movements in interest rates, which influence the value of our clients’ portfolios and, in turn, our revenue. Interest</w:t>
        <w:noBreakHyphen/>
        <w:t>rate levels are shaped by Federal Reserve policy decisions aimed at balancing inflation and employment conditions. In December 2025, the Federal Reserve cut the federal funds rate by 25 basis points to a target range of 3.50%–3.75%, marking a third consecutive reduction to close the year. At the subsequent meeting in January 2026, the Federal Reserve left rates unchanged at 3.50%–3.75%, signaling a data</w:t>
        <w:noBreakHyphen/>
        <w:t>dependent pause following those late 2025 cuts.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continue to monitor developments related to these macroeconomic factors and assess their potential impact on both financial markets and our business. A slowdown in inflows or sustained market declines could negatively affect our future results, potentially leading to reduced management fees. At this time, the full impact of these events on financial markets, the broader economy, and our financial statements remains uncertain. For more information, please refer to Part I, Item 1A. “Risk Factors” of this Annual Report for previously disclosed risk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Managing Business Performance and Key Financial Measures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Non-US GAAP Financial Measures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 taxes adjusted for the components outlined in the following table which presents the non-US GAAP financial measures for the periods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72"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6"/>
        <w:gridCol w:w="1343"/>
        <w:gridCol w:w="1287"/>
        <w:gridCol w:w="279"/>
        <w:gridCol w:w="1171"/>
        <w:gridCol w:w="134"/>
        <w:gridCol w:w="109"/>
        <w:gridCol w:w="109"/>
        <w:gridCol w:w="109"/>
        <w:gridCol w:w="279"/>
        <w:gridCol w:w="1171"/>
        <w:gridCol w:w="134"/>
        <w:gridCol w:w="109"/>
        <w:gridCol w:w="109"/>
        <w:gridCol w:w="109"/>
        <w:gridCol w:w="362"/>
        <w:gridCol w:w="1329"/>
        <w:gridCol w:w="256"/>
      </w:tblGrid>
      <w:tr>
        <w:trPr/>
        <w:tc>
          <w:tcPr>
            <w:tcW w:w="180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Favorable (Unfavorable)</w:t>
            </w:r>
          </w:p>
        </w:tc>
      </w:tr>
      <w:tr>
        <w:trPr/>
        <w:tc>
          <w:tcPr>
            <w:tcW w:w="4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Change</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198,410 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182,599 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income/fees</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254,956 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198,390 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56,566 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(123,717)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(102,248)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(21,469)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(21,787)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 from continuing operations</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&amp; Amortization</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EBITDA Reported</w:t>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(86,336)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(86,543)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 (a)</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31,671 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24,215 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7,456 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 expenses (b)</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25,571 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(10,891)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investments and non-recurring realized (gain)/loss on sales (c)</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earnout liabilities (d)</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(3,280)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27,447 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TRA liability (e)</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(3,855)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streamlining cost (f)</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28,360 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(non-cash) (g)</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47,989 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of goodwill (h)</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(Gains)/Losses on EMI/Carried Interest (non-cash) (i)</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(4,486)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EMI Adjustments (Interest, Depreciation, Taxes &amp; Amortization) (j)</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preferred stock tranche liability (k)</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34,784 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24,044 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10,740 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(a)Add-back of non-cash expense related to awards of Class A Common stock.</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(b)Add-back of transaction expenses related to the Business Combination, subsequent acquisitions or divestitures, and issuance of preferred and common stock, including compensation arrangements, legal fees, accounting fees, litigation settlements, technology implementations, consultancy fees, among others.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(c)Add-back of the change in fair value of investments held at fair value and non-recurring realized (gain)/loss on sale.</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(d)</w:t>
      </w:r>
      <w:r>
        <w:rPr>
          <w:rFonts w:ascii="Times New Roman;serif" w:hAnsi="Times New Roman;serif"/>
          <w:b w:val="false"/>
          <w:color w:val="000000"/>
          <w:sz w:val="22"/>
        </w:rPr>
        <w:t>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(e)Add-back of the change in fair value of the TRA liability.</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(f)</w:t>
      </w:r>
      <w:r>
        <w:rPr>
          <w:rFonts w:ascii="Times New Roman;serif" w:hAnsi="Times New Roman;serif"/>
          <w:b w:val="false"/>
          <w:color w:val="000000"/>
          <w:sz w:val="22"/>
        </w:rPr>
        <w:t>Add-back of cost to implement organization change to derive cost synergy, including consulting fees, severance charges, technology implementation costs, and bad debt expense related to strategic portfolio realignment.</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(g)Add-back of impairment of carried interest/equity method investments and intangible assets.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(h)Add-back of impairment of goodwill.</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(i)Add-back of the amortization of the step-up in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73"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(j)Add-back of reported interest, depreciation, amortization, and tax adjustments of the Company’s equity</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method investments.</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(k)Add-back of the change in fair value of preferred stock tranche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Reconciliation of Consolidated US GAAP Financial Measures to Certain Non-US GAAP Measures</w:t>
      </w:r>
    </w:p>
    <w:p>
      <w:pPr>
        <w:pStyle w:val="TextBody"/>
        <w:bidi w:val="0"/>
        <w:spacing w:lineRule="auto" w:line="288" w:before="240" w:after="283"/>
        <w:jc w:val="both"/>
        <w:rPr/>
      </w:pPr>
      <w:r>
        <w:rPr>
          <w:rFonts w:ascii="Times New Roman;serif" w:hAnsi="Times New Roman;serif"/>
          <w:b w:val="false"/>
          <w:color w:val="000000"/>
          <w:sz w:val="22"/>
          <w:shd w:fill="FFFFFF" w:val="clear"/>
        </w:rPr>
        <w:t xml:space="preserve">We use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non-US GAAP measures to assess and track our performance.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presented in this Annual Report are supplemental measures of our performance that are not required by, or presented in accordance with, US GAAP. </w:t>
      </w:r>
    </w:p>
    <w:p>
      <w:pPr>
        <w:pStyle w:val="TextBody"/>
        <w:bidi w:val="0"/>
        <w:spacing w:lineRule="auto" w:line="288" w:before="200" w:after="283"/>
        <w:jc w:val="both"/>
        <w:rPr/>
      </w:pPr>
      <w:r>
        <w:rPr>
          <w:rFonts w:ascii="Times New Roman;serif" w:hAnsi="Times New Roman;serif"/>
          <w:b w:val="false"/>
          <w:color w:val="000000"/>
          <w:sz w:val="22"/>
          <w:shd w:fill="FFFFFF" w:val="clear"/>
        </w:rPr>
        <w:t xml:space="preserve">The following table presents the reconciliation of net income as reported in our Consolidated Statement of Operations to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EBITDA for the periods indicated:</w:t>
      </w:r>
    </w:p>
    <w:tbl>
      <w:tblPr>
        <w:tblW w:w="10205" w:type="dxa"/>
        <w:jc w:val="left"/>
        <w:tblInd w:w="0" w:type="dxa"/>
        <w:tblLayout w:type="fixed"/>
        <w:tblCellMar>
          <w:top w:w="28" w:type="dxa"/>
          <w:left w:w="28" w:type="dxa"/>
          <w:bottom w:w="28" w:type="dxa"/>
          <w:right w:w="28" w:type="dxa"/>
        </w:tblCellMar>
      </w:tblPr>
      <w:tblGrid>
        <w:gridCol w:w="1397"/>
        <w:gridCol w:w="882"/>
        <w:gridCol w:w="884"/>
        <w:gridCol w:w="109"/>
        <w:gridCol w:w="109"/>
        <w:gridCol w:w="109"/>
        <w:gridCol w:w="109"/>
        <w:gridCol w:w="109"/>
        <w:gridCol w:w="109"/>
        <w:gridCol w:w="109"/>
        <w:gridCol w:w="109"/>
        <w:gridCol w:w="109"/>
        <w:gridCol w:w="109"/>
        <w:gridCol w:w="109"/>
        <w:gridCol w:w="109"/>
        <w:gridCol w:w="109"/>
        <w:gridCol w:w="109"/>
        <w:gridCol w:w="342"/>
        <w:gridCol w:w="342"/>
        <w:gridCol w:w="343"/>
        <w:gridCol w:w="109"/>
        <w:gridCol w:w="109"/>
        <w:gridCol w:w="109"/>
        <w:gridCol w:w="109"/>
        <w:gridCol w:w="109"/>
        <w:gridCol w:w="249"/>
        <w:gridCol w:w="1087"/>
        <w:gridCol w:w="120"/>
        <w:gridCol w:w="109"/>
        <w:gridCol w:w="109"/>
        <w:gridCol w:w="109"/>
        <w:gridCol w:w="109"/>
        <w:gridCol w:w="109"/>
        <w:gridCol w:w="109"/>
        <w:gridCol w:w="109"/>
        <w:gridCol w:w="109"/>
        <w:gridCol w:w="109"/>
        <w:gridCol w:w="248"/>
        <w:gridCol w:w="1083"/>
        <w:gridCol w:w="176"/>
      </w:tblGrid>
      <w:tr>
        <w:trPr/>
        <w:tc>
          <w:tcPr>
            <w:tcW w:w="139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4489" w:type="dxa"/>
            <w:gridSpan w:val="20"/>
            <w:tcBorders/>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Total</w:t>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Net Income and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Net income before taxes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(105,129)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(123,104)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31,671 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24,215 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 expenses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25,571 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investments and non-recurring realized (gain)/loss on sales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earnout liabilities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(30,727)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TRA liability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streamlining cost (f)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(non-cash) (g)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47,989 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of goodwill (h)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(Gains)/Losses on EMI/Carried Interest (non-cash)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(4,486)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EMI Adjustments (Interest, Depreciation, Taxes &amp; Amortization) (j)</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preferred stock tranche liability (k)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(12,517)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(13,287)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34,784 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24,044 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(a)Add-back of non-cash expense related to awards of Class A Common stock.</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(b)Add-back of transaction expenses related to the Business Combination, subsequent acquisitions or divestitures, and issuance of preferred and common stock, including compensation arrangements, legal fees, accounting fees, litigation settlements, technology implementations, consultancy fees, among others.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(c)Add-back of the change in fair value of investments held at fair value and non-recurring realized (gain)/loss on sale.</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(d)</w:t>
      </w:r>
      <w:r>
        <w:rPr>
          <w:rFonts w:ascii="Times New Roman;serif" w:hAnsi="Times New Roman;serif"/>
          <w:b w:val="false"/>
          <w:color w:val="000000"/>
          <w:sz w:val="22"/>
        </w:rPr>
        <w:t>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(e)Add-back of the change in fair value of the TRA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74"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(f)</w:t>
      </w:r>
      <w:r>
        <w:rPr>
          <w:rFonts w:ascii="Times New Roman;serif" w:hAnsi="Times New Roman;serif"/>
          <w:b w:val="false"/>
          <w:color w:val="000000"/>
          <w:sz w:val="22"/>
        </w:rPr>
        <w:t>Add-back of cost to implement organization change to derive cost synergy, including consulting fees, severance charges, technology implementation costs, and bad debt expense related to strategic portfolio realignment.</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(g)Add-back of impairment of carried interest/equity method investments and intangible assets.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(h)Add-back of impairment of goodwill.</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(i)Add-back of the amortization of the step-up in equity method investments.</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(j)Add-back of reported interest, depreciation, amortization, and tax adjustments of the Company’s equity</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method investments.</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(k)Add-back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Operating Metrics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monitor certain operating metrics that are common to the wealth and asset management industry, which are discussed below.</w:t>
      </w:r>
    </w:p>
    <w:tbl>
      <w:tblPr>
        <w:tblW w:w="246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354"/>
        <w:gridCol w:w="354"/>
        <w:gridCol w:w="50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466"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color w:val="FFFFFF"/>
              </w:rPr>
            </w:pPr>
            <w:r>
              <w:rPr>
                <w:color w:val="FFFFFF"/>
              </w:rPr>
              <w:t>      </w:t>
            </w:r>
            <w:r>
              <w:rPr>
                <w:rFonts w:ascii="Times New Roman;serif" w:hAnsi="Times New Roman;serif"/>
                <w:b/>
                <w:color w:val="FFFFFF"/>
                <w:sz w:val="20"/>
              </w:rPr>
              <w:t>AlTi Global, Inc.</w:t>
            </w:r>
          </w:p>
        </w:tc>
      </w:tr>
      <w:tr>
        <w:trPr/>
        <w:tc>
          <w:tcPr>
            <w:tcW w:w="640" w:type="dxa"/>
            <w:gridSpan w:val="3"/>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AUM:</w:t>
            </w:r>
          </w:p>
        </w:tc>
        <w:tc>
          <w:tcPr>
            <w:tcW w:w="612" w:type="dxa"/>
            <w:gridSpan w:val="3"/>
            <w:tcBorders>
              <w:top w:val="single" w:sz="8" w:space="0" w:color="000000"/>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$49.7 billion</w:t>
            </w:r>
          </w:p>
        </w:tc>
      </w:tr>
      <w:tr>
        <w:trPr/>
        <w:tc>
          <w:tcPr>
            <w:tcW w:w="640" w:type="dxa"/>
            <w:gridSpan w:val="3"/>
            <w:tcBorders>
              <w:top w:val="single" w:sz="8" w:space="0" w:color="000000"/>
              <w:left w:val="single" w:sz="8" w:space="0" w:color="000000"/>
              <w:bottom w:val="single" w:sz="8" w:space="0" w:color="000000"/>
            </w:tcBorders>
            <w:shd w:fill="2F5496"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 xml:space="preserve">AUA: </w:t>
            </w:r>
          </w:p>
        </w:tc>
        <w:tc>
          <w:tcPr>
            <w:tcW w:w="612" w:type="dxa"/>
            <w:gridSpan w:val="3"/>
            <w:tcBorders>
              <w:top w:val="single" w:sz="8" w:space="0" w:color="000000"/>
              <w:bottom w:val="single" w:sz="8" w:space="0" w:color="000000"/>
            </w:tcBorders>
            <w:shd w:fill="2F5496" w:val="clear"/>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$93.1 billion</w:t>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AUM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AUM for our operating segment for the periods indicated:</w:t>
      </w:r>
    </w:p>
    <w:p>
      <w:pPr>
        <w:pStyle w:val="TextBody"/>
        <w:bidi w:val="0"/>
        <w:spacing w:before="0" w:after="0"/>
        <w:jc w:val="both"/>
        <w:rPr/>
      </w:pPr>
      <w:r>
        <w:rPr/>
      </w:r>
    </w:p>
    <w:tbl>
      <w:tblPr>
        <w:tblW w:w="9523" w:type="dxa"/>
        <w:jc w:val="left"/>
        <w:tblInd w:w="0" w:type="dxa"/>
        <w:tblLayout w:type="fixed"/>
        <w:tblCellMar>
          <w:top w:w="28" w:type="dxa"/>
          <w:left w:w="28" w:type="dxa"/>
          <w:bottom w:w="28" w:type="dxa"/>
          <w:right w:w="28" w:type="dxa"/>
        </w:tblCellMar>
      </w:tblPr>
      <w:tblGrid>
        <w:gridCol w:w="1672"/>
        <w:gridCol w:w="1472"/>
        <w:gridCol w:w="1476"/>
        <w:gridCol w:w="109"/>
        <w:gridCol w:w="109"/>
        <w:gridCol w:w="162"/>
        <w:gridCol w:w="162"/>
        <w:gridCol w:w="387"/>
        <w:gridCol w:w="1421"/>
        <w:gridCol w:w="187"/>
        <w:gridCol w:w="109"/>
        <w:gridCol w:w="109"/>
        <w:gridCol w:w="109"/>
        <w:gridCol w:w="382"/>
        <w:gridCol w:w="1397"/>
        <w:gridCol w:w="260"/>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2366"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43,091 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34,525 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client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(1,722)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Market Performance,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3,558 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Assets subject to change in billing methodology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Prior Quarter Adj / Regulation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8,693 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47,941 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43,091 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Average AUM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45,516 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38,808 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75"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color w:val="000000"/>
          <w:sz w:val="22"/>
        </w:rPr>
      </w:pPr>
      <w:r>
        <w:rPr>
          <w:rFonts w:ascii="Times New Roman;serif" w:hAnsi="Times New Roman;serif"/>
          <w:b/>
          <w:color w:val="000000"/>
          <w:sz w:val="22"/>
        </w:rPr>
        <w:t>AUA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AUA for our operating segment for the periods indicated:</w:t>
      </w:r>
    </w:p>
    <w:p>
      <w:pPr>
        <w:pStyle w:val="TextBody"/>
        <w:bidi w:val="0"/>
        <w:spacing w:before="0" w:after="0"/>
        <w:jc w:val="both"/>
        <w:rPr/>
      </w:pPr>
      <w:r>
        <w:rPr/>
      </w:r>
    </w:p>
    <w:tbl>
      <w:tblPr>
        <w:tblW w:w="6943" w:type="dxa"/>
        <w:jc w:val="left"/>
        <w:tblInd w:w="0" w:type="dxa"/>
        <w:tblLayout w:type="fixed"/>
        <w:tblCellMar>
          <w:top w:w="28" w:type="dxa"/>
          <w:left w:w="28" w:type="dxa"/>
          <w:bottom w:w="28" w:type="dxa"/>
          <w:right w:w="28" w:type="dxa"/>
        </w:tblCellMar>
      </w:tblPr>
      <w:tblGrid>
        <w:gridCol w:w="738"/>
        <w:gridCol w:w="650"/>
        <w:gridCol w:w="652"/>
        <w:gridCol w:w="109"/>
        <w:gridCol w:w="109"/>
        <w:gridCol w:w="162"/>
        <w:gridCol w:w="162"/>
        <w:gridCol w:w="387"/>
        <w:gridCol w:w="1421"/>
        <w:gridCol w:w="187"/>
        <w:gridCol w:w="109"/>
        <w:gridCol w:w="109"/>
        <w:gridCol w:w="109"/>
        <w:gridCol w:w="382"/>
        <w:gridCol w:w="1397"/>
        <w:gridCol w:w="260"/>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Year Ended</w:t>
            </w:r>
          </w:p>
        </w:tc>
        <w:tc>
          <w:tcPr>
            <w:tcW w:w="2366"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60,473 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51,036 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9,437 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85,816 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60,473 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Average 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73,145 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55,755 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Investments in Alternative Platforms - AUM/AUA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Within the Alternatives platform, assets consist of assets managed by TIG Arbitrage (AUM $1.8 billion and $1.7 billion as of December 31, 2025 and 2024, respectively), and the External Strategic Managers (AUA $5.5 billion and $5.1 billion as of December 31, 2025 and 2024, respectively).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tables below present the change in our total AUM/AUA by strategy and product for our alternatives platform for the year ended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412"/>
        <w:gridCol w:w="317"/>
        <w:gridCol w:w="320"/>
        <w:gridCol w:w="241"/>
        <w:gridCol w:w="684"/>
        <w:gridCol w:w="134"/>
        <w:gridCol w:w="299"/>
        <w:gridCol w:w="645"/>
        <w:gridCol w:w="168"/>
        <w:gridCol w:w="272"/>
        <w:gridCol w:w="584"/>
        <w:gridCol w:w="152"/>
        <w:gridCol w:w="287"/>
        <w:gridCol w:w="618"/>
        <w:gridCol w:w="161"/>
        <w:gridCol w:w="274"/>
        <w:gridCol w:w="609"/>
        <w:gridCol w:w="153"/>
        <w:gridCol w:w="274"/>
        <w:gridCol w:w="609"/>
        <w:gridCol w:w="153"/>
        <w:gridCol w:w="247"/>
        <w:gridCol w:w="701"/>
        <w:gridCol w:w="137"/>
        <w:gridCol w:w="217"/>
        <w:gridCol w:w="616"/>
        <w:gridCol w:w="120"/>
        <w:gridCol w:w="196"/>
        <w:gridCol w:w="444"/>
        <w:gridCol w:w="161"/>
      </w:tblGrid>
      <w:tr>
        <w:trPr/>
        <w:tc>
          <w:tcPr>
            <w:tcW w:w="4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January 1, 2025</w:t>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December 31, 2025</w:t>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Real Estate Bridge Lending Strategy</w:t>
            </w:r>
            <w:r>
              <w:rPr>
                <w:color w:val="000000"/>
              </w:rPr>
              <w:t xml:space="preserve">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76"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2"/>
        <w:gridCol w:w="317"/>
        <w:gridCol w:w="320"/>
        <w:gridCol w:w="241"/>
        <w:gridCol w:w="684"/>
        <w:gridCol w:w="134"/>
        <w:gridCol w:w="293"/>
        <w:gridCol w:w="654"/>
        <w:gridCol w:w="165"/>
        <w:gridCol w:w="277"/>
        <w:gridCol w:w="575"/>
        <w:gridCol w:w="156"/>
        <w:gridCol w:w="287"/>
        <w:gridCol w:w="618"/>
        <w:gridCol w:w="161"/>
        <w:gridCol w:w="231"/>
        <w:gridCol w:w="675"/>
        <w:gridCol w:w="130"/>
        <w:gridCol w:w="274"/>
        <w:gridCol w:w="609"/>
        <w:gridCol w:w="153"/>
        <w:gridCol w:w="247"/>
        <w:gridCol w:w="701"/>
        <w:gridCol w:w="137"/>
        <w:gridCol w:w="217"/>
        <w:gridCol w:w="616"/>
        <w:gridCol w:w="120"/>
        <w:gridCol w:w="196"/>
        <w:gridCol w:w="444"/>
        <w:gridCol w:w="161"/>
      </w:tblGrid>
      <w:tr>
        <w:trPr/>
        <w:tc>
          <w:tcPr>
            <w:tcW w:w="4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January 1, 2024</w:t>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December 31, 2024</w:t>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Real Estate Bridge Lending Strategy</w:t>
            </w:r>
            <w:r>
              <w:rPr>
                <w:color w:val="000000"/>
              </w:rPr>
              <w:t xml:space="preserve">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Components of Consolidated Results of Income</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Management/Advisory Fees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NAV.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Distributions from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recurring management fees and non-recurring incentive fees based on performance of the underlying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77"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Other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Other income or fees primarily include transaction fees, which are generally non-recurring in nature, are typically commission based, and are received upon the successful completion of a transaction. </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200" w:after="283"/>
        <w:jc w:val="both"/>
        <w:rPr/>
      </w:pPr>
      <w:r>
        <w:rPr>
          <w:rFonts w:ascii="Times New Roman;serif" w:hAnsi="Times New Roman;serif"/>
          <w:b w:val="false"/>
          <w:i/>
          <w:color w:val="000000"/>
          <w:sz w:val="22"/>
        </w:rPr>
        <w:t xml:space="preserve">Compensation and Employee Benefits: </w:t>
      </w:r>
      <w:r>
        <w:rPr>
          <w:rFonts w:ascii="Times New Roman;serif" w:hAnsi="Times New Roman;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200" w:after="283"/>
        <w:jc w:val="both"/>
        <w:rPr/>
      </w:pPr>
      <w:r>
        <w:rPr>
          <w:rFonts w:ascii="Times New Roman;serif" w:hAnsi="Times New Roman;serif"/>
          <w:b w:val="false"/>
          <w:i/>
          <w:color w:val="000000"/>
          <w:sz w:val="22"/>
        </w:rPr>
        <w:t xml:space="preserve">General, Administrative and Other Expenses: </w:t>
      </w:r>
      <w:r>
        <w:rPr>
          <w:rFonts w:ascii="Times New Roman;serif" w:hAnsi="Times New Roman;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200" w:after="283"/>
        <w:jc w:val="both"/>
        <w:rPr/>
      </w:pPr>
      <w:r>
        <w:rPr>
          <w:rFonts w:ascii="Times New Roman;serif" w:hAnsi="Times New Roman;serif"/>
          <w:b w:val="false"/>
          <w:i/>
          <w:color w:val="000000"/>
          <w:sz w:val="22"/>
        </w:rPr>
        <w:t xml:space="preserve">Depreciation and Amortization Expenses: </w:t>
      </w:r>
      <w:r>
        <w:rPr>
          <w:rFonts w:ascii="Times New Roman;serif" w:hAnsi="Times New Roman;serif"/>
          <w:b w:val="false"/>
          <w:color w:val="000000"/>
          <w:sz w:val="22"/>
        </w:rPr>
        <w:t>Fixed assets and intangible assets are depreciated and amortized on a straight-line basis, with the corresponding depreciation and amortization expense included within depreciation and amortization in the Company’s Consolidated Statement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200" w:after="283"/>
        <w:jc w:val="both"/>
        <w:rPr/>
      </w:pPr>
      <w:r>
        <w:rPr>
          <w:rFonts w:ascii="Times New Roman;serif" w:hAnsi="Times New Roman;serif"/>
          <w:b w:val="false"/>
          <w:i/>
          <w:color w:val="000000"/>
          <w:sz w:val="22"/>
        </w:rPr>
        <w:t xml:space="preserve">Interest Expense: </w:t>
      </w:r>
      <w:r>
        <w:rPr>
          <w:rFonts w:ascii="Times New Roman;serif" w:hAnsi="Times New Roman;serif"/>
          <w:b w:val="false"/>
          <w:color w:val="000000"/>
          <w:sz w:val="22"/>
          <w:shd w:fill="FFFFFF" w:val="clear"/>
        </w:rPr>
        <w:t>I</w:t>
      </w:r>
      <w:r>
        <w:rPr>
          <w:rFonts w:ascii="Times New Roman;serif" w:hAnsi="Times New Roman;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200" w:after="283"/>
        <w:jc w:val="both"/>
        <w:rPr/>
      </w:pPr>
      <w:r>
        <w:rPr>
          <w:rFonts w:ascii="Times New Roman;serif" w:hAnsi="Times New Roman;serif"/>
          <w:b w:val="false"/>
          <w:i/>
          <w:color w:val="000000"/>
          <w:sz w:val="22"/>
        </w:rPr>
        <w:t xml:space="preserve">Income Tax Expense: </w:t>
      </w:r>
      <w:r>
        <w:rPr>
          <w:rFonts w:ascii="Times New Roman;serif" w:hAnsi="Times New Roman;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78"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Consolidated Results of Operations – For the Year Ended December 31, 2025 Compared to the Year Ended December 31,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7"/>
        <w:gridCol w:w="840"/>
        <w:gridCol w:w="814"/>
        <w:gridCol w:w="248"/>
        <w:gridCol w:w="1027"/>
        <w:gridCol w:w="128"/>
        <w:gridCol w:w="109"/>
        <w:gridCol w:w="109"/>
        <w:gridCol w:w="109"/>
        <w:gridCol w:w="248"/>
        <w:gridCol w:w="1027"/>
        <w:gridCol w:w="128"/>
        <w:gridCol w:w="109"/>
        <w:gridCol w:w="109"/>
        <w:gridCol w:w="109"/>
        <w:gridCol w:w="259"/>
        <w:gridCol w:w="947"/>
        <w:gridCol w:w="134"/>
        <w:gridCol w:w="134"/>
        <w:gridCol w:w="134"/>
        <w:gridCol w:w="134"/>
        <w:gridCol w:w="109"/>
        <w:gridCol w:w="109"/>
        <w:gridCol w:w="109"/>
        <w:gridCol w:w="109"/>
        <w:gridCol w:w="109"/>
        <w:gridCol w:w="109"/>
        <w:gridCol w:w="109"/>
        <w:gridCol w:w="109"/>
        <w:gridCol w:w="109"/>
        <w:gridCol w:w="109"/>
        <w:gridCol w:w="109"/>
        <w:gridCol w:w="109"/>
        <w:gridCol w:w="109"/>
        <w:gridCol w:w="109"/>
        <w:gridCol w:w="109"/>
        <w:gridCol w:w="109"/>
        <w:gridCol w:w="109"/>
        <w:gridCol w:w="159"/>
      </w:tblGrid>
      <w:tr>
        <w:trPr/>
        <w:tc>
          <w:tcPr>
            <w:tcW w:w="1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254,956 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198,390 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328,899 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(71,576)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 from continuing operations</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(123,104)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 from continuing operations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(123,717)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(102,248)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 xml:space="preserve">Management / advisory fees. </w:t>
      </w:r>
      <w:r>
        <w:rPr>
          <w:rFonts w:ascii="Times New Roman;serif" w:hAnsi="Times New Roman;serif"/>
          <w:b w:val="false"/>
          <w:color w:val="000000"/>
          <w:sz w:val="22"/>
        </w:rPr>
        <w:t>Management and advisory fees for the year ended December 31, 2025, increased by $15.8 million compared to the year ended December 31, 2024. This increase was driven by higher fees due to rising AUM amounts year over year in our wealth management practice partially driven by the acquisition of Kontora. These gains were partially offset by lower management fees in the TIG Arbitrage strategy due to fund outflows.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Incentive fees. </w:t>
      </w:r>
      <w:r>
        <w:rPr>
          <w:rFonts w:ascii="Times New Roman;serif" w:hAnsi="Times New Roman;serif"/>
          <w:b w:val="false"/>
          <w:color w:val="000000"/>
          <w:sz w:val="22"/>
        </w:rPr>
        <w:t>For the year ended December 31, 2025, incentive fees increased by $31.5 million compared to the year ended December 31, 2024. This increase is attributable to increased investment performance resulting in crystallized incentive fees in the TIG Arbitrage strategy for the current year, which led to higher incentive fees compared to the prior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Distributions from investments. </w:t>
      </w:r>
      <w:r>
        <w:rPr>
          <w:rFonts w:ascii="Times New Roman;serif" w:hAnsi="Times New Roman;serif"/>
          <w:b w:val="false"/>
          <w:color w:val="000000"/>
          <w:sz w:val="22"/>
        </w:rPr>
        <w:t>Distributions from investments for the year ended December 31, 2025 increased by $8.5 million compared to the year ended December 31, 2024. This increase was due to higher distributions related to management and incentive fees in the External Strategic Managers strategies in the current period resulting from stronger performance in of these strategies compared to the prior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Other fees / income. </w:t>
      </w:r>
      <w:r>
        <w:rPr>
          <w:rFonts w:ascii="Times New Roman;serif" w:hAnsi="Times New Roman;serif"/>
          <w:b w:val="false"/>
          <w:color w:val="000000"/>
          <w:sz w:val="22"/>
        </w:rPr>
        <w:t>Other fees and income for the year ended December 31, 2025 increased by $0.8 million compared to the year ended December 31, 2024. This increase was primarily driven by higher transactional income related to the Company’s acquisition of Kontora.</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Compensation expense. </w:t>
      </w:r>
      <w:r>
        <w:rPr>
          <w:rFonts w:ascii="Times New Roman;serif" w:hAnsi="Times New Roman;serif"/>
          <w:b w:val="false"/>
          <w:color w:val="000000"/>
          <w:sz w:val="22"/>
        </w:rPr>
        <w:t xml:space="preserve">Compensation expense for the year ended December 31, 2025 increased by $33.7 million compared to the year ended December 31, 2024. This increase was primarily due to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79"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costs tied to acquisition-driven compensation and benefits, acquisition-related earn-outs and new equity grants and to organizational streamlining initiatives that continue to be undertaken in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Non-compensation expense. </w:t>
      </w:r>
      <w:r>
        <w:rPr>
          <w:rFonts w:ascii="Times New Roman;serif" w:hAnsi="Times New Roman;serif"/>
          <w:b w:val="false"/>
          <w:color w:val="000000"/>
          <w:sz w:val="22"/>
        </w:rPr>
        <w:t xml:space="preserve">Non-compensation expenses for the year ended December 31, 2025 increased by $37.9 million as compared to the year ended December 31, 2024, primarily driven by a $11.8 million increase in one-time and transactional professional fees and a $21.9 million increase in general, administrative and other costs primarily due to non-recurring bad debt related to the real estate divestment $15.5 million and redress provisions $3.6 million.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Other income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Other income (expenses) for the year ended December 31, 2025 increased by $33.0 million compared to the year ended December 31, 2024. During the year ended December 31, 2025, an impairment loss on intangible assets of $35.0 million was recognized. During the year ended December 31, 2024, an impairment loss on goodwill and intangibles of $74.3 million and higher interest expense of $22.1 million, partially offset by gains on earn-out liabilities of $30.7 million, was recognized.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 xml:space="preserve">Taxes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effective tax rate was (17.7)% for the year ended December 31, 2025 compared to 16.9% for year ended December 31, 2024. The effective tax rate for the year ended December 31, 2025 differed from the statutory U.S. corporate tax rate primarily due to the portion of income allocated to noncontrolling interests, state and local taxes, and the impact of a full valuation allowance on the Company’s deferred tax assets, including those generated in the Company’s subsidiaries in the U.S. and the U.K. and its investment in Umbrella. The effective tax rate for the year ended December 31, 2024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Over the next 12-months from the time of this filing and the foreseeable future, we believe our cash and cash equivalents are sufficient to meet all of our normal operational and liquidity needs. However, to fund new initiatives and accelerate our growth, we may be required to obtain additional funds. This is because periods of low cash balances, caused by potential mismatches between projected revenue and the timing of receipts, could specifically impact the capital available for expansion and/or business initiative efforts to grow or scale the business.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Kontora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Kontora. See Note 4 (Business Combinations and Divestitures) in our accompanying consolidated financial statements. Kontora has a term loan with HypoVereinsbank. Throughout the period of the term loan Kontora Family Office GmbH, as a standalone entity, is required to maintain economic equity of the higher of $1.8 million or 30% of the total assets of this standalone entity. At December 31, 2025, the term loan had an outstanding principal amount of $0.5 million. In addition, Kontora has a revolving line of credit, with an aggregate borrowing facility of $0.9 million with HypoVereinsbank, which expires on July 25, 2029. The funded amounts under this revolving line of credit bear no restrictions on its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80"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 December 31, 2025, the funded amount under the revolving line of credit was $0.4 million. See Note 16 (Debt, net of unamortized deferred financing costs) in our accompanying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Allianz and Constellation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December 31, 2025, none of the Allianz Warrants have been exercised.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Consummation of the Allianz Transaction closed as of July 31, 2024. Refer to Note 1 (Description of the Business) in our accompanying consolidated financial statements for additional details.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On May 13, 2025, Allianz exercised the Allianz Tranche Right (as defined below) to purchase an additional 18,471 shares of Series A Preferred Stock </w:t>
      </w:r>
      <w:r>
        <w:rPr>
          <w:rFonts w:ascii="Times New Roman;serif" w:hAnsi="Times New Roman;serif"/>
          <w:b w:val="false"/>
          <w:color w:val="000000"/>
          <w:sz w:val="24"/>
        </w:rPr>
        <w:t>at $1,000 per share</w:t>
      </w:r>
      <w:r>
        <w:rPr>
          <w:color w:val="000000"/>
        </w:rPr>
        <w:t xml:space="preserve"> </w:t>
      </w:r>
      <w:r>
        <w:rPr>
          <w:rFonts w:ascii="Times New Roman;serif" w:hAnsi="Times New Roman;serif"/>
          <w:b w:val="false"/>
          <w:color w:val="000000"/>
          <w:sz w:val="22"/>
        </w:rPr>
        <w:t>for $18.5 million</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December 31, 2025, none of the Constellation Warrants have been exercised.</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fourth quarter ended December 31 2024, the Company repaid its debt outstanding under the bank credit facility (see Note 16 (Debt, net of unamortized deferred financing costs) to our consolidated financial statements included in this Annual Report) with the proceeds raised from the Allianz Transaction and the Constellation Transaction (see Note 1 (Description of the Business) to our consolidated financial statements included in this Annual Report). On January 3, 2023, concurrent with the consummation of the Business Combination, the Company had entered into a $250.0 million credit facility with a syndicate led by BMO Capital Markets Corp. The facility, which had a term of five years and was comprised of a $150.0 million revolving credit facility and a $100.0 million term loan facility, was to be used to pay down subsidiary debt and fund growth initiatives.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81"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For the Year Ended December 31, 2025 Compared to the Year Ended December 31, 2024</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tables and discussion summarize our Consolidated Statement of Cash Flows by activity attributable to AlTi for the periods indicated.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434"/>
        <w:gridCol w:w="1237"/>
        <w:gridCol w:w="1248"/>
        <w:gridCol w:w="311"/>
        <w:gridCol w:w="1170"/>
        <w:gridCol w:w="160"/>
        <w:gridCol w:w="109"/>
        <w:gridCol w:w="109"/>
        <w:gridCol w:w="109"/>
        <w:gridCol w:w="287"/>
        <w:gridCol w:w="1219"/>
        <w:gridCol w:w="148"/>
        <w:gridCol w:w="109"/>
        <w:gridCol w:w="109"/>
        <w:gridCol w:w="109"/>
        <w:gridCol w:w="411"/>
        <w:gridCol w:w="1441"/>
        <w:gridCol w:w="215"/>
        <w:gridCol w:w="109"/>
        <w:gridCol w:w="161"/>
      </w:tblGrid>
      <w:tr>
        <w:trPr/>
        <w:tc>
          <w:tcPr>
            <w:tcW w:w="14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270" w:type="dxa"/>
            <w:gridSpan w:val="2"/>
            <w:tcBorders/>
          </w:tcPr>
          <w:p>
            <w:pPr>
              <w:pStyle w:val="TableContents"/>
              <w:bidi w:val="0"/>
              <w:spacing w:before="0" w:after="283"/>
              <w:jc w:val="left"/>
              <w:rPr>
                <w:sz w:val="4"/>
                <w:szCs w:val="4"/>
              </w:rPr>
            </w:pPr>
            <w:r>
              <w:rPr>
                <w:sz w:val="4"/>
                <w:szCs w:val="4"/>
              </w:rPr>
            </w:r>
          </w:p>
        </w:tc>
      </w:tr>
      <w:tr>
        <w:trPr/>
        <w:tc>
          <w:tcPr>
            <w:tcW w:w="3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(51,437)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(35,249)</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(107,974)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121,657 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(162,311)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balances</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49,478 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(72,651)</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and cash equivalents decreased by $23.2 million during the year ended December 31, 2025 primarily due to the Company’s net operating activities during the period, partially offset by the Company’s net investing and financing activities during the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and professional fees. Our net operating cash outflow of $51.4 million for the year ended December 31, 2025, was primarily driven by the Company’s net operating loss from continuing operations for the period, as operating expenses exceeded revenues, as well as an increase in Fees receivable of $32.2 million, partially offset by an increase in Accrued compensation and profit sharing of $21.0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net operating cash outflow of $16.2 million for the year ended December 31, 2024, was primarily driven by the Company’s net operating loss from continuing operations for the period, as operating expenses exceeded revenues, as well as a decrease in Accrued compensation and profit sharing of $15.8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cash provided by investing activities of $13.7 million during the year ended December 31, 2025, was driven primarily by the net proceeds received of $20.9 million from the sale of an equity method investment, partially offset by the acquisition of Kontora, net of cash acquired of $6.6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Net cash used in investing activities of $108.0 million during the year ended December 31, 2024, was primarily driven by the deployment of approximately $116.3 million of capital related to the acquisition of EEA, Pointwise, and Envoi and equity method investments, partially offset by approximately $16.7 million of proceeds from the sale of FOS.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cash provided by financing activities of $12.0 million during the year ended December 31, 2025, primarily resulted from the issuance of additional preferred stock, partially offset by cash payments on earn-outs.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cash provided by financing activities of $174.3 million for the year ended December 31, 2024, primarily resulted from the issuance of common and preferred equity, net of transaction costs paid, partially offset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82"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net pay down of our credit facility, member distributions, and tax payments associated with settlements of equity compensation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Contractual Obligations </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discussed in Note 21 (Commitments and Contingencies) to our consolidated financial statements included in this Annual Report, we may be required to make payments under the TRA in the future.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and 2024, the liability associated with the TRA was approximately $25.7 million and $28.8 million, respectively. Payments under the TRA that are on account of liabilities arising in connection with the Business Combination will be revalued at the end of each reporting period with the gain or loss recognized in earnings. As of December 31, 2025 and 2024, the Company carried $8.8 million and $9.4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holders of Class B Units have exchanged a total of 10,844,400 Class B Paired Interests with the Company, for shares of Class A Common Stock on a 1:1 basis totaling an amount equal to the weighted average price of $5.68 multiplied by the total number of shares of Class A Common Stock received at the time of the transactions.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assuming no material changes in the relevant tax laws and that the Company generates sufficient taxable income to realize the full tax benefit of the increased amortization resulting from the increase in tax basis of certain of AlTi’s assets, we expect to pay approximately $25.7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Warrants</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December 31, 2025, none of the Constellation Warrants have been exercised.</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July 31, 2024, the Company issued the Allianz Warrants to purchase 5,000,000 shares of the Company’s Class A Common Stock. As of December 31, 2025, none of the Allianz Warrants have been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83"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December 31, 2025 and December 31, 2024, the fair value of the earn-out share liability was $15.3 million and $23.8 million, respectively, which is included in Earn-out liabilities, at fair value presented on the Consolidated Statement of Financial Position. See Note 2 (Summary of Significant Accounting Policies) to our consolidated financial statements included in this Annual Report for additional detail.</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East End Advisors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December 31, 2025 and 2024, the fair value of the earn-out share liability was $25.3 million and $29.9 million, respectively, which is included in Earn-out liabilities, at fair value presented on the Consolidated Statement of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the Company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Consolidated Statement of Financial Position. The deferred consideration was paid during the quarter ended March 31, 2025, in cash and equity totaling $3.4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2024, the Company acquired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December 31, 2025 and December 31, 2024, the Envoi earn-out consideration liability of $8.2 million and $9.6 million, respectively, and the Envoi earn-out growth consideration liability of $1.6 million and $1.3 million, respectively, are included in Earn-out liabilities, at fair value presented on the Consolidated Statement of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84"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consideration of $5.7 million, comprised of the Kontora earn-out liability, for which the Company may be required to make additional cash payments tied to certain revenue streams acquired in the Kontora Acquisition between the Closing Date and December 31, 2035. As of December 31, 2025, the Kontora earn-out liability of $7.0 million is reported in the Earn-out liabilities, at fair value, in the Consolidated Statement of Financial Position.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Indemnification Arrangements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Consolidated Statement of Financial Position. As of December 31, 2025, the Company has not had prior claims or losses pursuant to these contracts and expects the risk of material loss to be remote.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Litigation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December 31, 2025 for any potential liability related to any current legal or regulatory proceeding or claim that would individually or in the aggregate materially affect our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approved the appointment of Teneo as administrators of the International Real Estate Businesses. Potential litigation related to that business, including Home REIT and HLIF below, will be dealt with as appropriate by the administrators.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a wholly owned subsidiary of the Company, is one of the International Real Estate entities which entered into administration, and was Home REIT’s alternative investment fund manager (“AIFM”) until August 21, 2023 and AHRA was its investment adviser until June 30, 2023. Services are no longer provided by any AlTi companies or any legacy Alvarium companies to Home REIT. AHRA was owned by ARE (another wholly owned subsidiary of the Company, and one of the International Real Estate entities which entered into administration)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85"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itself and its directors, among others) in connection with such matters and the historic management and advisory services provided to Home REIT by certain legacy Alvarium companies.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July 11,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(one of the International Real Estate entities which entered into administration),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In February 2024, the UK FCA commenced investigations into the historic performance of certain International Real Estate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are not able to estimate how long it might take for the UK FCA to complete such investigations, but it is possible that the investigations may continue for a prolonged period, potentially over several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year ended December 31, 2025, a provision of $3.6 million has been recognized in relation to this potential future liability. The ultimate loss could differ from the accrued amount.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86"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200" w:after="200"/>
        <w:jc w:val="both"/>
        <w:rPr/>
      </w:pPr>
      <w:r>
        <w:rPr>
          <w:rFonts w:ascii="Times New Roman;serif" w:hAnsi="Times New Roman;serif"/>
          <w:b w:val="false"/>
          <w:color w:val="000000"/>
          <w:sz w:val="22"/>
        </w:rPr>
        <w:t>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erif" w:hAnsi="Times New Roman;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Estimation of Fair Values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Investments at Fair Value – External Strategic Managers:</w:t>
      </w:r>
      <w:r>
        <w:rPr>
          <w:color w:val="000000"/>
        </w:rPr>
        <w:t xml:space="preserve"> </w:t>
      </w:r>
      <w:r>
        <w:rPr>
          <w:rFonts w:ascii="Times New Roman;serif" w:hAnsi="Times New Roman;serif"/>
          <w:b w:val="false"/>
          <w:color w:val="000000"/>
          <w:sz w:val="22"/>
        </w:rPr>
        <w:t xml:space="preserve">The fair values of our Investments in External Strategic Managers were determined using significant unobservable inputs. 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TRA Liability: </w:t>
      </w:r>
      <w:r>
        <w:rPr>
          <w:rFonts w:ascii="Times New Roman;serif" w:hAnsi="Times New Roman;serif"/>
          <w:b w:val="false"/>
          <w:color w:val="000000"/>
          <w:sz w:val="22"/>
        </w:rPr>
        <w:t>We carry a portion of our TRA liability at fair value, as it is a contingent consideration related to the Business Combination. The 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i/>
          <w:color w:val="000000"/>
          <w:sz w:val="22"/>
        </w:rPr>
        <w:t>Earn-out Liabilities:</w:t>
      </w:r>
      <w:r>
        <w:rPr>
          <w:color w:val="000000"/>
        </w:rPr>
        <w:t xml:space="preserve"> </w:t>
      </w:r>
      <w:r>
        <w:rPr>
          <w:rFonts w:ascii="Times New Roman;serif" w:hAnsi="Times New Roman;serif"/>
          <w:b w:val="false"/>
          <w:color w:val="000000"/>
          <w:sz w:val="22"/>
        </w:rPr>
        <w:t xml:space="preserve">The fair values of our Business Combination Earn-out Securities liability, our EEA earn-out liability, our Envoi earn-out consideration liability, our Envoi earn-out growth consideration liability, and our Kontora earn-out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87"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period, as any increases in these liabilities have a corresponding negative impact on our US GAAP results of operations in the period in which the changes occur. See Note 2 (Summary of Significant Accounting Policies) 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Equity-based Compensation: </w:t>
      </w:r>
      <w:r>
        <w:rPr>
          <w:rFonts w:ascii="Times New Roman;serif" w:hAnsi="Times New Roman;serif"/>
          <w:b w:val="false"/>
          <w:color w:val="000000"/>
          <w:sz w:val="22"/>
        </w:rPr>
        <w:t xml:space="preserve">The Company issued stock grants to certain employees as bonus compensation. The fair value of the grants was determined based on the share price on the date of issuance.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Fair Value of Assets Acquired and Liabilities Assumed in Business Combinations: </w:t>
      </w:r>
      <w:r>
        <w:rPr>
          <w:rFonts w:ascii="Times New Roman;serif" w:hAnsi="Times New Roman;serif"/>
          <w:b w:val="false"/>
          <w:color w:val="000000"/>
          <w:sz w:val="22"/>
        </w:rPr>
        <w:t>The determination of the fair values of assets acquired and liabilities assumed in business 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Fair Value of Reporting Units for Goodwill Impairment Testing: </w:t>
      </w:r>
      <w:r>
        <w:rPr>
          <w:rFonts w:ascii="Times New Roman;serif" w:hAnsi="Times New Roman;serif"/>
          <w:b w:val="false"/>
          <w:color w:val="000000"/>
          <w:sz w:val="22"/>
        </w:rPr>
        <w:t>In assessing goodwill impairment, we determine the fair value of reporting units using established valuation 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br/>
        <w:b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Fair Value of the Allianz Tranche Right:</w:t>
      </w:r>
      <w:r>
        <w:rPr>
          <w:color w:val="000000"/>
        </w:rPr>
        <w:t xml:space="preserve"> </w:t>
      </w:r>
      <w:r>
        <w:rPr>
          <w:rFonts w:ascii="Times New Roman;serif" w:hAnsi="Times New Roman;serif"/>
          <w:b w:val="false"/>
          <w:color w:val="000000"/>
          <w:sz w:val="22"/>
        </w:rPr>
        <w:t xml:space="preserve">The fair value of the Allianz Tranche Right uses various significant unobservable inputs and is determined by using the binomial lattice model. The assumptions used could have a material impact on the valuation of this liability and include our best estimate of expected volatility, expected holding periods, and appropriate discounts for lack of marketability. Changes in the estimated fair value of this liability may have a material impact on our results of operations in any given period, as any increase in this liability has a corresponding negative impact on our US GAAP results of operations in the period in which the changes occur.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Income Taxes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88"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recognized. The Company’s income tax positions are reviewed and evaluated quarterly to determine whether or not we have uncertain tax positions that require financial statement recognition or de-recognition.</w:t>
      </w:r>
    </w:p>
    <w:p>
      <w:pPr>
        <w:pStyle w:val="TextBody"/>
        <w:bidi w:val="0"/>
        <w:spacing w:lineRule="auto" w:line="288" w:before="200" w:after="283"/>
        <w:jc w:val="both"/>
        <w:rPr/>
      </w:pPr>
      <w:r>
        <w:rPr>
          <w:rFonts w:ascii="Times New Roman;serif" w:hAnsi="Times New Roman;serif"/>
          <w:b w:val="false"/>
          <w:color w:val="000000"/>
          <w:sz w:val="22"/>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Variable Interest Entities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relatively insignificant direct and indirect investments into our products, the likelihood of a reasonable change in our estimation and judgment would likely not result in a change in our conclusions to consolidate or not consolidate any VIEs to which we have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Impact of Changes in Accounting on Recent and Future Trends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that none of the changes to US GAAP that went into effect during the year ended December 31, 2025, or that have been issued but that we have not yet adopted have substantively impacted our recent trends or are expected to substantively impact our future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7A. Quantitative and Qualitative Disclosures About Market Risk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as a wealth management advisor, we are exposed to a broad range of risks inherent in the financial markets in which we participate, including market risk, credit and counterparty risk, liquidity risk, and exchange rate risk.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Market Risk</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89"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Credit Risk and Counterparty Risk</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Liquidity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See the disclosures contained in “Management’s Discussion and Analysis of Financial Condition and Results of Operations of AlTi Global, Inc. – Liquidity and Capital Resources” for a discussion of our liquidity risk.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Exchange Rate Risk</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We and our funds hold investments that are denominated in foreign currencies that may be affected by movements in the rate of exchange between those currencies and the U.S. dollar. Movements in the exchange rate between currencies impact the management fees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90"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8. Financial Statements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91"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the Shareholders and Board of Directors AlTi Global,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Opinion on the Consolidated Financial Statements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have audited the accompanying consolidated statement of financial position of AlTi Global, Inc. and subsidiaries (the Company, prior to January 3, 2023, Tiedemann Wealth Management Holdings) as of December 31, 2025 and 2024, the related consolidated statements of operations, comprehensive income (loss), changes in mezzanine equity and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Basis for Opinion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KPMG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served as the Company’s auditor since 2000.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Philadelphia, Pennsylvania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92"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Financial Position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49"/>
        <w:gridCol w:w="2222"/>
        <w:gridCol w:w="2237"/>
        <w:gridCol w:w="218"/>
        <w:gridCol w:w="971"/>
        <w:gridCol w:w="121"/>
        <w:gridCol w:w="109"/>
        <w:gridCol w:w="109"/>
        <w:gridCol w:w="109"/>
        <w:gridCol w:w="217"/>
        <w:gridCol w:w="968"/>
        <w:gridCol w:w="175"/>
      </w:tblGrid>
      <w:tr>
        <w:trPr/>
        <w:tc>
          <w:tcPr>
            <w:tcW w:w="274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2024</w:t>
            </w:r>
          </w:p>
        </w:tc>
      </w:tr>
      <w:tr>
        <w:trPr/>
        <w:tc>
          <w:tcPr>
            <w:tcW w:w="7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Fees receivable, net (includes $9,535 and $888 of related party receivables,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at fair value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144,196 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436,157 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469,563 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385,966 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377,842 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1,255,833 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profit sharing</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member distributions payable</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Earn-out liabilities, at fair value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 liability (includes $8,785 and $9,378 at fair value,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liability, at fair value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 consideration payable</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unamortized deferred financing cost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21)</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Mezzanine Equity</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A Redeemable Cumulative Convertible Preferred stock, $0.0001 par value, 795,947 shares authorized, 168,934 shares issued and outstanding at December 31, 2025, 140,000 shares authorized, 140,000 issued and outstanding at December 31, 2024</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C Redeemable Cumulative Convertible Preferred stock, $0.0001 par value, 150,000 shares authorized, 150,000 shares issued and outstanding at December 31, 2025, and 150,000 shares authorized, 150,000 issued and outstanding at December 31, 2024</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176,904 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A, $0.0001 par value, 875,000,000 authorized, 103,330,156 and 93,686,980 issued and outstanding, respectively</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B, $0.0001 par value, 150,000,000 authorized, 44,188,561 and 46,138,876 issued and outstanding,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Class C Non-Voting, $0.0001 par value, 9,000,000 authorized, 0 and 0 issued and outstanding, respectively </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Treasury stock, at cost: 0 and 0 shares as of December 31, 2025 and December 31, 2024,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667,298 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(418,015)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AlTi Global, Inc. shareholders’ equity</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600,106 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658,402 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274,683 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874,789 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mezzanine equity, and shareholders’ equity</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1,176,448 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1,255,833 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93"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Operations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9"/>
        <w:gridCol w:w="1545"/>
        <w:gridCol w:w="1557"/>
        <w:gridCol w:w="109"/>
        <w:gridCol w:w="109"/>
        <w:gridCol w:w="109"/>
        <w:gridCol w:w="109"/>
        <w:gridCol w:w="243"/>
        <w:gridCol w:w="984"/>
        <w:gridCol w:w="134"/>
        <w:gridCol w:w="109"/>
        <w:gridCol w:w="109"/>
        <w:gridCol w:w="109"/>
        <w:gridCol w:w="243"/>
        <w:gridCol w:w="984"/>
        <w:gridCol w:w="134"/>
        <w:gridCol w:w="109"/>
        <w:gridCol w:w="109"/>
        <w:gridCol w:w="109"/>
        <w:gridCol w:w="241"/>
        <w:gridCol w:w="977"/>
        <w:gridCol w:w="194"/>
      </w:tblGrid>
      <w:tr>
        <w:trPr/>
        <w:tc>
          <w:tcPr>
            <w:tcW w:w="187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w:t>
            </w:r>
          </w:p>
        </w:tc>
        <w:tc>
          <w:tcPr>
            <w:tcW w:w="1739" w:type="dxa"/>
            <w:gridSpan w:val="6"/>
            <w:tcBorders/>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42,674 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198,390 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221,145 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189,793 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169,191 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328,899 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257,323 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269,371 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(73,943)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(58,933)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(48,226)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goodwill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(74,267)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TRA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preferred stock tranche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earnout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(105,129)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(123,104)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(42,175)</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(18,588)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(123,717)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(102,248)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(41,669)</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(31,353)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(269,546)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(155,070)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(174,305)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(311,215)</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attributed to non-controlling interests in subsidiaries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(145,631)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attributed to non-controlling interests in subsidiaries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(119,699)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(103,034)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(165,584)</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on the following page)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94"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Operations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85"/>
        <w:gridCol w:w="1465"/>
        <w:gridCol w:w="1470"/>
        <w:gridCol w:w="109"/>
        <w:gridCol w:w="109"/>
        <w:gridCol w:w="109"/>
        <w:gridCol w:w="109"/>
        <w:gridCol w:w="381"/>
        <w:gridCol w:w="898"/>
        <w:gridCol w:w="199"/>
        <w:gridCol w:w="109"/>
        <w:gridCol w:w="109"/>
        <w:gridCol w:w="109"/>
        <w:gridCol w:w="381"/>
        <w:gridCol w:w="898"/>
        <w:gridCol w:w="199"/>
        <w:gridCol w:w="109"/>
        <w:gridCol w:w="109"/>
        <w:gridCol w:w="109"/>
        <w:gridCol w:w="370"/>
        <w:gridCol w:w="892"/>
        <w:gridCol w:w="277"/>
      </w:tblGrid>
      <w:tr>
        <w:trPr/>
        <w:tc>
          <w:tcPr>
            <w:tcW w:w="168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from the previous page)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1"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w:t>
            </w:r>
          </w:p>
        </w:tc>
        <w:tc>
          <w:tcPr>
            <w:tcW w:w="1866"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of Class A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99,868,230 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79,692,659 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61,396,692 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99,868,230 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79,692,659 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61,396,692 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99,868,230 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79,692,659 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115,815,247 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99,868,230 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79,692,659 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61,396,692 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95"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Comprehensive Income (Loss)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29"/>
        <w:gridCol w:w="1402"/>
        <w:gridCol w:w="1402"/>
        <w:gridCol w:w="109"/>
        <w:gridCol w:w="109"/>
        <w:gridCol w:w="143"/>
        <w:gridCol w:w="143"/>
        <w:gridCol w:w="507"/>
        <w:gridCol w:w="487"/>
        <w:gridCol w:w="489"/>
        <w:gridCol w:w="143"/>
        <w:gridCol w:w="143"/>
        <w:gridCol w:w="143"/>
        <w:gridCol w:w="507"/>
        <w:gridCol w:w="487"/>
        <w:gridCol w:w="489"/>
        <w:gridCol w:w="109"/>
        <w:gridCol w:w="109"/>
        <w:gridCol w:w="109"/>
        <w:gridCol w:w="465"/>
        <w:gridCol w:w="444"/>
        <w:gridCol w:w="637"/>
      </w:tblGrid>
      <w:tr>
        <w:trPr/>
        <w:tc>
          <w:tcPr>
            <w:tcW w:w="162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1"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w:t>
            </w:r>
          </w:p>
        </w:tc>
        <w:tc>
          <w:tcPr>
            <w:tcW w:w="1873" w:type="dxa"/>
            <w:gridSpan w:val="6"/>
            <w:tcBorders/>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(155,070)</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(174,305)</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(311,215)</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Other Comprehensive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9,224 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(14,760)</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20,916 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(188,946)</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(291,063)</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attributed to non-controlling interests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(32,783)</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(76,315)</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(134,635)</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(113,088)</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(112,631)</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(156,428)</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96"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Changes in Mezzanine Equity and Shareholders’ Equity </w:t>
      </w:r>
    </w:p>
    <w:p>
      <w:pPr>
        <w:pStyle w:val="TextBody"/>
        <w:bidi w:val="0"/>
        <w:spacing w:before="0" w:after="0"/>
        <w:jc w:val="center"/>
        <w:rPr/>
      </w:pPr>
      <w:r>
        <w:rPr/>
      </w:r>
    </w:p>
    <w:p>
      <w:pPr>
        <w:pStyle w:val="TextBody"/>
        <w:bidi w:val="0"/>
        <w:spacing w:before="0" w:after="0"/>
        <w:jc w:val="center"/>
        <w:rPr/>
      </w:pPr>
      <w:r>
        <w:rPr/>
      </w:r>
    </w:p>
    <w:tbl>
      <w:tblPr>
        <w:tblW w:w="20885" w:type="dxa"/>
        <w:jc w:val="left"/>
        <w:tblInd w:w="0" w:type="dxa"/>
        <w:tblLayout w:type="fixed"/>
        <w:tblCellMar>
          <w:top w:w="28" w:type="dxa"/>
          <w:left w:w="28" w:type="dxa"/>
          <w:bottom w:w="28" w:type="dxa"/>
          <w:right w:w="28" w:type="dxa"/>
        </w:tblCellMar>
      </w:tblPr>
      <w:tblGrid>
        <w:gridCol w:w="587"/>
        <w:gridCol w:w="291"/>
        <w:gridCol w:w="293"/>
        <w:gridCol w:w="109"/>
        <w:gridCol w:w="109"/>
        <w:gridCol w:w="109"/>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524"/>
        <w:gridCol w:w="527"/>
        <w:gridCol w:w="196"/>
        <w:gridCol w:w="109"/>
        <w:gridCol w:w="109"/>
        <w:gridCol w:w="109"/>
        <w:gridCol w:w="251"/>
        <w:gridCol w:w="331"/>
        <w:gridCol w:w="109"/>
        <w:gridCol w:w="109"/>
        <w:gridCol w:w="109"/>
        <w:gridCol w:w="109"/>
        <w:gridCol w:w="480"/>
        <w:gridCol w:w="481"/>
        <w:gridCol w:w="196"/>
        <w:gridCol w:w="109"/>
        <w:gridCol w:w="109"/>
        <w:gridCol w:w="109"/>
        <w:gridCol w:w="196"/>
        <w:gridCol w:w="406"/>
        <w:gridCol w:w="109"/>
        <w:gridCol w:w="109"/>
        <w:gridCol w:w="109"/>
        <w:gridCol w:w="109"/>
        <w:gridCol w:w="211"/>
        <w:gridCol w:w="437"/>
        <w:gridCol w:w="118"/>
        <w:gridCol w:w="109"/>
        <w:gridCol w:w="109"/>
        <w:gridCol w:w="109"/>
        <w:gridCol w:w="220"/>
        <w:gridCol w:w="827"/>
        <w:gridCol w:w="124"/>
        <w:gridCol w:w="327"/>
        <w:gridCol w:w="196"/>
        <w:gridCol w:w="776"/>
        <w:gridCol w:w="109"/>
        <w:gridCol w:w="327"/>
        <w:gridCol w:w="262"/>
        <w:gridCol w:w="763"/>
        <w:gridCol w:w="146"/>
        <w:gridCol w:w="327"/>
        <w:gridCol w:w="237"/>
        <w:gridCol w:w="891"/>
        <w:gridCol w:w="133"/>
        <w:gridCol w:w="327"/>
        <w:gridCol w:w="212"/>
        <w:gridCol w:w="796"/>
        <w:gridCol w:w="118"/>
        <w:gridCol w:w="109"/>
        <w:gridCol w:w="109"/>
        <w:gridCol w:w="109"/>
        <w:gridCol w:w="1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5"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allocation to equity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2,388,633 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EEA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594,057 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PW deferred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385,279 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4,324,891 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1,950,315 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(1,950,315)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103,330,155 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44,188,561 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667,298 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274,683 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874,789 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97"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Changes in Mezzanine Equity and Shareholders’ Equity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tbl>
      <w:tblPr>
        <w:tblW w:w="19281" w:type="dxa"/>
        <w:jc w:val="left"/>
        <w:tblInd w:w="0" w:type="dxa"/>
        <w:tblLayout w:type="fixed"/>
        <w:tblCellMar>
          <w:top w:w="28" w:type="dxa"/>
          <w:left w:w="28" w:type="dxa"/>
          <w:bottom w:w="28" w:type="dxa"/>
          <w:right w:w="28" w:type="dxa"/>
        </w:tblCellMar>
      </w:tblPr>
      <w:tblGrid>
        <w:gridCol w:w="632"/>
        <w:gridCol w:w="291"/>
        <w:gridCol w:w="293"/>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203"/>
        <w:gridCol w:w="203"/>
        <w:gridCol w:w="109"/>
        <w:gridCol w:w="196"/>
        <w:gridCol w:w="406"/>
        <w:gridCol w:w="109"/>
        <w:gridCol w:w="109"/>
        <w:gridCol w:w="109"/>
        <w:gridCol w:w="109"/>
        <w:gridCol w:w="220"/>
        <w:gridCol w:w="827"/>
        <w:gridCol w:w="124"/>
        <w:gridCol w:w="109"/>
        <w:gridCol w:w="109"/>
        <w:gridCol w:w="109"/>
        <w:gridCol w:w="196"/>
        <w:gridCol w:w="776"/>
        <w:gridCol w:w="109"/>
        <w:gridCol w:w="109"/>
        <w:gridCol w:w="109"/>
        <w:gridCol w:w="109"/>
        <w:gridCol w:w="262"/>
        <w:gridCol w:w="763"/>
        <w:gridCol w:w="146"/>
        <w:gridCol w:w="327"/>
        <w:gridCol w:w="237"/>
        <w:gridCol w:w="891"/>
        <w:gridCol w:w="133"/>
        <w:gridCol w:w="327"/>
        <w:gridCol w:w="212"/>
        <w:gridCol w:w="796"/>
        <w:gridCol w:w="118"/>
        <w:gridCol w:w="109"/>
        <w:gridCol w:w="109"/>
        <w:gridCol w:w="109"/>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0"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65,110,875 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53,219,713 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536,509 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430,349 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782,493 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partner’s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shares,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280,150 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employees 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2,176,687 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to Allianz,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19,318,581 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7,080,837 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(7,080,837)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FOS deconsolidation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LXi deconsolidation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Allianz and Constellation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98"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Changes in Mezzanine Equity and Shareholders’ Equity </w:t>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tbl>
      <w:tblPr>
        <w:tblW w:w="13998" w:type="dxa"/>
        <w:jc w:val="center"/>
        <w:tblInd w:w="0" w:type="dxa"/>
        <w:tblLayout w:type="fixed"/>
        <w:tblCellMar>
          <w:top w:w="28" w:type="dxa"/>
          <w:left w:w="28" w:type="dxa"/>
          <w:bottom w:w="28" w:type="dxa"/>
          <w:right w:w="28" w:type="dxa"/>
        </w:tblCellMar>
      </w:tblPr>
      <w:tblGrid>
        <w:gridCol w:w="662"/>
        <w:gridCol w:w="291"/>
        <w:gridCol w:w="293"/>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203"/>
        <w:gridCol w:w="203"/>
        <w:gridCol w:w="109"/>
        <w:gridCol w:w="196"/>
        <w:gridCol w:w="406"/>
        <w:gridCol w:w="109"/>
        <w:gridCol w:w="109"/>
        <w:gridCol w:w="109"/>
        <w:gridCol w:w="109"/>
        <w:gridCol w:w="220"/>
        <w:gridCol w:w="827"/>
        <w:gridCol w:w="124"/>
        <w:gridCol w:w="109"/>
        <w:gridCol w:w="109"/>
        <w:gridCol w:w="109"/>
        <w:gridCol w:w="196"/>
        <w:gridCol w:w="776"/>
        <w:gridCol w:w="109"/>
        <w:gridCol w:w="109"/>
        <w:gridCol w:w="109"/>
        <w:gridCol w:w="109"/>
        <w:gridCol w:w="266"/>
        <w:gridCol w:w="756"/>
        <w:gridCol w:w="149"/>
        <w:gridCol w:w="109"/>
        <w:gridCol w:w="109"/>
        <w:gridCol w:w="109"/>
        <w:gridCol w:w="237"/>
        <w:gridCol w:w="891"/>
        <w:gridCol w:w="133"/>
        <w:gridCol w:w="109"/>
        <w:gridCol w:w="109"/>
        <w:gridCol w:w="109"/>
        <w:gridCol w:w="196"/>
        <w:gridCol w:w="87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55,388,023 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55,032,961 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434,620 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606,973 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Alvarium Employee Benefit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(145,631)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AHRA call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partner’s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AHRA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period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339,967 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1,813,248 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(1,813,248)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5,469,637 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65,110,875 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53,219,713 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536,509 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430,349 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99"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Cash Flows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67"/>
        <w:gridCol w:w="1740"/>
        <w:gridCol w:w="1752"/>
        <w:gridCol w:w="235"/>
        <w:gridCol w:w="949"/>
        <w:gridCol w:w="130"/>
        <w:gridCol w:w="109"/>
        <w:gridCol w:w="109"/>
        <w:gridCol w:w="109"/>
        <w:gridCol w:w="235"/>
        <w:gridCol w:w="949"/>
        <w:gridCol w:w="130"/>
        <w:gridCol w:w="109"/>
        <w:gridCol w:w="109"/>
        <w:gridCol w:w="109"/>
        <w:gridCol w:w="233"/>
        <w:gridCol w:w="942"/>
        <w:gridCol w:w="189"/>
      </w:tblGrid>
      <w:tr>
        <w:trPr/>
        <w:tc>
          <w:tcPr>
            <w:tcW w:w="206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w:t>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(311,215)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 net of tax</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(31,353)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(269,546)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(123,717)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(102,248)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(41,669)</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 from continuing operations:</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discounts and deferred financing costs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loss on investments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 on goodwill and intangible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TRA</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(loss) on earn-out payment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on equity method investments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warrant liability</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earnout liability</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preferred stock tranche liability</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Equity-settled share-based payments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currency (gains)/losses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from retirement of debt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Forgiveness of debt of notes receivable from members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interest rate swap</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due to changes in operating assets and liabilities</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fees receivable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(34,071)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assets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(147,384)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 from operating leases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 and accrued expenses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compensation and profit sharing</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activities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continuing operations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(51,437)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(16,188)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(146,700)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 for acquisition of TWMH and TIG historical equity</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(99,999)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Receipt of payments of notes receivable from members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 for delayed share purchase agreement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payout right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AWMS, net of cash acquired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ALWP, net of cash acquired</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(14,430)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Kontora, net of cash acquired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EEA, net of cash acquired</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PW, net of cash acquired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Envoi</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FOS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Pointwise warehousing transaction</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intangible assets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fixed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assets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from continuing operations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(107,974)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(133,642)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(Continued on the following page)</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00"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v:textbox>
                <w10:wrap type="none"/>
              </v:rect>
            </w:pict>
          </mc:Fallback>
        </mc:AlternateContent>
      </w:r>
    </w:p>
    <w:p>
      <w:pPr>
        <w:pStyle w:val="TextBody"/>
        <w:bidi w:val="0"/>
        <w:spacing w:lineRule="auto" w:line="288" w:before="0" w:after="0"/>
        <w:jc w:val="left"/>
        <w:rPr/>
      </w:pPr>
      <w:hyperlink w:anchor="ibc60093317224b6d85d22cddd06e6e09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 of Cash Flows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87"/>
        <w:gridCol w:w="1708"/>
        <w:gridCol w:w="1715"/>
        <w:gridCol w:w="281"/>
        <w:gridCol w:w="927"/>
        <w:gridCol w:w="156"/>
        <w:gridCol w:w="109"/>
        <w:gridCol w:w="109"/>
        <w:gridCol w:w="109"/>
        <w:gridCol w:w="281"/>
        <w:gridCol w:w="927"/>
        <w:gridCol w:w="156"/>
        <w:gridCol w:w="109"/>
        <w:gridCol w:w="109"/>
        <w:gridCol w:w="109"/>
        <w:gridCol w:w="277"/>
        <w:gridCol w:w="914"/>
        <w:gridCol w:w="222"/>
      </w:tblGrid>
      <w:tr>
        <w:trPr/>
        <w:tc>
          <w:tcPr>
            <w:tcW w:w="198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(Continued from the previous page)</w:t>
            </w:r>
          </w:p>
        </w:tc>
        <w:tc>
          <w:tcPr>
            <w:tcW w:w="47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w:t>
            </w:r>
          </w:p>
        </w:tc>
      </w:tr>
      <w:tr>
        <w:trPr/>
        <w:tc>
          <w:tcPr>
            <w:tcW w:w="5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preferred stock and Constellation Warrants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preferred stock tranche right liability</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Member contribution (distribution)</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term notes and lines of credit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(97,810)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on term notes and lines of credit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223,500 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 for earnout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on net settled share-based compensation awards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payments on behalf of Umbrella partners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distributions due to former TIG members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receipts from exercise of Warrants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stock and Constellation Warrants issuance costs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common stock issuance costs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stock tranche right liability issuance costs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 of earn-in liability</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former owners of AWMS and ALWP</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 from continuing operations</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98,662 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Discontinued Operations: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discontinued operations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64,995 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from discontinued operations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 from discontinued operations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(62,643)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discontinued operations</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including discontinued operations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(178,634)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 including discontinued operations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 at beginning of the period</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194,086 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 at end of the period</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18,245 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 of discontinued operations, at end of the period</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16,514 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541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bl>
    <w:tbl>
      <w:tblPr>
        <w:tblW w:w="9216" w:type="dxa"/>
        <w:jc w:val="left"/>
        <w:tblInd w:w="0" w:type="dxa"/>
        <w:tblLayout w:type="fixed"/>
        <w:tblCellMar>
          <w:top w:w="28" w:type="dxa"/>
          <w:left w:w="28" w:type="dxa"/>
          <w:bottom w:w="28" w:type="dxa"/>
          <w:right w:w="28" w:type="dxa"/>
        </w:tblCellMar>
      </w:tblPr>
      <w:tblGrid>
        <w:gridCol w:w="1914"/>
        <w:gridCol w:w="1681"/>
        <w:gridCol w:w="1685"/>
        <w:gridCol w:w="196"/>
        <w:gridCol w:w="646"/>
        <w:gridCol w:w="109"/>
        <w:gridCol w:w="109"/>
        <w:gridCol w:w="109"/>
        <w:gridCol w:w="109"/>
        <w:gridCol w:w="196"/>
        <w:gridCol w:w="646"/>
        <w:gridCol w:w="109"/>
        <w:gridCol w:w="196"/>
        <w:gridCol w:w="406"/>
        <w:gridCol w:w="109"/>
        <w:gridCol w:w="196"/>
        <w:gridCol w:w="646"/>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985" w:type="dxa"/>
            <w:gridSpan w:val="12"/>
            <w:tcBorders/>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balance sheet cash and cash equivalents to cash flows: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on balance sheet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included in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cash in Assets held for sale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Paid During the Period for: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payments on term notes and lines of credit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portion of earn-in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portion of earn-out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01"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2"/>
        </w:rPr>
      </w:pPr>
      <w:r>
        <w:rPr>
          <w:rFonts w:ascii="Times New Roman;serif" w:hAnsi="Times New Roman;serif"/>
          <w:b/>
          <w:color w:val="000000"/>
          <w:sz w:val="22"/>
        </w:rPr>
        <w:t>(1)Description of the Business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manage or advise approximately $93.1 billion in combined assets as of December 31, 2025. We have approximately 490 professionals operating in 19 cities in 9 countries across three continents as of December 31, 2025. We provide holistic solutions for our wealth management and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Separately, we have one internally managed fund and stakes in three Externally-Managed Funds in our alternatives platform, with a largely institutional client base.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Business Combination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was initially incorporated in the Cayman Islands as Cartesian Growth Capital, a special purpose acquisition company. In anticipation of the Business Combination:</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The holders of the equity of TWMH and the TIG Entities contributed their TWMH and TIG equity to Umbrella making TWMH and the TIG Entities wholly-owned subsidiaries of Umbrella.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Alvarium reorganized such that it became the wholly-owned indirect subsidiary of AlTi Global Topco.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Cartesian SPAC formed Umbrella Merger Sub.</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Pursuant to the Business Combination on January 3, 2023: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The Company was redomiciled as a Delaware corporation and changed its name to Alvarium Tiedemann Holdings, Inc. Effective April 19, 2023, Alvarium Tiedemann Holdings, Inc. changed its name to AlTi Global, Inc.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The Registrant acquired all the outstanding share capital of AlTi Global Topco.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Umbrella Merger Sub, LLC merged into Umbrella with AlTi Global Capital, LLC, formerly known as Alvarium Tiedemann Capital, LLC, as the surviving entity.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Company acquired 51% of the equity interests of Umbrella, while the existing TWMH and TIG rollover shareholders hold a 49% economic interest in Umbrella. Umbrella holds 100% of the equity interests of TWMH, TIG, and Alvarium.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Capital Structure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has the following classes of shares and other instruments outstanding: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A Common Stock – Shares of Class A Common Stock that are publicly traded. Class A shareholders are entitled to dividends on shares of Class A Common Stock declared by the Board. As of December 31, 2025, the shares of Class A Common Stock represent 70.0% of the total voting power of all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02"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 xml:space="preserve">Class B Common Stock – Shares of Class B Common Stock that are not publicly traded. Class B shareholders are entitled to distributions declared by the Board. The distributions are paid by Umbrella. As of December 31, 2025, the shares of Class B Common Stock represent 30.0% of the total voting power of all shares of Common Stock.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2023 to June 30, 2023 resulted in an increase in Additional paid-in-capital amount of $29.5 million. As of December 31, 2024, none of such Warrants were outstanding.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Series A Preferred Stock – On July 31, 2024, the Company completed the sale (the “Investment”) to Allianz (together with the Investment, the “Allianz Transaction”) of (i) 140,000 shares of Series A Preferred Stock and (ii) 19,318,580.96 shares of Class A Common Stock for an aggregate purchase price equal to $250 million (the “Allianz Closing”) and issued to Allianz warrants (the “Allianz Warrants”) to purchase 5,000,000 shares of Class A Common Stock at an exercise price of $7.40 per share pursuant to an Investment Agreement dated February 22, 2024, by and between the Company and Allianz (the “Allianz Investment Agreement”). The Allianz Warrants are classified as a component of equity in the line item Additional paid-in capital on the Company’s Consolidated Statement of Financial Position as of December 31, 2025 and 2024 and no Allianz Warrants were exercised during these reporting periods.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Series A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50% in shares of Series A Preferred Stock, which will increase the stated value of the issued shares of Series A Preferred Stock, and 50% in shares of Class A Common Stock. The Series A Preferred Stock will also participate with any dividends or distributions declared on the Class A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on February 22, 2024, the Company entered into a Supplemental Series A Preferred Stock Investment Agreement with Allianz (the “Supplemental Investment Agreement”), pursuant to which, for purposes of funding one or more strategic international acquisitions by the Company or its subsidiaries, Allianz is permitted, at its option, to purchase up to 50,000 additional shares of Series A Preferred Stock up to an aggregate amount equal to $50 million (the “Allianz Tranche Right”). On May 13, 2025, Allianz exercised the Allianz Tranche Right to purchase an additional 18,471 shares of Series A Preferred Stock at $1,000 per share. Additional Series A Preferred Stock issued upon exercise of the Allianz Tranche Right will abide by the same terms and conditions in the Allianz Investment Agreement at a price of $1,000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the Series A Preferred Stock of 168,934 is inclusive of dividends paid in kind as of such date and is classified under mezzanine equity on the Company’s Consolidated Statement of Financial Position. An additional 1,523,289 shares of Class A Common Stock were issued to Allianz as part of the 50% dividends paid in kind. The Series A Preferred Stock has no voting rights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03"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an ownership cap of 24.9% of the aggregate issued and outstanding shares of Class A Common Stock and Class B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Allianz Closing, on July 31, 2024 the Company (i) adopted and filed with the Secretary of State of the State of Delaware (x) a certificate of designations for the Series A Preferred Stock setting forth the rights, preferences, privileges and restrictions applicable to the Series A Preferred Stock and (y) an amendment to the Company’s certificate of incorporation to authorize and designate the Company’s Class C Non-Voting Common Stock, par value $0.0001 per share (the “Non-Voting Common Stock”), which was previously approved by the Company’s stockholders, and (ii) entered into an Investor Rights Agreement with Allianz pursuant to which, among other items, Allianz will have the right to nominate two directors to the Board until such time as Allianz ceases to own at least 50% of the initial shares of Class A Common Stock acquired at the Allianz Closing. The Non-Voting Common Stock will be issued to Allianz if the 24.9% ownership cap is triggered.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Also in connection with the Allianz Closing, the Company and AlTi Global Capital, LLC, a wholly-owned subsidiary of the Company, entered into the Fourth Amended and Restated Limited Liability Company Agreement of AlTi Global Capital, LLC (the “Umbrella LLC Agreement”) to create preferred and common units of AlTi Global Capital, LLC that mirror the rights, preferences, privileges and restrictions applicable to the Series A Preferred Stock, which were issued at the Allianz Closing and the Company’s Non-Voting Common Stock, which may be issued in the future to Allianz.</w:t>
      </w:r>
      <w:r>
        <w:rPr>
          <w:color w:val="000000"/>
        </w:rPr>
        <w:t xml:space="preserve"> </w:t>
      </w:r>
      <w:r>
        <w:rPr>
          <w:rFonts w:ascii="Times New Roman;serif" w:hAnsi="Times New Roman;serif"/>
          <w:b w:val="false"/>
          <w:color w:val="000000"/>
          <w:sz w:val="22"/>
        </w:rPr>
        <w:t xml:space="preserve">The Umbrella LLC Agreement was also amended to reflect the creation of preferred units of AlTi Global Capital, LLC that mirror the rights, preferences, privileges and restrictions applicable to the Series C Preferred Stock previously issued to Constellation.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Series C Preferred Stock – Shares of Series C Preferred Stock that are not publicly traded and issued in connection with the sale of 150,000 shares of Series C Preferred Stock that occurred in two transactions (the “Transactions”) to Constellation AlTi Investor LLC, an affiliate of Constellation Wealth Capital, LLC (“Constellation”) (collectively, the “Constellation Transaction”),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payment in kind increases in the stated value of the shares issued of Series C Preferred Stock or in cash. The Series C Preferred Stock will also participate with any dividends or distributions declared on the Class A Common Stock. As of December 31, 2025, the 150,000 outstanding shares of Series C Preferred Stock represent 7.5% of the total voting power of all shares. The Series C Preferred Stock is classified under mezzanine equity on the Company’s Consolidated Statement of Financial Position.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Constellation Transaction, the Company issued warrants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These warrants have been classified as a component of equity in the line item Additional paid-in capital on the Company’s Consolidated Statement of Financial Position as of December 31, 2025 and 2024 and no Constellation Warrants were exercised during these reporting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04"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AlTi’s capital structure as of December 31, 2025 is reflected below: </w:t>
      </w:r>
    </w:p>
    <w:p>
      <w:pPr>
        <w:pStyle w:val="TextBody"/>
        <w:bidi w:val="0"/>
        <w:spacing w:before="0" w:after="0"/>
        <w:jc w:val="left"/>
        <w:rPr/>
      </w:pPr>
      <w:r>
        <w:rPr/>
      </w:r>
    </w:p>
    <w:p>
      <w:pPr>
        <w:pStyle w:val="TextBody"/>
        <w:bidi w:val="0"/>
        <w:spacing w:before="0" w:after="0"/>
        <w:jc w:val="left"/>
        <w:rPr/>
      </w:pPr>
      <w:r>
        <w:rPr/>
        <w:drawing>
          <wp:inline distT="0" distB="0" distL="0" distR="0">
            <wp:extent cx="6943725" cy="5381625"/>
            <wp:effectExtent l="0" t="0" r="0" b="0"/>
            <wp:docPr id="10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 descr=""/>
                    <pic:cNvPicPr>
                      <a:picLocks noChangeAspect="1" noChangeArrowheads="1"/>
                    </pic:cNvPicPr>
                  </pic:nvPicPr>
                  <pic:blipFill>
                    <a:blip r:embed="rId4"/>
                    <a:stretch>
                      <a:fillRect/>
                    </a:stretch>
                  </pic:blipFill>
                  <pic:spPr bwMode="auto">
                    <a:xfrm>
                      <a:off x="0" y="0"/>
                      <a:ext cx="6943725" cy="5381625"/>
                    </a:xfrm>
                    <a:prstGeom prst="rect">
                      <a:avLst/>
                    </a:prstGeom>
                  </pic:spPr>
                </pic:pic>
              </a:graphicData>
            </a:graphic>
          </wp:inline>
        </w:drawing>
      </w:r>
      <w:bookmarkStart w:id="3" w:name="i-3"/>
      <w:bookmarkEnd w:id="3"/>
    </w:p>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number of shares of the Company that were issued and outstanding as of December 31, 2025 and 2024:</w:t>
      </w:r>
    </w:p>
    <w:tbl>
      <w:tblPr>
        <w:tblW w:w="5965" w:type="dxa"/>
        <w:jc w:val="left"/>
        <w:tblInd w:w="0" w:type="dxa"/>
        <w:tblLayout w:type="fixed"/>
        <w:tblCellMar>
          <w:top w:w="28" w:type="dxa"/>
          <w:left w:w="28" w:type="dxa"/>
          <w:bottom w:w="28" w:type="dxa"/>
          <w:right w:w="28" w:type="dxa"/>
        </w:tblCellMar>
      </w:tblPr>
      <w:tblGrid>
        <w:gridCol w:w="743"/>
        <w:gridCol w:w="654"/>
        <w:gridCol w:w="658"/>
        <w:gridCol w:w="589"/>
        <w:gridCol w:w="589"/>
        <w:gridCol w:w="591"/>
        <w:gridCol w:w="109"/>
        <w:gridCol w:w="109"/>
        <w:gridCol w:w="109"/>
        <w:gridCol w:w="530"/>
        <w:gridCol w:w="530"/>
        <w:gridCol w:w="7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br/>
              <w:t>2024</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103,330,156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93,686,980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44,188,561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46,138,876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06"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Segments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business is currently organized into one operating segment. Prior to the third quarter ended September 30, 2025, the Company was organized into two operating segments: Wealth &amp; Capital Solutions and International Real Estate. The Company previously conducted a strategic review of the International Real Estate Businesses and, based on the conclusion that they were not a core part of its long-term strategy, re-organized its reportable segments in the third quarter of 2024. That change resulted in two reportable segments: Wealth &amp; Capital Solutions and International Real Estate, and prior period data was recast for comparative purposes. On July 11, 2025, the Board approved a plan to appoint administrators over each of the entities International Real Estate Businesses. See Note 3 (Discontinued Operations) for further information. As such, during the third quarter ended September 30, 2025, the Company disposed of its International Real Estate segment, and is now organized as one reportable segment as of September 30, 2025. </w:t>
      </w:r>
    </w:p>
    <w:p>
      <w:pPr>
        <w:pStyle w:val="TextBody"/>
        <w:bidi w:val="0"/>
        <w:spacing w:lineRule="auto" w:line="26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Overview</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Results generated by our operating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UHNW individuals, families, single-family offices, foundations, and endowments globally, while Alternatives Platform clients are typically institutional. Investment management or advisory fees, incentive fees, and distributions from investments are the primary sources of revenue in our operating segment. Management fees are generally calculated based on a percentage of the value of billable AUM or AUA (as applicable), while incentive fees are driven by the underlying performance of managed portfolios. As of December 31, 2025 and 2024, this segment had $93.1 billion and $67.3 billion, respectively, in AUA.</w:t>
      </w:r>
    </w:p>
    <w:p>
      <w:pPr>
        <w:pStyle w:val="TextBody"/>
        <w:bidi w:val="0"/>
        <w:spacing w:lineRule="auto" w:line="292" w:before="200" w:after="283"/>
        <w:jc w:val="both"/>
        <w:rPr>
          <w:rFonts w:ascii="Times New Roman;serif" w:hAnsi="Times New Roman;serif"/>
          <w:b/>
          <w:i/>
          <w:color w:val="000000"/>
          <w:sz w:val="22"/>
        </w:rPr>
      </w:pPr>
      <w:r>
        <w:rPr>
          <w:rFonts w:ascii="Times New Roman;serif" w:hAnsi="Times New Roman;serif"/>
          <w:b/>
          <w:i/>
          <w:color w:val="000000"/>
          <w:sz w:val="22"/>
        </w:rPr>
        <w:t>Investment Management and Advisory Services</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In building portfolios, we also consider the need to access funds for unexpected expenses, thereby seeking to avoid forced selling of assets at inopportune times, and for clients in certain jurisdictions, such as the U.S., we are focused on understanding tax considerations and optimizing for after tax returns. In addition, we offer robust Impact Investing services that can be delivered across a broad range of asset classes.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established a platform that provides wealth management clients access to investment opportunities in strategies and asset classes that would otherwise be difficult to access, including due to the very high minimum investment thresholds of many underlying funds. For example, through our private markets partnership with Allianz, clients are able to participate in strategies that might not otherwise be available to them. We operate several vehicles focused on vintage private equity, credit, real estate, active global managers and hedge fund strategies. These vehicles may invest in either a single underlying private equity fund or a portfolio of private equity or other alternative assets funds, each managed by access constrained managers that we select through a disciplined manager selection process intended to identify those we believe can deliver strong risk- adjusted performance. We intend to continue launching additional vintages of these private market vehicles over time, allowing investment management and advisory clients to include an allocation to these alternative funds on a recurring basis. These private strategies are expected to include traditional as well as innovative and Impact Investing offerings.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independence of our investment management and advisory services is a central principle for our wealth management and OCIO clients. Our services operate independently of any asset managers or investment product providers, including those affiliated with us, to which we may allocate or recommend allocations.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07"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utilize an open architecture approach, designed to identify appropriate investment solutions in the marketplace that align with our client’s objectives. We do not receive undisclosed forms of compensation and our investment decisions and recommendations are made solely with the best interests of each client in mind.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provide clients with performance reports, detailing the clients’ portfolio performance and comparing such performance to relevant benchmarks or indices. The reporting can also include information encompassing assets that are not in the portfolio managed by AlTi to provide clients a consolidated view of all their assets. We are also able to report on impact performance for those clients interested in tracking impact specific metrics, in addition to their financial performance. </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Trust Services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trust services that we provide within our U.S. wealth service offering aim to ensure our clients’ wealth is preserved, protected, and distributed as intended. As of December 31, 2025, these services are primarily provided from Delaware, which is one of the most well-developed trust legal regimes in the United States. Our trust services include creating or modifying trust instruments and acting as fiduciary in a full, directed or executor capacity.</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Family Office Services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family office services are tailored outsourced family office solutions and administrative services which we provide primarily to our larger clients. Our family office services cover: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bookkeeping and back office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private foundation management and grant making;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oversight of trust administration;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financial tracking and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cash flow management &amp; bill pay;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other financial services.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also offer clients estate and wealth planning, family governance and education, and philanthropic and strategic services.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part of 2024, the Company also had a European trust and private office services business which was deemed non-strategic to the business and was sold on May 8, 2024. See Note 4 (Business Combinations and Divestitures).</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alternatives platform assists money managers in building their fund management businesses. We have one internally managed fund and stakes in three Externally-Managed Funds. Our internally-managed fund, TIG Arbitrage, is an event-driven fund. It is managed by our subsidiary TIG Advisors, LLC, an SEC-registered investment advisor. In addition, we have made strategic investments with External Strategic Managers, who manage approximately $5.5 billion of AUM in the aggregate as of December 31, 2025. The strategies of these External Strategic Managers include real estate bridge lending, European long/short equities, and Asian credit and special situations.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and strategy.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08"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Internally Managed Funds</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Event-Driven Global Merger Arbitrage</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TIG Arbitrage strategy is our event-driven strategy based in New York. This strategy, which has approximately $1.8 billion of AUM as of December 31, 2025, focuses on 0-to-30-day events within the merger process. The investment team employs deep research on each situation in the portfolio with a focus on complex, hostile, up-for-sale situations where our primary research work can drive uncorrelated alpha. Our research and investment process is focused on hard catalyst events and is not dependent on deal flow.</w:t>
      </w:r>
    </w:p>
    <w:p>
      <w:pPr>
        <w:pStyle w:val="TextBody"/>
        <w:bidi w:val="0"/>
        <w:spacing w:lineRule="auto" w:line="268" w:before="180" w:after="283"/>
        <w:jc w:val="both"/>
        <w:rPr>
          <w:rFonts w:ascii="Times New Roman;serif" w:hAnsi="Times New Roman;serif"/>
          <w:b w:val="false"/>
          <w:i/>
          <w:color w:val="000000"/>
          <w:sz w:val="22"/>
        </w:rPr>
      </w:pPr>
      <w:r>
        <w:rPr>
          <w:rFonts w:ascii="Times New Roman;serif" w:hAnsi="Times New Roman;serif"/>
          <w:b w:val="false"/>
          <w:i/>
          <w:color w:val="000000"/>
          <w:sz w:val="22"/>
        </w:rPr>
        <w:t>Externally Managed Funds</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Romspen—Real Estate Bridge Lending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manager is based in Toronto and focuses on complex construction, term, and pre-development bridge loans throughout North America. The strategy has approximately $1.9 billion of AUA as of December 31, 2025. Their experience with mortgages dates back to the 1950s when the firm operated as a real estate law firm and entered the mortgage lending business in the 1960s. The manager converted its individual mortgage syndication business to a commingled fund in early 2006. The strategy’s diversified portfolio primarily consists of first lien mortgages with little to no structural leverage. </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Zebedee—European Equities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This manager focused on European equities is based in London. The strategy has approximately $2.5 billion of AUA as of December 31, 2025. Founded in 2001, the manager trades the portfolio actively with absolute return-oriented focus on financials, cyclicals, and mining and minerals. The strategy is market agnostic and runs with a variable net exposure, equally comfortable net long or net short.</w:t>
      </w:r>
    </w:p>
    <w:p>
      <w:pPr>
        <w:pStyle w:val="TextBody"/>
        <w:bidi w:val="0"/>
        <w:spacing w:lineRule="auto" w:line="26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Arkkan—Asian Credit and Special Situations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This manager has operated an Asia credit and special situations strategy based in Hong Kong since 2013. The strategy has approximately $1.1 billion of AUA as of December 31, 2025. They have more than 25 years of experience investing in performing, stressed, and distressed bonds and loans throughout the Asia Pacific region. We believe its on-the-ground expertise and deep local network make them well-positioned to capitalize on an under-researched and inefficient market with limited competition and attractive levels of stressed and distressed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(2)Summary of Significant Accounting Policies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(a)Basis of Presentation</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accompanying audited consolidated financial statements comprise the financial statements of the Company and its subsidiaries. These consolidated financial statements have been prepared under the accrual basis of accounting in accordance with U.S. GAAP and conform to prevailing practices within the financial services industry, as applicable to the Company. The notes are an integral part of the Company’s consolidated financial statements. In the opinion of management, all adjustments necessary for a fair presentation of the Company’s consolidated financial statements have been included and are of a normal and recurring nature.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09"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before="0" w:after="0"/>
        <w:jc w:val="both"/>
        <w:rPr/>
      </w:pPr>
      <w:r>
        <w:rPr/>
      </w:r>
    </w:p>
    <w:p>
      <w:pPr>
        <w:pStyle w:val="TextBody"/>
        <w:bidi w:val="0"/>
        <w:spacing w:lineRule="auto" w:line="288" w:before="0" w:after="0"/>
        <w:ind w:left="0" w:right="0" w:hanging="540"/>
        <w:jc w:val="left"/>
        <w:rPr>
          <w:rFonts w:ascii="Times New Roman;serif" w:hAnsi="Times New Roman;serif"/>
          <w:b/>
          <w:i/>
          <w:color w:val="000000"/>
          <w:sz w:val="22"/>
        </w:rPr>
      </w:pPr>
      <w:r>
        <w:rPr>
          <w:rFonts w:ascii="Times New Roman;serif" w:hAnsi="Times New Roman;serif"/>
          <w:b/>
          <w:i/>
          <w:color w:val="000000"/>
          <w:sz w:val="22"/>
        </w:rPr>
        <w:t>(b)Use of Estimates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preparation of financial statements in conformity with US GAAP requires management to make assumptions and estimates that affect the amounts reported in the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consolidated financial statements are reasonable and prudent, actual results could differ materially from those estimates.</w:t>
      </w:r>
    </w:p>
    <w:p>
      <w:pPr>
        <w:pStyle w:val="TextBody"/>
        <w:bidi w:val="0"/>
        <w:spacing w:lineRule="auto" w:line="288" w:before="200" w:after="283"/>
        <w:ind w:left="0" w:right="0" w:hanging="540"/>
        <w:jc w:val="both"/>
        <w:rPr/>
      </w:pPr>
      <w:r>
        <w:rPr>
          <w:rFonts w:ascii="Times New Roman;serif" w:hAnsi="Times New Roman;serif"/>
          <w:b/>
          <w:i/>
          <w:color w:val="000000"/>
          <w:sz w:val="22"/>
        </w:rPr>
        <w:t>(c)</w:t>
      </w:r>
      <w:r>
        <w:rPr>
          <w:rFonts w:ascii="Times New Roman;serif" w:hAnsi="Times New Roman;serif"/>
          <w:b/>
          <w:i/>
          <w:color w:val="000000"/>
          <w:sz w:val="22"/>
          <w:shd w:fill="FFFFFF" w:val="clear"/>
        </w:rPr>
        <w:t>Consolidation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10"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(d)Revenue Recognition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Management/Advisory Fees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11"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services provided to each client account, the Company charges an investment management fee, inclusive of custody and/or trustee fees, based on the fair value of the AUM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Consolidated Statement of Financial Position.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family office services business is also included in the Management/advisory fees line item. Family office services fees are generally structured to reflect an annual agreed upon fee or they can be structured on a project/time-based fee. Family office services fees are typically billed quarterly in arrears. We also generate family office services project/time-based fees arising from accounting, administration fees, set up, the Foreign Account Tax Compliance Act (“FATCA”), and other non-investment advisory services.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Other Fees/Income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generates brokerage fees which are similar to arrangement fees except that they are generally paid for assisting public companies in raising capital.</w:t>
      </w:r>
    </w:p>
    <w:p>
      <w:pPr>
        <w:pStyle w:val="TextBody"/>
        <w:bidi w:val="0"/>
        <w:spacing w:lineRule="auto" w:line="26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(e)Distributions from Investments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pStyle w:val="TextBody"/>
        <w:bidi w:val="0"/>
        <w:spacing w:lineRule="auto" w:line="26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(f)Cash and Cash Equivalents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Cash and cash equivalents primarily consist of cash and highly liquid investments with original maturities of three months or less at the date of purchase. The Company invests its excess cash primarily in money market funds or demand deposit accounts of major financial institutions. Accordingly, the Company’s cash and cash equivalents are subject to minimal credit and market risk. Cash balances maintained by consolidated VIEs are not considered legally restricted and are included in cash and cash equivalents on the Consolidated Statement of Financial Position.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12"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(g)Restricted Cash and Cash Equivalents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Restricted cash and cash equivalents consist of balances that are restricted as to withdrawal or usage.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As of December 31, 2025 and December 31, 2024, restricted cash and cash equivalents amounted to $7.0 million and $9.1 million, respectively, and are included in the line item Cash and cash equivalents on the Consolidated Statement of Financial Position as of such dates. These amounts represent collateral held as well as the level of liquidity to be maintained by the Company’s certain subsidiaries to meet regulatory requirements. Failing to meet the requirement could lead to censure, fines, and ultimately a loss of license.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 xml:space="preserve">(h)Concentration of Credit Risk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Financial instruments that potentially expose the Company to concentration of credit risk consist primarily of cash and cash equivalents. 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2025, its risk related to deposits exceeding federally insured limits was not significant.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(i)Compensation and Employee Benefits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Cash-Based Compensation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Compensation and benefits consist of salaries, bonuses, commissions, benefits and payroll taxes. Compensation is accrued over the related service period.</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Equity-Based Compensation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for time-based awards or recognized over a graded-vesting period for awards with both a service and market condition, as applicable.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benefits or expenses in the Consolidated Statement of Operations.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 xml:space="preserve">(j)Foreign Currency Translation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functional currency for the Company’s foreign subsidiaries is based on the subsidiaries’ financial and operational environment and is the applicable local currency. Revenues, expenses, assets and liabilities denominated in non-functional currencies are recorded in the appropriate functional currency at rate of exchange prevailing at the transaction date. Monetary assets and liabilities denominated in non-functional currencies are remeasured at the end of each reporting period at the exchange rate as of such date. Foreign currency remeasurement gains or losses on monetary assets and liabilities in non-functional currencies are recognized in the Consolidated Statement of Operations within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13"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Since the consolidated financial statements are prepared in U.S. dollars, the Company also translates all non-U.S. dollar functional currency revenues, expenses, assets and liabilities into U.S. dollars. All non-U.S. dollar functional currency revenue and expenses are translated into U.S. dollars at average exchange rates during the period. All non-U.S. dollar functional assets and liabilities are translated at the exchange rates at the end of reporting period. Gains or losses on translation in the financial statements are included as a component of other comprehensive income. </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(k)Income Taxes</w:t>
      </w:r>
    </w:p>
    <w:p>
      <w:pPr>
        <w:pStyle w:val="TextBody"/>
        <w:bidi w:val="0"/>
        <w:spacing w:lineRule="auto" w:line="288" w:before="200" w:after="283"/>
        <w:jc w:val="both"/>
        <w:rPr/>
      </w:pPr>
      <w:r>
        <w:rPr>
          <w:rFonts w:ascii="Times New Roman;serif" w:hAnsi="Times New Roman;serif"/>
          <w:b w:val="false"/>
          <w:color w:val="000000"/>
          <w:sz w:val="22"/>
        </w:rPr>
        <w:t xml:space="preserve">The Company accounts for income taxes under the asset and liability method in accordance with ASC 740, </w:t>
      </w:r>
      <w:r>
        <w:rPr>
          <w:rFonts w:ascii="Times New Roman;serif" w:hAnsi="Times New Roman;serif"/>
          <w:b w:val="false"/>
          <w:i/>
          <w:color w:val="000000"/>
          <w:sz w:val="22"/>
        </w:rPr>
        <w:t>Income Taxes</w:t>
      </w:r>
      <w:r>
        <w:rPr>
          <w:rFonts w:ascii="Times New Roman;serif" w:hAnsi="Times New Roman;serif"/>
          <w:b w:val="false"/>
          <w:color w:val="000000"/>
          <w:sz w:val="22"/>
        </w:rPr>
        <w:t>.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Consolidated Statement of Operations in the period that includes the enactment date. Valuation allowances are established when necessary to reduce deferred tax assets to an amount that, in the opinion of management, is more likely than not to not be realized, meaning the likelihood of realization is less than 50%.</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(l)Other Assets, Net and Other Liabilities,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Other assets, net include prepaid expenses, miscellaneous receivables, current income taxes receivable, fixed assets, and software licenses. The Company amortizes assets over their respective useful lives,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liabilities, net include accrued payroll and payroll related taxes, accrued legal fees, and corporate taxes payable, among other miscellaneous payables.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(m)Investments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erif" w:hAnsi="Times New Roman;serif"/>
          <w:b w:val="false"/>
          <w:i/>
          <w:color w:val="000000"/>
          <w:sz w:val="22"/>
        </w:rPr>
        <w:t>Investments in Debt Securities.</w:t>
      </w:r>
      <w:r>
        <w:rPr>
          <w:color w:val="000000"/>
        </w:rPr>
        <w:t xml:space="preserve"> </w:t>
      </w:r>
      <w:r>
        <w:rPr>
          <w:rFonts w:ascii="Times New Roman;serif" w:hAnsi="Times New Roman;serif"/>
          <w:b w:val="false"/>
          <w:color w:val="000000"/>
          <w:sz w:val="22"/>
        </w:rPr>
        <w:t>The Company classifies debt investments as held-to-maturity or trading based on the Company’s intent and ability to hold the debt security to maturity or its intent to sell the security. The Company does not have any held-to-maturity debt investments.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Trading securities are those investments that are purchased principally for the purpose of selling them in the near term. Trading securities are carried at fair value on the Consolidated Statement of Financial Position with changes in fair value recorded in Loss on investments on the Consolidated Statement of Operations.</w:t>
      </w:r>
    </w:p>
    <w:p>
      <w:pPr>
        <w:pStyle w:val="TextBody"/>
        <w:bidi w:val="0"/>
        <w:spacing w:lineRule="auto" w:line="288" w:before="200" w:after="283"/>
        <w:jc w:val="both"/>
        <w:rPr/>
      </w:pPr>
      <w:r>
        <w:rPr>
          <w:rFonts w:ascii="Times New Roman;serif" w:hAnsi="Times New Roman;serif"/>
          <w:b w:val="false"/>
          <w:i/>
          <w:color w:val="000000"/>
          <w:sz w:val="22"/>
        </w:rPr>
        <w:t>Investments in Equity Securities</w:t>
      </w:r>
      <w:r>
        <w:rPr>
          <w:rFonts w:ascii="Times New Roman;serif" w:hAnsi="Times New Roman;serif"/>
          <w:b w:val="false"/>
          <w:color w:val="000000"/>
          <w:sz w:val="22"/>
        </w:rPr>
        <w:t xml:space="preserve">. Equity securities are generally carried at fair value on the Consolidated Statement of Financial Position in accordance with ASC 321, </w:t>
      </w:r>
      <w:r>
        <w:rPr>
          <w:rFonts w:ascii="Times New Roman;serif" w:hAnsi="Times New Roman;serif"/>
          <w:b w:val="false"/>
          <w:i/>
          <w:color w:val="000000"/>
          <w:sz w:val="22"/>
        </w:rPr>
        <w:t>Investments – Equity Securities</w:t>
      </w:r>
      <w:r>
        <w:rPr>
          <w:rFonts w:ascii="Times New Roman;serif" w:hAnsi="Times New Roman;serif"/>
          <w:b w:val="false"/>
          <w:color w:val="000000"/>
          <w:sz w:val="22"/>
        </w:rPr>
        <w:t>. Changes in fair value are recorded in Loss on investments on the Consolidated Statement of Operations.</w:t>
      </w:r>
    </w:p>
    <w:p>
      <w:pPr>
        <w:pStyle w:val="TextBody"/>
        <w:bidi w:val="0"/>
        <w:spacing w:lineRule="auto" w:line="288" w:before="200" w:after="283"/>
        <w:jc w:val="both"/>
        <w:rPr/>
      </w:pPr>
      <w:r>
        <w:rPr>
          <w:rFonts w:ascii="Times New Roman;serif" w:hAnsi="Times New Roman;serif"/>
          <w:b w:val="false"/>
          <w:i/>
          <w:color w:val="000000"/>
          <w:sz w:val="22"/>
        </w:rPr>
        <w:t>Equity Method</w:t>
      </w:r>
      <w:r>
        <w:rPr>
          <w:rFonts w:ascii="Times New Roman;serif" w:hAnsi="Times New Roman;serif"/>
          <w:b w:val="false"/>
          <w:color w:val="000000"/>
          <w:sz w:val="22"/>
        </w:rPr>
        <w:t xml:space="preserve">. The Company applies the equity method of accounting for equity investments where the Company does not consolidate the investee but can exert significant 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14"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pPr>
      <w:r>
        <w:rPr>
          <w:rFonts w:ascii="Times New Roman;serif" w:hAnsi="Times New Roman;serif"/>
          <w:b w:val="false"/>
          <w:color w:val="000000"/>
          <w:sz w:val="22"/>
        </w:rPr>
        <w:t xml:space="preserve">share of net income of the investee is recorded based upon the most current information available at the time, which may precede the date of the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 </w:t>
      </w:r>
      <w:r>
        <w:rPr>
          <w:rFonts w:ascii="Times New Roman;serif" w:hAnsi="Times New Roman;serif"/>
          <w:b w:val="false"/>
          <w:i/>
          <w:color w:val="000000"/>
          <w:sz w:val="22"/>
        </w:rPr>
        <w:t>Financial Instruments</w:t>
      </w:r>
      <w:r>
        <w:rPr>
          <w:rFonts w:ascii="Times New Roman;serif" w:hAnsi="Times New Roman;serif"/>
          <w:b w:val="false"/>
          <w:color w:val="000000"/>
          <w:sz w:val="22"/>
        </w:rPr>
        <w:t xml:space="preserv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(n)Leases</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serif" w:hAnsi="Times New Roman;serif"/>
          <w:b w:val="false"/>
          <w:i/>
          <w:color w:val="000000"/>
          <w:sz w:val="22"/>
        </w:rPr>
        <w:t>Leases,</w:t>
      </w:r>
      <w:r>
        <w:rPr>
          <w:color w:val="000000"/>
        </w:rPr>
        <w:t xml:space="preserve"> </w:t>
      </w:r>
      <w:r>
        <w:rPr>
          <w:rFonts w:ascii="Times New Roman;serif" w:hAnsi="Times New Roman;serif"/>
          <w:b w:val="false"/>
          <w:color w:val="000000"/>
          <w:sz w:val="22"/>
        </w:rPr>
        <w:t>and recognizes a lease liability and right-of-use asset in the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15"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reasonably certain to exercise. When determining whether a lease qualifies as a short-term lease, the Company evaluates the lease term and the purchase option in the same manner as all other leases.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(o)Intangible Assets Other Than Goodwill,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recognized certain finite-lived intangible assets as a result of the Business Combination and other acquisitions. The Company’s finite-lived intangible assets consist of Customer Relationships, Trade Names, Investment Management Agreements, Licenses, Internally Developed Software and Backlog. Finite-lived intangible assets are amortized on a straight-line basis over their estimated useful lives.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See Note 12 (Intangible Assets, net) for details on impairments. </w:t>
      </w:r>
    </w:p>
    <w:p>
      <w:pPr>
        <w:pStyle w:val="TextBody"/>
        <w:bidi w:val="0"/>
        <w:spacing w:lineRule="auto" w:line="288" w:before="200" w:after="283"/>
        <w:ind w:left="0" w:right="0" w:hanging="540"/>
        <w:jc w:val="both"/>
        <w:rPr/>
      </w:pPr>
      <w:r>
        <w:rPr>
          <w:rFonts w:ascii="Times New Roman;serif" w:hAnsi="Times New Roman;serif"/>
          <w:b/>
          <w:i/>
          <w:color w:val="000000"/>
          <w:sz w:val="24"/>
        </w:rPr>
        <w:t>(p)</w:t>
      </w:r>
      <w:r>
        <w:rPr>
          <w:rFonts w:ascii="Times New Roman;serif" w:hAnsi="Times New Roman;serif"/>
          <w:b/>
          <w:i/>
          <w:color w:val="000000"/>
          <w:sz w:val="22"/>
        </w:rPr>
        <w:t>Goodwill</w:t>
      </w:r>
    </w:p>
    <w:p>
      <w:pPr>
        <w:pStyle w:val="TextBody"/>
        <w:bidi w:val="0"/>
        <w:spacing w:lineRule="auto" w:line="288" w:before="200" w:after="283"/>
        <w:jc w:val="both"/>
        <w:rPr/>
      </w:pPr>
      <w:r>
        <w:rPr>
          <w:rFonts w:ascii="Times New Roman;serif" w:hAnsi="Times New Roman;serif"/>
          <w:b w:val="false"/>
          <w:color w:val="000000"/>
          <w:sz w:val="22"/>
        </w:rPr>
        <w:t xml:space="preserve">Goodwill represents the excess of the purchase price in a business combination over the fair value of the tangible and intangible assets acquired and the liabilities assumed. Under ASC 350, </w:t>
      </w:r>
      <w:r>
        <w:rPr>
          <w:rFonts w:ascii="Times New Roman;serif" w:hAnsi="Times New Roman;serif"/>
          <w:b w:val="false"/>
          <w:i/>
          <w:color w:val="000000"/>
          <w:sz w:val="22"/>
        </w:rPr>
        <w:t>Intangibles—Goodwill and Other</w:t>
      </w:r>
      <w:r>
        <w:rPr>
          <w:rFonts w:ascii="Times New Roman;serif" w:hAnsi="Times New Roman;serif"/>
          <w:b w:val="false"/>
          <w:color w:val="000000"/>
          <w:sz w:val="22"/>
        </w:rPr>
        <w:t xml:space="preserve">, goodwill is not amortized, but rather is subject to an annual impairment test. Goodwill represents the excess of consideration over identifiable net assets of an acquired business. The Company has one reporting unit, and tests goodwill annually for impairment. If, after assessing qualitative factors, the Company believes that it is more likely than 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See Note 15 (Goodwill, net) for details on impairments.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16"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(q)Fixed Assets,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Fixed assets are recorded at cost, less accumulated depreciation, and are included in Other assets in the Consolidated Statement of Financial Position. Fixed assets are depreciated on a straight-line basis, with the corresponding depreciation expense included within Depreciation and amortization in the Consolidated Statement of Operations. The estimated useful life for leasehold improvements is the lesser of the remaining lease term and the life of the asset, while other fixed assets are generally depreciated over a period of one to ten years. Fixed assets are reviewed for impairment whenever events or changes in circumstances indicate that the carrying amount of an asset may not be recoverable.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(r)Debt Obligations,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debt obligations are recorded at amortized cost, net of any debt issuance costs, discounts and premiums. Debt issuance costs are deferred and along with discounts and premiums are amortized to interest expense in the Consolidated Statement of Operations over the life of the related debt instrument using the effective interest method. Unamortized debt issuance costs, discounts and premiums are written off to net losses on retirement of debt in the Consolidated Statement of Operations when the Company prepays borrowings prior to maturity. </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(s)Tax Receivable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Consolidated Statement of Operations. Future exchanges of Class B Units for shares of Class A Common Stock may increase the TRA liability. Those increases will be carried at a value equal to the expected future payments due under the TRA. See Note 21 (Commitments and Contingencies) for a detailed discussion on TRA exchanges. For future changes in the TRA balance due to exchanges, the Company will record an initial estimate of future payments under the TRA portion as an adjustment to Additional paid-in capital in the Consolidated Statement of Financial Position. Subsequent adjustments to the liability for future payments under the TRA related to changes in estimated future tax rates or state income tax apportionment are recognized through current period earnings in the Consolidated Statement of Operations.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(t)Earn-out Liabilities, at Fair Value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Earn-out liabilities, at fair value, represents contingent consideration payable related to the Business Combination and various acquisitions by the Company. Changes in fair value are recognized in Gain (loss) on earnout liabilities in the Consolidated Statement of Operations and in Fair value (gain) loss on earnout liability in the Consolidated Statement of Cash Flows in the period of change. See Note 4 (Business Combinations and Divestitures) and Note 21 (Commitments and Contingencies) for further information.</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(u)Preferred Stock Tranche Liability, at Fair Value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Preferred stock tranche liability, at fair value, represents the right, but not the obligation, of Allianz to purchase up to 50,000 additional shares of Series A Preferred Stock up to an aggregate amount equal to $50 million. On May 13, 2025, Allianz exercised the Allianz Tranche Right to purchase an additional 18,471 shares of Series A Preferred Stock at $1,000 per share. Changes in fair value are recognized in Gain (loss) on preferred stock tranche liability in the Consolidated Statement of Operations in the period of change. See Note 1 (Description of the Business), Note 8 (Fair Value Disclosures), and Note 16 (Debt, net of unamortized deferred financing cost) for additional detail related to the Preferred stock tranche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17"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76"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(v)Equity-Classified Warrants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 xml:space="preserve">In connection with the Allianz and Constellation Transactions, the Company issued warrants to purchase shares of the Company’s Class A Common Stock. The Company evaluated the Allianz and Constellation Warrants in accordance with ASC 815-40, </w:t>
      </w:r>
      <w:r>
        <w:rPr>
          <w:rFonts w:ascii="Times New Roman;serif" w:hAnsi="Times New Roman;serif"/>
          <w:b w:val="false"/>
          <w:i/>
          <w:color w:val="000000"/>
          <w:sz w:val="22"/>
        </w:rPr>
        <w:t>Contracts in an Entity’s Own Equity</w:t>
      </w:r>
      <w:r>
        <w:rPr>
          <w:rFonts w:ascii="Times New Roman;serif" w:hAnsi="Times New Roman;serif"/>
          <w:b w:val="false"/>
          <w:color w:val="000000"/>
          <w:sz w:val="22"/>
        </w:rPr>
        <w:t>, and determined that the warrants are derivatives that meet the fixed-for-fixed equity classification criteria. As such, the Allianz and Constellation Warrants are classified as a component of equity in the Consolidated Statement of Financial Position.</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(w)Delayed Share Purchase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Prior to the Business Combination, TWMH entered into a delayed share purchase agreement (the “TIH SPA”) to purchase a remaining non-controlling interest in its consolidated subsidiary representing 51.1% of shares in TIH. This arrangement was agreed upon for consideration of $2.1 million in cash and $1.2 million in Class A Common Stock. On March 25, 2024, the TIH SPA was fully paid. The stock purchase price was recognized in the Consolidated Statement of Financial Condition as Additional paid-in capital. As of December 31, 2024, the portion of the TIH SPA reported in Additional paid-in capital was $40.0 thousand.</w:t>
      </w:r>
    </w:p>
    <w:p>
      <w:pPr>
        <w:pStyle w:val="TextBody"/>
        <w:bidi w:val="0"/>
        <w:spacing w:lineRule="auto" w:line="26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(x)Non-controlling Interests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(y)Derivative Financial Instruments</w:t>
      </w:r>
    </w:p>
    <w:p>
      <w:pPr>
        <w:pStyle w:val="TextBody"/>
        <w:bidi w:val="0"/>
        <w:spacing w:lineRule="auto" w:line="288" w:before="200" w:after="283"/>
        <w:jc w:val="both"/>
        <w:rPr/>
      </w:pPr>
      <w:r>
        <w:rPr>
          <w:rFonts w:ascii="Times New Roman;serif" w:hAnsi="Times New Roman;serif"/>
          <w:b w:val="false"/>
          <w:color w:val="000000"/>
          <w:sz w:val="22"/>
        </w:rPr>
        <w:t xml:space="preserve">The Company accounts for derivative financial instruments in accordance with ASC 815, </w:t>
      </w:r>
      <w:r>
        <w:rPr>
          <w:rFonts w:ascii="Times New Roman;serif" w:hAnsi="Times New Roman;serif"/>
          <w:b w:val="false"/>
          <w:i/>
          <w:color w:val="000000"/>
          <w:sz w:val="22"/>
        </w:rPr>
        <w:t>Derivatives and Hedging</w:t>
      </w:r>
      <w:r>
        <w:rPr>
          <w:rFonts w:ascii="Times New Roman;serif" w:hAnsi="Times New Roman;serif"/>
          <w:b w:val="false"/>
          <w:color w:val="000000"/>
          <w:sz w:val="22"/>
        </w:rPr>
        <w:t xml:space="preserve">, which requires the Company to recognize all derivative instruments on the Consolidated Statement of Financial Position as either assets or liabilities and to measure them at fair value each reporting period unless they qualify for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 </w:t>
      </w:r>
    </w:p>
    <w:p>
      <w:pPr>
        <w:pStyle w:val="TextBody"/>
        <w:bidi w:val="0"/>
        <w:spacing w:lineRule="auto" w:line="264" w:before="200" w:after="283"/>
        <w:ind w:left="0" w:right="0" w:hanging="540"/>
        <w:jc w:val="both"/>
        <w:rPr/>
      </w:pPr>
      <w:r>
        <w:rPr>
          <w:rFonts w:ascii="Times New Roman;serif" w:hAnsi="Times New Roman;serif"/>
          <w:b/>
          <w:i/>
          <w:color w:val="000000"/>
          <w:sz w:val="24"/>
        </w:rPr>
        <w:t>(z)</w:t>
      </w:r>
      <w:r>
        <w:rPr>
          <w:rFonts w:ascii="Times New Roman;serif" w:hAnsi="Times New Roman;serif"/>
          <w:b/>
          <w:i/>
          <w:color w:val="000000"/>
          <w:sz w:val="22"/>
        </w:rPr>
        <w:t>Segment Reporting</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Prior to the third quarter ended September 30, 2025, the Company was organized into two operating segments: Wealth &amp; Capital Solutions and International Real Estate. During the third quarter ended September 30, 2025, the Company disposed of its International Real Estate segment with an effective date of July 11, 2025, and as such, is organized as one reportable segment as of September 30, 2025. See Note 3 (Discontinued Operations). Additionally, during the third quarter ended September 30, 2024, the Company changed the composition of its reportable segments and recast prior period amounts to conform to the Company’s then current period segment information. Segment information is utilized by the Company’s chief operating decision maker, which is our Chief Executive Officer, to assess performance and to allocate resources. See Note 1 (Description of the Business) and Note 19 (Segment Reporting) for further information.</w:t>
      </w:r>
    </w:p>
    <w:p>
      <w:pPr>
        <w:pStyle w:val="TextBody"/>
        <w:bidi w:val="0"/>
        <w:spacing w:lineRule="auto" w:line="256"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(aa)Interest Income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Interest income is earned on the Company’s cash balances, money market accounts, or through its investments in exchange-traded note that hold fixed-income securities such as debt securities.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18"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Company recognizes and records interest income in Interest Income in the Consolidated Statement of Operations.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Dividend income is earned through investments in common stock, mutual funds, and exchange-traded funds that hold equity securities. Dividend income is recorded on the date received and is included in Interest income in the Consolidated Statement of Operations.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erif" w:hAnsi="Times New Roman;serif"/>
          <w:b/>
          <w:i/>
          <w:color w:val="000000"/>
          <w:sz w:val="22"/>
        </w:rPr>
      </w:pPr>
      <w:r>
        <w:rPr>
          <w:rFonts w:ascii="Times New Roman;serif" w:hAnsi="Times New Roman;serif"/>
          <w:b/>
          <w:i/>
          <w:color w:val="000000"/>
          <w:sz w:val="22"/>
        </w:rPr>
        <w:t>(ab)Interest Expense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Interest expense consists of the interest expense on the Company’s outstanding debt, amortization of deferred financing costs, and amortization of original issue discount.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(ac)Gain (loss) on investments</w:t>
      </w:r>
    </w:p>
    <w:p>
      <w:pPr>
        <w:pStyle w:val="TextBody"/>
        <w:bidi w:val="0"/>
        <w:spacing w:before="0" w:after="0"/>
        <w:ind w:left="0" w:right="0" w:firstLine="72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The Company holds investments in common stock, mutual funds, exchange-traded funds, and exchange-traded notes, which hold investments in equity and debt securities. The Company’s realized and unrealized gains and losses on these investments are recorded in Gain (loss) on investments in the Consolidated Statement of Operations.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Gain (loss) on investments in the Consolidated Statement of Operations.</w:t>
      </w:r>
    </w:p>
    <w:p>
      <w:pPr>
        <w:pStyle w:val="TextBody"/>
        <w:bidi w:val="0"/>
        <w:spacing w:before="0" w:after="0"/>
        <w:jc w:val="both"/>
        <w:rPr/>
      </w:pPr>
      <w:r>
        <w:rPr/>
      </w:r>
    </w:p>
    <w:p>
      <w:pPr>
        <w:pStyle w:val="TextBody"/>
        <w:bidi w:val="0"/>
        <w:spacing w:lineRule="auto" w:line="288" w:before="0" w:after="0"/>
        <w:ind w:left="0" w:right="0" w:hanging="540"/>
        <w:jc w:val="left"/>
        <w:rPr>
          <w:rFonts w:ascii="Times New Roman;serif" w:hAnsi="Times New Roman;serif"/>
          <w:b/>
          <w:i/>
          <w:color w:val="000000"/>
          <w:sz w:val="22"/>
        </w:rPr>
      </w:pPr>
      <w:r>
        <w:rPr>
          <w:rFonts w:ascii="Times New Roman;serif" w:hAnsi="Times New Roman;serif"/>
          <w:b/>
          <w:i/>
          <w:color w:val="000000"/>
          <w:sz w:val="22"/>
        </w:rPr>
        <w:t>(ad)Other Income (Expense)</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color w:val="000000"/>
        </w:rPr>
      </w:pPr>
      <w:r>
        <w:rPr>
          <w:color w:val="000000"/>
        </w:rPr>
        <w:t>    </w:t>
      </w:r>
      <w:r>
        <w:rPr>
          <w:rFonts w:ascii="Times New Roman;serif" w:hAnsi="Times New Roman;serif"/>
          <w:b w:val="false"/>
          <w:color w:val="000000"/>
          <w:sz w:val="22"/>
        </w:rPr>
        <w:t xml:space="preserve">Other income (expense) includes miscellaneous charges such as settlement payments made to Tolleson (see Note 21 (Litigation), realized gains (losses) on lease terminations, and franchise tax, among other items. </w:t>
      </w:r>
    </w:p>
    <w:p>
      <w:pPr>
        <w:pStyle w:val="TextBody"/>
        <w:bidi w:val="0"/>
        <w:spacing w:before="0" w:after="0"/>
        <w:ind w:left="0" w:right="0" w:hanging="180"/>
        <w:jc w:val="both"/>
        <w:rPr/>
      </w:pPr>
      <w:r>
        <w:rPr/>
      </w:r>
    </w:p>
    <w:p>
      <w:pPr>
        <w:pStyle w:val="TextBody"/>
        <w:bidi w:val="0"/>
        <w:spacing w:lineRule="auto" w:line="288" w:before="6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(ae)Held for Sale Accounting</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In circumstances when the Company is evaluating its components, we may establish plans that require us to evaluate whether a component qualifies for held-for-sale accounting under ASC 360, </w:t>
      </w:r>
      <w:r>
        <w:rPr>
          <w:rFonts w:ascii="Times New Roman;serif" w:hAnsi="Times New Roman;serif"/>
          <w:b w:val="false"/>
          <w:i/>
          <w:color w:val="000000"/>
          <w:sz w:val="22"/>
        </w:rPr>
        <w:t>Property, Plant, and Equipment</w:t>
      </w:r>
      <w:r>
        <w:rPr>
          <w:rFonts w:ascii="Times New Roman;serif" w:hAnsi="Times New Roman;serif"/>
          <w:b w:val="false"/>
          <w:color w:val="000000"/>
          <w:sz w:val="22"/>
        </w:rPr>
        <w:t xml:space="preserve">. If a sale is deemed probable within a twelve-month period, the component is classified to either the assets held for sale or liabilities held for sale line items on the Consolidated Statement of Financial Position. The disposal group will be measured at the lower of its carrying amount or fair value less the cost to sell. Any long-lived assets shall not be depreciated or amortized while classified as held for sale.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 xml:space="preserve">(af)Recent Accounting Pronouncements </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December 2025, the FASB issued ASU 2025-11, Interim Reporting (Topic 270): Narrow-Scope Improvements (“ASU 2025-11”). ASU 2025-11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19"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ASU 2025-11 is effective for interim reporting periods beginning after December 31, 2027, with early adoption permitted. The Company does not expect the adoption of ASU 2025-11 to have a material impact on its consolidated financial statements.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July 2025, the FASB issued ASU 2025-05, Financial Instruments—Credit Losses (Topic 326):    Measurement of Credit Losses for Accounts Receivable and Contract Assets (“ASU 2025-05”). ASU 2025-05 provides all entities, when developing reasonable and supportable forecasts as part of estimating expected credit losses, the election of a practical expedient that assumes that current conditions as of the balance sheet date do not change for the remaining life of the asset. ASU 2025-05 is effective for annual periods beginning after December 15, 2025, and interim reporting periods within those annual reporting periods. The Company does not expect the adoption of ASU 2025-05 to have a material impact on itsconsolidated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May 2025, the FASB issued ASU 2025-03, Business Combinations (Topic 805) and Consolidation (Topic 810): Determining the Accounting Acquirer in the Acquisition of a Variable Interest Entity (“ASU 2025-03”). ASU 2025-03 clarifies the guidance in determining the acquirer in an acquisition transaction effected primarily by exchanging equity interests when the legal acquiree is a VIE that meets the definition of a business. The amendments require that an entity consider the same factors that are currently required for determining which entity is the accounting acquirer in other acquisition transactions. ASU 2025-03 is effective for annual periods beginning after December 15, 2026, and interim reporting periods within those annual reporting periods, with early adoption permitted. The Company does not expect the adoption of ASU 2025-03 to have a material impact on to its consolidated financial statements.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In November 2024, the FASB issued ASU 2024-03, Income Statement—Reporting Comprehensive Income—Expense Disaggregation Disclosures (Subtopic 220-40) (“ASU 2024-03”). ASU 2024-03 require disclosure, in the notes to financial statements, of specified information about certain costs and expenses at each interim and annual reporting period. ASU 2024-03 is effective for annual periods beginning after December 15, 2026, and reporting periods within annual reporting periods beginning after December 15, 2027, with early adoption permitted. The Company does not expect the adoption of ASU 2024-03 to have a material impact on its consolidated financial statements.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In December 2023, the FASB issued ASU 2023-09, Income Taxes (Topic 740) - Improvements to Income Tax Disclosures (“ASU 2023-09”). ASU 2023-09 expands income tax disclosures and requires the Company disclose (1) consistent categories and greater disaggregation of information in the rates reconciliation and (2) income taxes paid disaggregated by jurisdiction. ASU 2023-09 is effective beginning with this Annual Report on Form 10-K for the year ended December 31, 2025 and was applied retrospectively to all periods presented. The additional required disclosures are included in Note 7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(3)Discontinued Operations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the Company placed its International Real Estate Businesses under administration in accordance with the insolvency laws of England and Wales and Teneo, as appointed administrators, took control of each of them. The Company determined it was appropriate to deconsolidate its International Real Estate Businesses resulting from the disposition of the Company’s controlling interest. We concluded that the transaction meets the criteria for discontinued operations as the disposal of the International Real Estate Businesses is a strategic shift that will have a significant effect on our operations and financial results. </w:t>
      </w:r>
    </w:p>
    <w:p>
      <w:pPr>
        <w:pStyle w:val="TextBody"/>
        <w:bidi w:val="0"/>
        <w:spacing w:lineRule="auto" w:line="268" w:before="200" w:after="283"/>
        <w:jc w:val="both"/>
        <w:rPr/>
      </w:pPr>
      <w:r>
        <w:rPr>
          <w:rFonts w:ascii="Times New Roman;serif" w:hAnsi="Times New Roman;serif"/>
          <w:b w:val="false"/>
          <w:color w:val="000000"/>
          <w:sz w:val="22"/>
        </w:rPr>
        <w:t xml:space="preserve">As such, the assets and liabilities, results of operations and cash flows of the International Real Estate Businesses have been classified as discontinued operations for all periods presented in accordance with ASC 205-20, </w:t>
      </w:r>
      <w:r>
        <w:rPr>
          <w:rFonts w:ascii="Times New Roman;serif" w:hAnsi="Times New Roman;serif"/>
          <w:b w:val="false"/>
          <w:i/>
          <w:color w:val="000000"/>
          <w:sz w:val="22"/>
        </w:rPr>
        <w:t xml:space="preserve">Discontinued Operations. </w:t>
      </w:r>
      <w:r>
        <w:rPr>
          <w:rFonts w:ascii="Times New Roman;serif" w:hAnsi="Times New Roman;serif"/>
          <w:b w:val="false"/>
          <w:color w:val="000000"/>
          <w:sz w:val="22"/>
        </w:rPr>
        <w:t xml:space="preserve">As a result, the Company only has one reportable segment remaining. See Note 19 (Segment Reporting). The Company recognized a loss upon disposal of its International Real Estate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20"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Businesses of $20.1 million, which is included in the Net income (loss) from discontinued operations in the Consolidated Statement of Operations for the year ended December 31, 2025.</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Upon deconsolidation, intercompany balances between the Company and the International Real Estate Businesses were recognized as third-party balances, which include receivables of $17.8 million, which were recorded in Other assets, and payables of $26.0 million, which were recorded in Accounts payable and accrued expenses, in the Consolidated Statement of Financial Position as part of continuing operations. Additionally, certain on-going services such as payroll, information technology, and other administrative support, in which the Company acts as a service provider will continue to be provided to the International Real Estate Businesses through the end of December 31, 2027 or earlier based on agreement with the Administrators. As part of the arrangement with Teneo, these on-going services are recognized as payments against the third party Accounts payable balance. A total of $4.0 million, which includes on-going services of $1.3 million, were paid against the third party Accounts payable balance through December 31, 2025. As of December 31, 2025, the balance of the Other assets and Other payables amounted to $2.1 million and $22.0 million, respectively.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the assets and liabilities classified as discontinued operations:</w:t>
      </w:r>
    </w:p>
    <w:tbl>
      <w:tblPr>
        <w:tblW w:w="5302" w:type="dxa"/>
        <w:jc w:val="left"/>
        <w:tblInd w:w="0" w:type="dxa"/>
        <w:tblLayout w:type="fixed"/>
        <w:tblCellMar>
          <w:top w:w="28" w:type="dxa"/>
          <w:left w:w="28" w:type="dxa"/>
          <w:bottom w:w="28" w:type="dxa"/>
          <w:right w:w="28" w:type="dxa"/>
        </w:tblCellMar>
      </w:tblPr>
      <w:tblGrid>
        <w:gridCol w:w="1105"/>
        <w:gridCol w:w="967"/>
        <w:gridCol w:w="973"/>
        <w:gridCol w:w="109"/>
        <w:gridCol w:w="109"/>
        <w:gridCol w:w="395"/>
        <w:gridCol w:w="1334"/>
        <w:gridCol w:w="310"/>
      </w:tblGrid>
      <w:tr>
        <w:trPr/>
        <w:tc>
          <w:tcPr>
            <w:tcW w:w="110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1,389</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22,445</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profit sharing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13,108</w:t>
            </w: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21"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net income (loss) from discontinued operations, net of taxes:</w:t>
      </w:r>
    </w:p>
    <w:tbl>
      <w:tblPr>
        <w:tblW w:w="10205" w:type="dxa"/>
        <w:jc w:val="left"/>
        <w:tblInd w:w="0" w:type="dxa"/>
        <w:tblLayout w:type="fixed"/>
        <w:tblCellMar>
          <w:top w:w="28" w:type="dxa"/>
          <w:left w:w="28" w:type="dxa"/>
          <w:bottom w:w="28" w:type="dxa"/>
          <w:right w:w="28" w:type="dxa"/>
        </w:tblCellMar>
      </w:tblPr>
      <w:tblGrid>
        <w:gridCol w:w="1645"/>
        <w:gridCol w:w="1425"/>
        <w:gridCol w:w="1433"/>
        <w:gridCol w:w="109"/>
        <w:gridCol w:w="109"/>
        <w:gridCol w:w="140"/>
        <w:gridCol w:w="140"/>
        <w:gridCol w:w="286"/>
        <w:gridCol w:w="1052"/>
        <w:gridCol w:w="159"/>
        <w:gridCol w:w="109"/>
        <w:gridCol w:w="109"/>
        <w:gridCol w:w="109"/>
        <w:gridCol w:w="287"/>
        <w:gridCol w:w="1051"/>
        <w:gridCol w:w="159"/>
        <w:gridCol w:w="109"/>
        <w:gridCol w:w="109"/>
        <w:gridCol w:w="109"/>
        <w:gridCol w:w="262"/>
        <w:gridCol w:w="1082"/>
        <w:gridCol w:w="212"/>
      </w:tblGrid>
      <w:tr>
        <w:trPr/>
        <w:tc>
          <w:tcPr>
            <w:tcW w:w="164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25,772 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39,064 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76,793 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(27,916)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(51,021)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goodwill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(206,777)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(72,334)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(279,574)</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(31,353)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(72,057)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(269,546)</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related to the disposal of the International Real Estate Businesses are included in the discontinued operations section of the Consolidated Statement of Cash Flows for all periods presented. </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International Real Estate</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Prior to deconsolidation, the Company’s International Real Estate segment included its Real Estate Co-Investment and Real Estate Fund Management businesses. </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Real Estate Co-Investment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Real Estate Co-Investment oversaw deal origination, documentation, and structuring from inception to exit for a variety of strategies, including development, income, value-add, and planning. Investors were typically HNWIs, single family offices, and institutional investors. Management fees were earned through private real estate fund advisory and recurring fees. These fees, governed by an investment advisory agreement, were calculated on a sliding scale based on the fund’s NAV. As a sponsor of private market transactions, the Real Estate Co-Investment businesses generated income from debt and equity structures, including arrangement, management, advisory, performance, and transaction fees. If feeder vehicles were established for clients, additional administration and advisory fees also applied.</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22"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Real Estate Fund Management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Prior to the first quarter of 2024, the Real Estate Fund Management business managed two funds based in the United Kingdom: LXi REIT plc (“LXi”), and Home Long Income Fund (“HLIF”), a private fund. As described further below, during 2024 the Company exited the management of LXi.</w:t>
      </w:r>
    </w:p>
    <w:p>
      <w:pPr>
        <w:pStyle w:val="TextBody"/>
        <w:bidi w:val="0"/>
        <w:spacing w:lineRule="auto" w:line="288" w:before="20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Home Long Income Fund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Home Long Income Fund was an English open-ended investment company launched in October 2018. Its investment objective was to deliver secure inflation-protected income and capital growth by investing in a portfolio of UK homeless shelters. HLIF was advised by SHIA and AFM UK acted as its alternative investment fund manager. Both SHIA and AFM UK were wholly owned subsidiaries of the Company. See Note 21 (Commitments and Contingencies) for discussion on HLIF’s litigation status. </w:t>
      </w:r>
    </w:p>
    <w:p>
      <w:pPr>
        <w:pStyle w:val="TextBody"/>
        <w:bidi w:val="0"/>
        <w:spacing w:lineRule="auto" w:line="288" w:before="20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LXi REIT plc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LXi was an English real estate investment trust company, launched in February 2017, whose shares are traded on the premium segment of the London Stock Exchange’s Main Market. LXi was advised by LXi REIT Advisors Limited (“LRA”), and its investment objective was to deliver inflation-protected income and capital growth over the medium-term for its shareholders through investing in a diversified portfolio of UK property that benefited from long-term index-linked leases with institutional-grade tenants. On January 9, 2024, AlTi RE Public Markets Limited entered into heads of terms to sell 100% of the equity of LRA, the advisor to the publicly-traded fund LXi, to LondonMetric Property Plc (“LondonMetric”). This disposal was completed on March 6,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(4)Business Combinations and Divestitures</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Acquisition of Kontora Family Office GmbH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“Kontora Acquisition Date”), the Company acquired all of the outstanding ownership interests of Kontora Family Office GmbH (“Kontora”) (the “Kontora Acquisition”). Kontora is a multi-family office and asset management company headquartered in Hamburg, Germany, focused on UHNW families, entrepreneurs and select institutions. This acquisition expanded the Company’s presence in Europe through entry into the key wealth hub of Germany, which represents the third largest UHNW market in the world.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Kontora Acquisition met the requirements to be considered a business combination under ASC 805. The assets acquired and liabilities assumed from Kontora reflect the fair market values, affected for preliminary adjustments to reflect the fair market values assigned to assets purchased and liabilities assumed, and results of operations, are included in the Company’s consolidated financial statements as of the Kontora Acquisition 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The contingent consideration was measured at fair value at the Kontora Acquisition Date and recorded within the Earn-out liabilities, at fair value line item in the Consolidated Statement of Financial Position. In addition to the contingent consideration, the Company may be required to make additional compensatory payments comprised of a combination of cash and equity at the Company’s option based on Kontora’s adjusted EBITDA. See Note 6 Equity-Based Compensation for additional details on the equity awards. The total purchase consideration is summarized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23"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tbl>
      <w:tblPr>
        <w:tblW w:w="5361" w:type="dxa"/>
        <w:jc w:val="left"/>
        <w:tblInd w:w="0" w:type="dxa"/>
        <w:tblLayout w:type="fixed"/>
        <w:tblCellMar>
          <w:top w:w="28" w:type="dxa"/>
          <w:left w:w="28" w:type="dxa"/>
          <w:bottom w:w="28" w:type="dxa"/>
          <w:right w:w="28" w:type="dxa"/>
        </w:tblCellMar>
      </w:tblPr>
      <w:tblGrid>
        <w:gridCol w:w="1505"/>
        <w:gridCol w:w="1322"/>
        <w:gridCol w:w="1328"/>
        <w:gridCol w:w="226"/>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Initial purchase price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8,740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15,696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incurred $1.6 million of direct acquisition-related expenses, which were recognized in the Professional fees line item of the Consolidated Statement of Operations during the year ended December 31, 2025.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preliminary fair values of the assets acquired and liabilities assumed in connection with the Kontora Acquisition: </w:t>
      </w:r>
    </w:p>
    <w:tbl>
      <w:tblPr>
        <w:tblW w:w="8460" w:type="dxa"/>
        <w:jc w:val="left"/>
        <w:tblInd w:w="0" w:type="dxa"/>
        <w:tblLayout w:type="fixed"/>
        <w:tblCellMar>
          <w:top w:w="28" w:type="dxa"/>
          <w:left w:w="28" w:type="dxa"/>
          <w:bottom w:w="28" w:type="dxa"/>
          <w:right w:w="28" w:type="dxa"/>
        </w:tblCellMar>
      </w:tblPr>
      <w:tblGrid>
        <w:gridCol w:w="1694"/>
        <w:gridCol w:w="1489"/>
        <w:gridCol w:w="1497"/>
        <w:gridCol w:w="707"/>
        <w:gridCol w:w="2588"/>
        <w:gridCol w:w="485"/>
      </w:tblGrid>
      <w:tr>
        <w:trPr/>
        <w:tc>
          <w:tcPr>
            <w:tcW w:w="169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Kontora Acquisition Date Fair Value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3,440 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Fees receivable</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2,702 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 method investments</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14,075 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assets</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assets, net</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 net</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26,955</w:t>
            </w: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3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526 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compensation and profit sharing</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net of unamortized deferred financing cost</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liability </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1,952 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liability</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 net</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3,057 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11,259</w:t>
            </w:r>
            <w:r>
              <w:rPr>
                <w:color w:val="000000"/>
              </w:rPr>
              <w:t>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15,696</w:t>
            </w: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purchase price allocation is preliminary and subject to change during the measurement period, which is not to exceed one year from the Kontora Acquisition Date. During the year ended December 31, 2025, the Company made a measurement period adjustment to the purchase price allocation, which resulted in a decrease to intangible assets of $0.7 million, an increase to goodwill of $0.4 million, a decrease to deferred tax liability of $0.3 million, an increase to other assets, net of $24.0 thousand and a decrease to the purchase consideration of $10.0 thousand.At this time we do not expect any additional material adjustments to the above allocations. When the valuation is final, changes to the valuation of acquired assets and liabilities could result in adjustments to identified intangibles and goodwill.</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With the exception of operating right-of-use assets and operating lease liabilities accounted for under ASC 842, </w:t>
      </w:r>
      <w:r>
        <w:rPr>
          <w:rFonts w:ascii="Times New Roman;serif" w:hAnsi="Times New Roman;serif"/>
          <w:b w:val="false"/>
          <w:i/>
          <w:color w:val="000000"/>
          <w:sz w:val="22"/>
        </w:rPr>
        <w:t>Leases</w:t>
      </w:r>
      <w:r>
        <w:rPr>
          <w:rFonts w:ascii="Times New Roman;serif" w:hAnsi="Times New Roman;serif"/>
          <w:b w:val="false"/>
          <w:color w:val="000000"/>
          <w:sz w:val="22"/>
        </w:rPr>
        <w:t xml:space="preserve">, in accordance with ASC 805, the assets and liabilities were recorded at their respective fair values as of April 30, 2025. The Company developed the fair value of intangible assets, which includes trade names, customer relationships, and licenses granted by the German Federal Financial Supervisory Authority. Various techniques were applied to derive the fair values of the intangible assets including, but not limited to, relief from royalty method, excess earnings method, replacement cost method, and a discounted cash flow approach.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24"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all other major assets and liabilities acquired, the Company determined that book value approximated fair value. Goodwill is comprised of expected synergies for the combined operations and the assembled workforce acquired in the Kontora Acquisition, which does not qualify as a separately recognized intangible asset.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Kontora Acquisition:</w:t>
      </w:r>
    </w:p>
    <w:p>
      <w:pPr>
        <w:pStyle w:val="TextBody"/>
        <w:bidi w:val="0"/>
        <w:spacing w:before="0" w:after="0"/>
        <w:jc w:val="left"/>
        <w:rPr/>
      </w:pPr>
      <w:r>
        <w:rPr/>
      </w:r>
    </w:p>
    <w:tbl>
      <w:tblPr>
        <w:tblW w:w="8800" w:type="dxa"/>
        <w:jc w:val="left"/>
        <w:tblInd w:w="0" w:type="dxa"/>
        <w:tblLayout w:type="fixed"/>
        <w:tblCellMar>
          <w:top w:w="28" w:type="dxa"/>
          <w:left w:w="28" w:type="dxa"/>
          <w:bottom w:w="28" w:type="dxa"/>
          <w:right w:w="28" w:type="dxa"/>
        </w:tblCellMar>
      </w:tblPr>
      <w:tblGrid>
        <w:gridCol w:w="858"/>
        <w:gridCol w:w="754"/>
        <w:gridCol w:w="758"/>
        <w:gridCol w:w="724"/>
        <w:gridCol w:w="2656"/>
        <w:gridCol w:w="354"/>
        <w:gridCol w:w="109"/>
        <w:gridCol w:w="109"/>
        <w:gridCol w:w="109"/>
        <w:gridCol w:w="692"/>
        <w:gridCol w:w="692"/>
        <w:gridCol w:w="98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Kontora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Brand</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License</w:t>
            </w:r>
          </w:p>
        </w:tc>
        <w:tc>
          <w:tcPr>
            <w:tcW w:w="3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4,385 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3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9,443 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Software</w:t>
            </w:r>
          </w:p>
        </w:tc>
        <w:tc>
          <w:tcPr>
            <w:tcW w:w="3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Intangible Assets</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14,075</w:t>
            </w:r>
            <w:r>
              <w:rPr>
                <w:color w:val="000000"/>
              </w:rPr>
              <w:t>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operations for Kontora have been included in the Company’s consolidated financial statements as of the Kontora Acquisition Date. </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Acquisition of Envoi, LLC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 2024 (the “Envoi Acquisition Date”), the Company purchased substantially all of the assets of Envoi, pursuant to the terms of the asset purchase agreement by and among the Company and Envoi, as well as Envoi’s individual members (the “Envoi Acquisition”). Envoi is a private family office focused on multi-generational family wealth. The acquisition expanded the Company’s operations into the mid-West region of the United States.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Envoi Acquisition met the requirements to be considered a business combination under ASC 805 and was accounted for using the acquisition method of accounting. The fair value of the total purchase consideration was $34.3 million, consisting of cash consideration of $25.3 million, and estimated contingent consideration of $9.0 million comprised of the Envoi earn-out liability and earn-out growth consideration liability. A portion of the contingent consideration will be used to establish a retention pool which is payable in a mixture of cash and equity to employees upon meeting certain revenue thresholds over a required service period. The portion of contingent consideration used to establish the retention pool is treated as compensation rather than consideration transferred. See Note 6 (Equity-Based Compensation) for further details about the related equity award. The amount of contingent consideration related to consideration transferred was measured at fair value at the acquisition date and recorded within the Earn-out liabilities, at fair value line item in the Consolidated Statement of Financial Position. The total purchase consideration is summarized below:</w:t>
      </w:r>
    </w:p>
    <w:p>
      <w:pPr>
        <w:pStyle w:val="TextBody"/>
        <w:bidi w:val="0"/>
        <w:spacing w:before="0" w:after="0"/>
        <w:jc w:val="both"/>
        <w:rPr/>
      </w:pPr>
      <w:r>
        <w:rPr/>
      </w:r>
    </w:p>
    <w:tbl>
      <w:tblPr>
        <w:tblW w:w="5714" w:type="dxa"/>
        <w:jc w:val="left"/>
        <w:tblInd w:w="0" w:type="dxa"/>
        <w:tblLayout w:type="fixed"/>
        <w:tblCellMar>
          <w:top w:w="28" w:type="dxa"/>
          <w:left w:w="28" w:type="dxa"/>
          <w:bottom w:w="28" w:type="dxa"/>
          <w:right w:w="28" w:type="dxa"/>
        </w:tblCellMar>
      </w:tblPr>
      <w:tblGrid>
        <w:gridCol w:w="1504"/>
        <w:gridCol w:w="1321"/>
        <w:gridCol w:w="1329"/>
        <w:gridCol w:w="292"/>
        <w:gridCol w:w="1069"/>
        <w:gridCol w:w="199"/>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Envoi Amount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consideration</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25,258 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Earn-out consideration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0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34,258</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incurred $1.1 million of direct acquisition-related expenditures, which were recognized in the Professional fees line item of the Consolidated Statement of Operations during the year ended December 31, 2024. </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25"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final fair values of the assets acquired, and liabilities assumed in connection with the Envoi Acquisition:</w:t>
      </w:r>
    </w:p>
    <w:tbl>
      <w:tblPr>
        <w:tblW w:w="7109" w:type="dxa"/>
        <w:jc w:val="left"/>
        <w:tblInd w:w="0" w:type="dxa"/>
        <w:tblLayout w:type="fixed"/>
        <w:tblCellMar>
          <w:top w:w="28" w:type="dxa"/>
          <w:left w:w="28" w:type="dxa"/>
          <w:bottom w:w="28" w:type="dxa"/>
          <w:right w:w="28" w:type="dxa"/>
        </w:tblCellMar>
      </w:tblPr>
      <w:tblGrid>
        <w:gridCol w:w="1683"/>
        <w:gridCol w:w="1479"/>
        <w:gridCol w:w="1487"/>
        <w:gridCol w:w="460"/>
        <w:gridCol w:w="1684"/>
        <w:gridCol w:w="316"/>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Envoi 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right-of-use assets </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2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34,477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 Assumed</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34,258</w:t>
            </w: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 ended December 31, 2024, the Company made a measurement period adjustment to the purchase price allocation, which resulted in an increase to intangibles and a decrease to goodwill of $1.0 million.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with ASC 805, the assets and liabilities were recorded at their respective fair values as of July 1, 2024. The fair value of intangible assets was determined using the multi-period excess earnings method.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The goodwill resulting from this acquisition is expected to be deductible for tax purposes. The components of goodwill do not qualify as a separately recognized intangible asset.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Envoi Acquisition:</w:t>
      </w:r>
    </w:p>
    <w:p>
      <w:pPr>
        <w:pStyle w:val="TextBody"/>
        <w:bidi w:val="0"/>
        <w:spacing w:before="0" w:after="0"/>
        <w:jc w:val="both"/>
        <w:rPr/>
      </w:pPr>
      <w:r>
        <w:rPr/>
      </w:r>
    </w:p>
    <w:tbl>
      <w:tblPr>
        <w:tblW w:w="8499" w:type="dxa"/>
        <w:jc w:val="left"/>
        <w:tblInd w:w="0" w:type="dxa"/>
        <w:tblLayout w:type="fixed"/>
        <w:tblCellMar>
          <w:top w:w="28" w:type="dxa"/>
          <w:left w:w="28" w:type="dxa"/>
          <w:bottom w:w="28" w:type="dxa"/>
          <w:right w:w="28" w:type="dxa"/>
        </w:tblCellMar>
      </w:tblPr>
      <w:tblGrid>
        <w:gridCol w:w="847"/>
        <w:gridCol w:w="744"/>
        <w:gridCol w:w="748"/>
        <w:gridCol w:w="672"/>
        <w:gridCol w:w="2464"/>
        <w:gridCol w:w="328"/>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Envoi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the Envoi Acquisition have been included in the Company’s consolidated financial statements from the Envoi Acquisition Date. </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Acquisition of Pointwise Partners Limited</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On May 9, 2024 (the “PW Acquisition Date”), the Company acquired the remaining 50% of the issued and outstanding ownership and membership interest of PW, increasing its interest from 50% to 100% (the “PW Acquisition”). PW is a wealth management business based in the United Kingdom, focused on international clients. The acquisition further expanded the Company’s global client base.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PW Acquisition met the requirements to be considered a business combination under ASC 805 and was accounted for using the acquisition method of accounting. The fair value of the total purchase consideration was $8.0 million, consisting of cash consideration, equity consideration, estimated deferred consideration, and the settlement of pre-existing relationships as summarized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26"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tbl>
      <w:tblPr>
        <w:tblW w:w="5505" w:type="dxa"/>
        <w:jc w:val="left"/>
        <w:tblInd w:w="0" w:type="dxa"/>
        <w:tblLayout w:type="fixed"/>
        <w:tblCellMar>
          <w:top w:w="28" w:type="dxa"/>
          <w:left w:w="28" w:type="dxa"/>
          <w:bottom w:w="28" w:type="dxa"/>
          <w:right w:w="28" w:type="dxa"/>
        </w:tblCellMar>
      </w:tblPr>
      <w:tblGrid>
        <w:gridCol w:w="1505"/>
        <w:gridCol w:w="1321"/>
        <w:gridCol w:w="1329"/>
        <w:gridCol w:w="281"/>
        <w:gridCol w:w="878"/>
        <w:gridCol w:w="191"/>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PW 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consideration</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 consideration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Deferred consideration </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pre-existing relationships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7,954</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estimated deferred consideration of $3.4 million was paid in cash and equity during the first quarter ended March 31, 2025. An additional amount of $1.0 million was paid fully in cash rather than in equity to PW employees upon meeting certain performance milestones. This additional amount was determined to be compensation rather than consideration transferred.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 the PW Acquisition Date, as required by ASC 805, the Company’s existing 50% equity in PW, which was previously recognized as an equity method investment, was revalued to reflect the fair value at this date. The fair value of this existing equity method investment was $6.2 million, which was calculated as 50% of the fair value of PW total equity value, excluding the impact of any synergies or control premium that would be realized by a controlling interest.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the final fair values of the assets acquired, and liabilities assumed in connection with the PW business combination:</w:t>
      </w:r>
    </w:p>
    <w:tbl>
      <w:tblPr>
        <w:tblW w:w="6899" w:type="dxa"/>
        <w:jc w:val="left"/>
        <w:tblInd w:w="0" w:type="dxa"/>
        <w:tblLayout w:type="fixed"/>
        <w:tblCellMar>
          <w:top w:w="28" w:type="dxa"/>
          <w:left w:w="28" w:type="dxa"/>
          <w:bottom w:w="28" w:type="dxa"/>
          <w:right w:w="28" w:type="dxa"/>
        </w:tblCellMar>
      </w:tblPr>
      <w:tblGrid>
        <w:gridCol w:w="1683"/>
        <w:gridCol w:w="1479"/>
        <w:gridCol w:w="1487"/>
        <w:gridCol w:w="420"/>
        <w:gridCol w:w="1541"/>
        <w:gridCol w:w="289"/>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PW 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16,736</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liability</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2,630</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14,106</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fair value of intangible assets was determined using the multi-period excess earnings method. Goodwill is comprised of expected synergies of the combined operations, including employees acquired in a business combination. The components of goodwill do not qualify as a separately recognized intangible asset.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PW business combination:</w:t>
      </w:r>
    </w:p>
    <w:p>
      <w:pPr>
        <w:pStyle w:val="TextBody"/>
        <w:bidi w:val="0"/>
        <w:spacing w:before="0" w:after="0"/>
        <w:jc w:val="both"/>
        <w:rPr/>
      </w:pPr>
      <w:r>
        <w:rPr/>
      </w:r>
    </w:p>
    <w:tbl>
      <w:tblPr>
        <w:tblW w:w="8289" w:type="dxa"/>
        <w:jc w:val="left"/>
        <w:tblInd w:w="0" w:type="dxa"/>
        <w:tblLayout w:type="fixed"/>
        <w:tblCellMar>
          <w:top w:w="28" w:type="dxa"/>
          <w:left w:w="28" w:type="dxa"/>
          <w:bottom w:w="28" w:type="dxa"/>
          <w:right w:w="28" w:type="dxa"/>
        </w:tblCellMar>
      </w:tblPr>
      <w:tblGrid>
        <w:gridCol w:w="847"/>
        <w:gridCol w:w="744"/>
        <w:gridCol w:w="748"/>
        <w:gridCol w:w="704"/>
        <w:gridCol w:w="2206"/>
        <w:gridCol w:w="344"/>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PW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results of the PW Acquisition have been included in the Company’s consolidated financial statements from the PW Acquisition Date. Prior to the PW Acquisition Date, the results of PW were included as a 50% held equity method investment.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27"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Acquisition of East End Advisors, LLC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April 3, 2024 (the “EEA Acquisition Date”), the Company acquired all of the issued and outstanding ownership and membership interests of EEA pursuant to the terms of the purchase agreement between the Company and EEA Holding Company, LLC (the “EEA Acquisition”). EEA provides customized portfolios for a select number of ultra-high net worth families and foundations using an OCIO model. The acquisition expanded the Company’s footprint in the OCIO space.</w:t>
      </w:r>
    </w:p>
    <w:p>
      <w:pPr>
        <w:pStyle w:val="TextBody"/>
        <w:bidi w:val="0"/>
        <w:spacing w:lineRule="auto" w:line="256"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EEA Acquisition met the requirements to be considered a business combination under ASC 805 and was accounted for using the acquisition method of accounting. The fair value of the total purchase consideration transferred was $93.1 million, consisting of cash consideration of $69.0 million and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 acquisition date and recorded within the Earn-out liabilities, at fair value line item in the Consolidated Statement of Financial Position. </w:t>
      </w:r>
    </w:p>
    <w:p>
      <w:pPr>
        <w:pStyle w:val="TextBody"/>
        <w:bidi w:val="0"/>
        <w:spacing w:before="0" w:after="0"/>
        <w:jc w:val="both"/>
        <w:rPr/>
      </w:pPr>
      <w:r>
        <w:rPr/>
      </w:r>
    </w:p>
    <w:tbl>
      <w:tblPr>
        <w:tblW w:w="5361" w:type="dxa"/>
        <w:jc w:val="left"/>
        <w:tblInd w:w="0" w:type="dxa"/>
        <w:tblLayout w:type="fixed"/>
        <w:tblCellMar>
          <w:top w:w="28" w:type="dxa"/>
          <w:left w:w="28" w:type="dxa"/>
          <w:bottom w:w="28" w:type="dxa"/>
          <w:right w:w="28" w:type="dxa"/>
        </w:tblCellMar>
      </w:tblPr>
      <w:tblGrid>
        <w:gridCol w:w="1505"/>
        <w:gridCol w:w="1321"/>
        <w:gridCol w:w="1329"/>
        <w:gridCol w:w="226"/>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consideration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 installments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assumed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93,114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incurred $1.3 million of direct acquisition-related expenses, which were recognized in the Professional fees line item of the Consolidated Statement of Operations during the year ended December 31, 2024.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final fair values of the assets acquired and liabilities assumed in connection with the EEA Acquisition: </w:t>
      </w:r>
    </w:p>
    <w:tbl>
      <w:tblPr>
        <w:tblW w:w="8053" w:type="dxa"/>
        <w:jc w:val="left"/>
        <w:tblInd w:w="0" w:type="dxa"/>
        <w:tblLayout w:type="fixed"/>
        <w:tblCellMar>
          <w:top w:w="28" w:type="dxa"/>
          <w:left w:w="28" w:type="dxa"/>
          <w:bottom w:w="28" w:type="dxa"/>
          <w:right w:w="28" w:type="dxa"/>
        </w:tblCellMar>
      </w:tblPr>
      <w:tblGrid>
        <w:gridCol w:w="1683"/>
        <w:gridCol w:w="1479"/>
        <w:gridCol w:w="1487"/>
        <w:gridCol w:w="636"/>
        <w:gridCol w:w="2331"/>
        <w:gridCol w:w="437"/>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EEA Acquisition Date 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Management/advisory fees receivable</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62,700 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30,094 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assets</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2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96,531</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2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liabilities </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3,417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93,114</w:t>
            </w: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erif" w:hAnsi="Times New Roman;serif"/>
          <w:b w:val="false"/>
          <w:color w:val="000000"/>
          <w:sz w:val="22"/>
        </w:rPr>
        <w:t xml:space="preserve">With the exception of operating right-of-use assets and operating lease liabilities accounted for under ASC 842, </w:t>
      </w:r>
      <w:r>
        <w:rPr>
          <w:rFonts w:ascii="Times New Roman;serif" w:hAnsi="Times New Roman;serif"/>
          <w:b w:val="false"/>
          <w:i/>
          <w:color w:val="000000"/>
          <w:sz w:val="22"/>
        </w:rPr>
        <w:t>Leases</w:t>
      </w:r>
      <w:r>
        <w:rPr>
          <w:rFonts w:ascii="Times New Roman;serif" w:hAnsi="Times New Roman;serif"/>
          <w:b w:val="false"/>
          <w:color w:val="000000"/>
          <w:sz w:val="22"/>
        </w:rPr>
        <w:t xml:space="preserve">, in accordance with ASC 805, the assets and liabilities were recorded at their respective fair values as of April 1, 2024. The Company developed the fair value of intangible assets, which includes trade names, customer relationships and developed technology, using various techniques including relief of royalty, excess earnings method, and a discounted cash flow approach.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28"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EEA Acquisition:</w:t>
      </w:r>
    </w:p>
    <w:p>
      <w:pPr>
        <w:pStyle w:val="TextBody"/>
        <w:bidi w:val="0"/>
        <w:spacing w:before="0" w:after="0"/>
        <w:jc w:val="left"/>
        <w:rPr/>
      </w:pPr>
      <w:r>
        <w:rPr/>
      </w:r>
    </w:p>
    <w:tbl>
      <w:tblPr>
        <w:tblW w:w="8395" w:type="dxa"/>
        <w:jc w:val="left"/>
        <w:tblInd w:w="0" w:type="dxa"/>
        <w:tblLayout w:type="fixed"/>
        <w:tblCellMar>
          <w:top w:w="28" w:type="dxa"/>
          <w:left w:w="28" w:type="dxa"/>
          <w:bottom w:w="28" w:type="dxa"/>
          <w:right w:w="28" w:type="dxa"/>
        </w:tblCellMar>
      </w:tblPr>
      <w:tblGrid>
        <w:gridCol w:w="847"/>
        <w:gridCol w:w="744"/>
        <w:gridCol w:w="748"/>
        <w:gridCol w:w="652"/>
        <w:gridCol w:w="2389"/>
        <w:gridCol w:w="319"/>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EEA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Trade Name</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61,000 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Developed Technology</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62,700 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operations for EEA have been included in the Company’s consolidated financial statements from the EEA Acquisition Date. </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 xml:space="preserve">Acquisition of AlTi Wealth Management (Switzerland) SA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On August 2, 2023, (the “AWMS Acquisition Date”), the Company acquired the remaining 70% of the issued and outstanding ownership and membership interests of AWMS, increasing its interest in AWMS from 30% to 100% (the “AWMS Acquisition”).</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2"/>
        </w:rPr>
        <w:t xml:space="preserve">The AWMS Acquisition met the requirements to be considered a business combination under ASC 805 and was accounted for using the acquisition method of accounting. The fair value of the total purchase consideration transferred was $16.8 million. The total purchase consideration transferred included cash consideration of $5.7 million, equity consideration of $1.5 million, deferred cash consideration of $6.7 million, earn-out consideration (“AWMS earn-out liability”) of $2.7 million, and the payment of assumed liabilities. Since the AWMS earn-out liability met the definition of a derivative, it was recorded at fair value as a derivative liability in Earn-out liabilities, at fair value on the Consolidated Statement of Financial Position and measured at fair value at the acquisition date and at each reporting date in accordance with ASC 820, </w:t>
      </w:r>
      <w:r>
        <w:rPr>
          <w:rFonts w:ascii="Times New Roman;serif" w:hAnsi="Times New Roman;serif"/>
          <w:b w:val="false"/>
          <w:i/>
          <w:color w:val="000000"/>
          <w:sz w:val="22"/>
        </w:rPr>
        <w:t>Fair Value Measurement</w:t>
      </w:r>
      <w:r>
        <w:rPr>
          <w:rFonts w:ascii="Times New Roman;serif" w:hAnsi="Times New Roman;serif"/>
          <w:b w:val="false"/>
          <w:color w:val="000000"/>
          <w:sz w:val="22"/>
        </w:rPr>
        <w:t>, with changes in fair value to be recognized in Gain (loss) on earnout liabilities in the Consolidated Statement of Operations and in Fair value (gain) loss on earnout liability in the Consolidated Statement of Cash Flows in the period of change. The deferred cash consideration and the earn-out consideration were both paid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 the AWMS Acquisition Date, as required by ASC 805, the Company’s existing 30% equity interest in AWMS, which was previously recognized as an equity method investment, was revalued to reflect the fair value at this date. The fair value of this existing equity method investment was $7.4 million, which was calculated as 30% of the fair value of AWMS total equity value (determined using the discounted cash flow method of the income approach, less debt), excluding the impact of any synergies or control premium that would be realized by a controlling interest. This change in fair value resulted in a gain of $1.9 million, which was recognized during the year ended December 31, 2023 in the Gain (loss) on investments line of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incurred $0.01 million in direct acquisition-related expenses, which are recognized in the Professional fees line item of the Consolidated Statement of Operations during the year ended December 31, 2024.</w:t>
      </w:r>
    </w:p>
    <w:p>
      <w:pPr>
        <w:pStyle w:val="TextBody"/>
        <w:bidi w:val="0"/>
        <w:spacing w:lineRule="auto" w:line="256" w:before="240" w:after="283"/>
        <w:jc w:val="both"/>
        <w:rPr>
          <w:rFonts w:ascii="Times New Roman;serif" w:hAnsi="Times New Roman;serif"/>
          <w:b/>
          <w:i/>
          <w:color w:val="000000"/>
          <w:sz w:val="22"/>
        </w:rPr>
      </w:pPr>
      <w:r>
        <w:rPr>
          <w:rFonts w:ascii="Times New Roman;serif" w:hAnsi="Times New Roman;serif"/>
          <w:b/>
          <w:i/>
          <w:color w:val="000000"/>
          <w:sz w:val="22"/>
        </w:rPr>
        <w:t>Acquisition of AlTi Wealth Management (Singapore) Pte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6, 2023 (the “ALWP Acquisition Date”), the Company acquired all of the issued and outstanding ownership and membership interests of AlTi Wealth Management (Singapore) Pte Limited (“ALWP”) pursuant to the terms of the share purchase agreement between the Company and ALWP (the “ALWP Acquisition”). The primary purpose of the ALWP Acquisition is to acquire ALWP’s extensive business within Southeast Asia to further expand the Company’s global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29"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ALWP Acquisition met the requirements to be considered a business combination under ASC 805 and was accounted for using the acquisition method of accounting. The fair value of the total purchase consideration transferred was $15.5 million, with the total amount paid in cash. The Company will make second and third payments to the sellers of ALWP on the third and fifth anniversary of the ALWP Acquisition Date, respectively. Management has determined that these payments will be treated as future compensation expense in the Company’s Consolidated Statement of Operations. There was no contingent consideration as part of the ALWP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year ended December 31, 2023, the Company incurred $0.4 million of direct acquisition-related expenses, which are recognized in the Professional fees line item of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AlTi Global 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Business Combination was a forward merger and accounted for using the acquisition method of accounting. The fair value of the total purchase consideration transferred was $1,071.1 million. Included in total purchase consideration was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Since this liability meets the definition of a derivative, it is recorded at fair value as a derivative liability in Earn-out liabilities, at fair value on the Consolidated Statement of Financial Position and measured at fair value at the acquisition date and at each reporting date in accordance with ASC 820, </w:t>
      </w:r>
      <w:r>
        <w:rPr>
          <w:rFonts w:ascii="Times New Roman;serif" w:hAnsi="Times New Roman;serif"/>
          <w:b w:val="false"/>
          <w:i/>
          <w:color w:val="000000"/>
          <w:sz w:val="22"/>
        </w:rPr>
        <w:t>Fair Value Measurement</w:t>
      </w:r>
      <w:r>
        <w:rPr>
          <w:rFonts w:ascii="Times New Roman;serif" w:hAnsi="Times New Roman;serif"/>
          <w:b w:val="false"/>
          <w:color w:val="000000"/>
          <w:sz w:val="22"/>
        </w:rPr>
        <w:t>, with changes in fair value to be recognized in Gain (loss) on earnout liabilities in the Consolidated Statement of Operations and in Fair value (gain) loss on earnout liability in the Consolidated Statement of Cash Flows in the period of change.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Consolidated Statement of Financial Position.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year ended December 31, 2023, the Company incurred $17.8 million of acquisition-related costs which are included predominantly in the “Professional fees” line in the Consolidated Statement of Operations. In addition, the Company incurred $4.6 million of debt issuance costs related to debt issued to finance the Business Combination. During the quarter ended December 31, 2024, the Company paid off the debt outstanding. Accordingly, the unamortized deferred debt issuance costs of $4.5 million was expensed and recorded in Interest Expense in the Statement of Operations. See Note 16 (Debt, net of unamortized deferred financing cost) for additional details.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30"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Supplemental Pro Forma Financial Information (Unaudited)</w:t>
      </w:r>
    </w:p>
    <w:p>
      <w:pPr>
        <w:pStyle w:val="TextBody"/>
        <w:bidi w:val="0"/>
        <w:spacing w:lineRule="auto" w:line="256"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selected unaudited supplemental pro forma financial information is a summary of our combined results for AWMS, ALWP, Envoi, EEA, PW and Kontora as of the year ended December 31, 2025, 2024 and 2023. The unaudited supplemental pro forma financial information gives effect to the AWMS and ALWP acquisitions as if they had occurred on January 1, 2023, the Envoi, EEA and PW acquisitions as if they had occurred on January 1, 2024, and the Kontora acquisition as if it had occurred on January 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acquisitions have been excluded from the unaudited pro forma financial information presented below since their results of operations are included in our unaudited consolidated statement of operations:</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2"/>
        </w:rPr>
        <w:t>AWMS and ALWP acquisitions for the years ended December 31, 2025 and 2024, respectively.</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2"/>
        </w:rPr>
        <w:t>EEA, PW, and Envoi acquisitions for the years ended December 31,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unaudited pro forma financial information presented below is for informational purposes only, and is not necessarily indicative of the results that would have been achieved if the acquisitions had taken place on the first of the year in which they were acquired, nor is it indicative of future results.</w:t>
      </w:r>
    </w:p>
    <w:tbl>
      <w:tblPr>
        <w:tblW w:w="8303"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109"/>
        <w:gridCol w:w="284"/>
        <w:gridCol w:w="1304"/>
        <w:gridCol w:w="137"/>
        <w:gridCol w:w="109"/>
        <w:gridCol w:w="109"/>
        <w:gridCol w:w="109"/>
        <w:gridCol w:w="284"/>
        <w:gridCol w:w="1304"/>
        <w:gridCol w:w="137"/>
        <w:gridCol w:w="109"/>
        <w:gridCol w:w="109"/>
        <w:gridCol w:w="109"/>
        <w:gridCol w:w="282"/>
        <w:gridCol w:w="1295"/>
        <w:gridCol w:w="192"/>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5"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96" w:type="dxa"/>
            <w:gridSpan w:val="6"/>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260,911 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221,297 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241,618 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(119,955)</w:t>
            </w:r>
          </w:p>
        </w:tc>
        <w:tc>
          <w:tcPr>
            <w:tcW w:w="1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(102,245)</w:t>
            </w:r>
          </w:p>
        </w:tc>
        <w:tc>
          <w:tcPr>
            <w:tcW w:w="1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(162,443)</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FOS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May 8, 2024, the Company sold FOS, its European-based trust and private office service, for cash consideration of $19.5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(5)Revenue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represents the Company’s revenue disaggregated by fee type for the periods presented below: </w:t>
      </w:r>
    </w:p>
    <w:tbl>
      <w:tblPr>
        <w:tblW w:w="9307" w:type="dxa"/>
        <w:jc w:val="left"/>
        <w:tblInd w:w="0" w:type="dxa"/>
        <w:tblLayout w:type="fixed"/>
        <w:tblCellMar>
          <w:top w:w="28" w:type="dxa"/>
          <w:left w:w="28" w:type="dxa"/>
          <w:bottom w:w="28" w:type="dxa"/>
          <w:right w:w="28" w:type="dxa"/>
        </w:tblCellMar>
      </w:tblPr>
      <w:tblGrid>
        <w:gridCol w:w="1086"/>
        <w:gridCol w:w="954"/>
        <w:gridCol w:w="960"/>
        <w:gridCol w:w="109"/>
        <w:gridCol w:w="109"/>
        <w:gridCol w:w="109"/>
        <w:gridCol w:w="109"/>
        <w:gridCol w:w="304"/>
        <w:gridCol w:w="1274"/>
        <w:gridCol w:w="146"/>
        <w:gridCol w:w="109"/>
        <w:gridCol w:w="109"/>
        <w:gridCol w:w="109"/>
        <w:gridCol w:w="304"/>
        <w:gridCol w:w="1274"/>
        <w:gridCol w:w="146"/>
        <w:gridCol w:w="109"/>
        <w:gridCol w:w="109"/>
        <w:gridCol w:w="109"/>
        <w:gridCol w:w="301"/>
        <w:gridCol w:w="1263"/>
        <w:gridCol w:w="205"/>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3"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96"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198,410 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182,599 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160,785 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42,674 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fees/income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254,956 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198,390 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221,145 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31"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tbl>
      <w:tblPr>
        <w:tblW w:w="8651" w:type="dxa"/>
        <w:jc w:val="left"/>
        <w:tblInd w:w="0" w:type="dxa"/>
        <w:tblLayout w:type="fixed"/>
        <w:tblCellMar>
          <w:top w:w="28" w:type="dxa"/>
          <w:left w:w="28" w:type="dxa"/>
          <w:bottom w:w="28" w:type="dxa"/>
          <w:right w:w="28" w:type="dxa"/>
        </w:tblCellMar>
      </w:tblPr>
      <w:tblGrid>
        <w:gridCol w:w="1379"/>
        <w:gridCol w:w="1211"/>
        <w:gridCol w:w="1220"/>
        <w:gridCol w:w="435"/>
        <w:gridCol w:w="1590"/>
        <w:gridCol w:w="209"/>
        <w:gridCol w:w="109"/>
        <w:gridCol w:w="109"/>
        <w:gridCol w:w="109"/>
        <w:gridCol w:w="427"/>
        <w:gridCol w:w="1562"/>
        <w:gridCol w:w="291"/>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2024 </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Management/advisory fees receivable</w:t>
            </w:r>
          </w:p>
        </w:tc>
        <w:tc>
          <w:tcPr>
            <w:tcW w:w="2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26,802 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Ending balance </w:t>
            </w:r>
            <w:r>
              <w:rPr>
                <w:rFonts w:ascii="Times New Roman;serif" w:hAnsi="Times New Roman;serif"/>
                <w:b/>
                <w:color w:val="000000"/>
                <w:sz w:val="14"/>
              </w:rPr>
              <w:t>(1)</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35,047 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Incentive fees receivable</w:t>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40,356 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Ending balance </w:t>
            </w:r>
            <w:r>
              <w:rPr>
                <w:rFonts w:ascii="Times New Roman;serif" w:hAnsi="Times New Roman;serif"/>
                <w:b/>
                <w:color w:val="000000"/>
                <w:sz w:val="14"/>
              </w:rPr>
              <w:t>(2)</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30,335 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Other fees/income receivable</w:t>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As of December 31, 2025 and December 31, 2024, this amount includes $0.6 million</w:t>
      </w:r>
      <w:r>
        <w:rPr>
          <w:color w:val="000000"/>
        </w:rPr>
        <w:t xml:space="preserve"> </w:t>
      </w:r>
      <w:r>
        <w:rPr>
          <w:rFonts w:ascii="Times New Roman;serif" w:hAnsi="Times New Roman;serif"/>
          <w:b w:val="false"/>
          <w:color w:val="000000"/>
          <w:sz w:val="18"/>
        </w:rPr>
        <w:t>and $0.7 million, respectively, in Management/advisory fees receivable due from related parties. See Note 18 (Related Party Transactions) for further details.</w:t>
      </w:r>
    </w:p>
    <w:p>
      <w:pPr>
        <w:pStyle w:val="TextBody"/>
        <w:bidi w:val="0"/>
        <w:spacing w:lineRule="auto" w:line="288" w:before="20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As of December 31, 2025</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December 31, 2024, this amount includes $9.0 million and $0.2 million, respectively, in Incentive fees receivable due from related parties. See Note 18 (Related Party Transactions) for further details.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(6)Equity-Based Compensation</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grants equity-based compensation awards in the form of restricted share units (“RSUs”) or performance restricted share units (“PRSUs”) for Class A Common Stock to its management, employees, consultants, and independent members of the Board under its 2023 Stock Incentive Plan (the “Plan”). The total number of shares of Class A Common Stock that may be issued under the Plan is 20,798,132, of which 5,971,095 remain available as of December 31, 2025. To the extent that an award expires or is canceled, forfeited, terminated, surrendered, exchanged or withheld to cover tax withholding obligations, the unissued awards will again be available for grant under the Plan.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recognizes equity-based compensation expenses at the Company’s stock price as of the grant date. As of December 31, 2025, the Company has an unrecognized equity-based compensation expense of $23.0 million, which is expected to be recognized over a weighted average period of 1.59 years.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32"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award activity for the years ended December 31, 2025, and 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0"/>
        <w:gridCol w:w="811"/>
        <w:gridCol w:w="813"/>
        <w:gridCol w:w="564"/>
        <w:gridCol w:w="532"/>
        <w:gridCol w:w="366"/>
        <w:gridCol w:w="114"/>
        <w:gridCol w:w="114"/>
        <w:gridCol w:w="114"/>
        <w:gridCol w:w="472"/>
        <w:gridCol w:w="1122"/>
        <w:gridCol w:w="231"/>
        <w:gridCol w:w="109"/>
        <w:gridCol w:w="109"/>
        <w:gridCol w:w="109"/>
        <w:gridCol w:w="564"/>
        <w:gridCol w:w="472"/>
        <w:gridCol w:w="366"/>
        <w:gridCol w:w="114"/>
        <w:gridCol w:w="114"/>
        <w:gridCol w:w="114"/>
        <w:gridCol w:w="459"/>
        <w:gridCol w:w="1093"/>
        <w:gridCol w:w="329"/>
      </w:tblGrid>
      <w:tr>
        <w:trPr/>
        <w:tc>
          <w:tcPr>
            <w:tcW w:w="100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Restricted common stock</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beginning of period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6,216,513 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4,797,464 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common stock granted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7,676,202 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4,181,243 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forfeited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(938,383)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vested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(2,266,401)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(1,823,811)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end of period</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11,428,887 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6,216,513 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recognized, which is included in Compensation and employee benefits in the Consolidated Statement of Operations, during the years ended December 31, 2025, 2024, and 2023:</w:t>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739"/>
        <w:gridCol w:w="648"/>
        <w:gridCol w:w="653"/>
        <w:gridCol w:w="109"/>
        <w:gridCol w:w="109"/>
        <w:gridCol w:w="109"/>
        <w:gridCol w:w="109"/>
        <w:gridCol w:w="349"/>
        <w:gridCol w:w="1195"/>
        <w:gridCol w:w="180"/>
        <w:gridCol w:w="109"/>
        <w:gridCol w:w="109"/>
        <w:gridCol w:w="109"/>
        <w:gridCol w:w="349"/>
        <w:gridCol w:w="1195"/>
        <w:gridCol w:w="180"/>
        <w:gridCol w:w="109"/>
        <w:gridCol w:w="109"/>
        <w:gridCol w:w="109"/>
        <w:gridCol w:w="344"/>
        <w:gridCol w:w="1175"/>
        <w:gridCol w:w="251"/>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3"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97"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PRSUs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TIH SPA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26,287 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2"/>
        </w:rPr>
      </w:pPr>
      <w:r>
        <w:rPr>
          <w:rFonts w:ascii="Times New Roman;serif" w:hAnsi="Times New Roman;serif"/>
          <w:b w:val="false"/>
          <w:i/>
          <w:color w:val="000000"/>
          <w:sz w:val="22"/>
        </w:rPr>
        <w:t>RSUs</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the Business Combination, certain of TWMH’s restricted units vested and the Company granted fully vested shares to Alvarium’s employees, resulting in compensation expense of $4.2 million and $24.6 million, respectively, during the year ended December 31, 2023. The $24.6 million consisted of $21.0 million related to the acceleration of 2.1 million of earn-out shares at closing and $3.6 million for 360,485 shares related to another transaction completed in contemplation of and for the benefit of the acquirer under Topic 805. None of these stock awards were outstanding after the Business Combination.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Upon completion of the Business Combination, the Company issued 60,800 shares of Class A Common Stock to employees of the Company. These awards vested in full immediately and had a fair value of $10.00 per share, resulting in compensation expense of $0.6 million for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27, 2025 and May 14, 2025, the Company granted 2,772,576 and 79,155, respectively, of RSUs to its employees, which vest over a three-year period and had a fair value of $3.45 and $3.32, respectively, per share. On June 5, 2024, the Company granted 2,219,661 RSUs to its employees, which vest over a three-year period and had a fair value of $4.78 per share. On May 31, 2023, the Company granted 4,697,317 RSUs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33"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employees, which vest over a three-year period and had a fair value of $4.35 per share. These grants resulted in compensation expense of $11.7 million, $8.6 million, and $5.4 million for the years ended December 31, 2025, 2024, and 2023, respectively. Since the initial grant date of these awards, 1,028,495 shares have been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June 23, 2025, the Company granted 231,889 RSUs to its Board, which vest over a twelve-month period and had a grant date fair value of $4.07 per share. On August 2, 2024, the Company granted 45,549 RSUs to its Board, which vested over an eleven-month period and had a grant date fair value of $4.38 per share.On June 27, 2024, the Company granted 123,732 RSUs to its Board, which vested over a twelve-month period and had a grant date fair value of $4.91 per share. On March 1, 2024, the Company granted 138,564 RSUs to its Board, which vested over a four-month period and had a fair value of $5.87 per share. On March 23, 2023, in connection with the Business Combination, the Company granted 65,554 RSUs to its Board, which vested over an approximate nine-month period and had a fair value of $12.56 per share. These grants resulted in compensation expense of $0.9 million, $1.2 million, and $0.8 million for the years ended December 31, 2025, 2024, and 2023, respectively.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April 15, 2025, the Company granted 81,266 shares of Class A Common Stock to employees, representative of buy-out equity awards as restricted units, vesting over a three-year period, with a fair value of $3.31 per share. On December 23, 2024, the Company granted 57,458 shares of Class A Common Stock to employees, representative of buy-out equity awards as restricted units, vesting over a three year period, with a fair value of $4.14 per share. On February 6, 2024, the Company granted 29,154 shares of Class A Common Stock to employees, representative of buy-out equity awards as restricted units, vesting over a two year period, with a fair value of $5.36 per share. On various dates throughout 2023, the Company granted 111,148 and 118,987 RSUs to employees, representative of buy-out equity awards as restricted units, vesting generally over a one to three year period, with a fair value of $7.66 and $8.72, respectively, per share. The Company recognized compensation expense of $1.3 million, $0.8 million, and $1.0 million for the years ended December 31, 2025, 2024, and 2023, respectively, related to these buy-out equity awards.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year ended December 31, 2025, the Company reclassed certain liability classified retention awards to be equity classified and recognized compensation expense for the year ended December 31, 2025 of $5.0 million related to these retention awards.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PRSUs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grants PRSUs to selected members of AlTi’s executive team. Vesting of the PRSUs is based on meeting certain market conditions and the requisite service period. The PRSUs are eligible to vest on a graded basis at the end of each of three annual performance periods, subject to the employee’s continued service with the Company through the applicable performance period, and are only earned upon achievement of total shareholder return of the Company’s Class A Common Stock exceeding certain thresholds.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May 22, 2025, the Company granted 263,564 PRSUs to participants and used a Monte Carlo simulation model to determine the average grant date fair value of $2.82 per share using the following model inputs and assumptions: (i) ending average stock price of $3.19, (ii) volatility rate of 60.7%, (iii) risk free rate of 4.0% and (iv) expected term of 2.86 years. Compensation expense associated with the PRSUs will be recognized over the longer of the expected achievement period for the service or market condition. On June 5, 2024, the Company granted 1,567,125 PRSUs to participants and used a Monte Carlo simulation model to determine the average grant date fair value of $5.76 per share using the following model inputs and assumptions: (i) ending average stock price of $4.78, (ii) volatility rate of 62.1%, (iii) risk free rate of 4.5% and (iv) expected term of 2.88 years. Compensation expense associated with the PRSUs will be recognized over the longer of the expected achievement period for the service or market condition. These grants resulted in compensation expense of $3.2 million and $3.2 million for the years ended December 31, 2025 and 2024, respectively. Since the initial grant date of these awards, 289,942 shares have been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34"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Acquisition-Related Equity-Based Compensation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number of shares awarded will be calculated based on the twenty-day average volume weighted average price of the Company’s Class A Common Stock preceding the first and second payment dates. The Company recognized an expense for the earn-ins of $0.9 million, $4.1 million, $7.0 million for the years ended December 31, 2025, 2024, and 2023,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pattern as the above-described amendment for the compensatory earn-ins. On April 1, 2025, the final contingent consideration payment was made, extinguishing the liability balance as of December 31, 2025. As of December 31, 2024, this contingent consideration is recorded as a liability of $0.9 million in the Earn-in consideration payable line of the Consolidated Statement of Financial Condition.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East End Advisors (see Note 4 Business Combinations and Divestitures), certain employees of East End Advisors are entitled to receive a portion of the contingent consideration comprised of a combination of additional cash and shares of the Company (the “EEA Equity Awards”) based on the future EBITDA performance targets between the closing date of April 3, 2024 and the fifth anniversary of the closing date. The portion of the EEA Equity Awards to be issued in shares was measured at fair value as of the closing date. The Company recognized compensation expense for the estimated shares in relation to the accrual of the EEA Equity Awards of $2.2 million and $1.6 million for the years ended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Envoi (see Note 4 Business Combinations and Divestitures), certain employees of Envoi are entitled to receive a portion of the earn-out growth consideration liability comprised of a combination of cash and additional shares of the Company (the “Envoi Equity Awards”). Compensation expense related to the Envoi Equity Awards is determined in accordance with revenue based formulas provided for in the asset purchase agreement and are payable to eligible employees in 2028. The Company recognized compensation expense in relation to the accrual of the Envoi Equity Awards of $0.3 million and $0.1 million for the years ended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PW (see Note 4 Business Combinations and Divestitures), certain employees of PW were entitled to receive additional shares of the Company (the “PW Earn-Ins”). The PW Earn-Ins were payable in equity upon the achievement of certain integration milestones and were due for payment no later than March 1, 2025. The estimated deferred consideration was paid in cash and equity during the first quarter ended March 31, 2025. The Company recognized compensation expense in relation to the accrual of the PW Earn-Ins of $1.0 million for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35"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Kontora (see Note 4 Business Combinations and Divestitures), the Company may be required to make additional compensatory payments comprised of a combination of cash and equity at the Company’s option based on Kontora’s adjusted EBITDA (the “Kontora Earn-Ins”). The Company recognized compensation expense in relation to the accrual for the expected equity element of the Kontora Earn-Ins of $1.1 million for the year ended December 31, 2025.</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2"/>
        </w:rPr>
      </w:pPr>
      <w:r>
        <w:rPr>
          <w:rFonts w:ascii="Times New Roman;serif" w:hAnsi="Times New Roman;serif"/>
          <w:b w:val="false"/>
          <w:i/>
          <w:color w:val="000000"/>
          <w:sz w:val="22"/>
        </w:rPr>
        <w:t>Revenue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years ended December 31, 2025, 2024, and 2023, the Company accrued $1.0 million, $1.1 million, and $1.2 million, respectively, in compensation expense related to various revenue share arrangements to its employees, which is included in Compensation and employee benefits in the Consolidated Statement of Operations and in Accrued compensation and profit sharing in the Consolidated Statement of Financial Position.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Deferred Compensation Liability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acquisition of all of the issued and outstanding ownership and membership interests of AlTi Wealth Management (Singapore) Pte Limited (“ALWP”) pursuant to the terms of the share purchase agreement between the Company and ALWP on April 6, 2023, the Company accrued, during the years ended December 31, 2025 and 2024, $4.5 million and $4.5 million, respectively, in shares of Class A Common Stock which is included in Compensation and employee benefits in the Consolidated Statement of Operations and in Accrued compensation and profit sharing in the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36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(7)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computation of the effective tax rate, tax provision and related income tax assets and liabilities are based on, among other things, an estimate of the impact of the exchanges of Common Units for shares of Class A Stock, inclusive of an analysis of tax basis and state tax implications of the Company and their underlying assets and liabilities. The Company’s estimate is based on the most recent information available and cannot be finally determined until the Company’s 2025 tax returns have been filed. The tax basis and impact of the Company and their underlying assets and liabilities are based on estimates subject to finalization of its tax returns.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36"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For financial reporting purposes, the components of income (loss) from continuing operations before income tax benefit were as follows:</w:t>
      </w:r>
    </w:p>
    <w:tbl>
      <w:tblPr>
        <w:tblW w:w="10145" w:type="dxa"/>
        <w:jc w:val="left"/>
        <w:tblInd w:w="0" w:type="dxa"/>
        <w:tblLayout w:type="fixed"/>
        <w:tblCellMar>
          <w:top w:w="28" w:type="dxa"/>
          <w:left w:w="28" w:type="dxa"/>
          <w:bottom w:w="28" w:type="dxa"/>
          <w:right w:w="28" w:type="dxa"/>
        </w:tblCellMar>
      </w:tblPr>
      <w:tblGrid>
        <w:gridCol w:w="1428"/>
        <w:gridCol w:w="1254"/>
        <w:gridCol w:w="1263"/>
        <w:gridCol w:w="109"/>
        <w:gridCol w:w="109"/>
        <w:gridCol w:w="109"/>
        <w:gridCol w:w="284"/>
        <w:gridCol w:w="1304"/>
        <w:gridCol w:w="137"/>
        <w:gridCol w:w="109"/>
        <w:gridCol w:w="109"/>
        <w:gridCol w:w="109"/>
        <w:gridCol w:w="284"/>
        <w:gridCol w:w="1304"/>
        <w:gridCol w:w="137"/>
        <w:gridCol w:w="109"/>
        <w:gridCol w:w="109"/>
        <w:gridCol w:w="109"/>
        <w:gridCol w:w="308"/>
        <w:gridCol w:w="1251"/>
        <w:gridCol w:w="210"/>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(66,901)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(65,357)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(8,812)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(38,228)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(57,747)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(33,363)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Income (loss) before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(105,129)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(123,104)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(42,175)</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the Company’s income tax expense (benefit) from continuing operations :</w:t>
      </w:r>
    </w:p>
    <w:tbl>
      <w:tblPr>
        <w:tblW w:w="9483" w:type="dxa"/>
        <w:jc w:val="left"/>
        <w:tblInd w:w="0" w:type="dxa"/>
        <w:tblLayout w:type="fixed"/>
        <w:tblCellMar>
          <w:top w:w="28" w:type="dxa"/>
          <w:left w:w="28" w:type="dxa"/>
          <w:bottom w:w="28" w:type="dxa"/>
          <w:right w:w="28" w:type="dxa"/>
        </w:tblCellMar>
      </w:tblPr>
      <w:tblGrid>
        <w:gridCol w:w="1189"/>
        <w:gridCol w:w="1044"/>
        <w:gridCol w:w="1052"/>
        <w:gridCol w:w="109"/>
        <w:gridCol w:w="109"/>
        <w:gridCol w:w="109"/>
        <w:gridCol w:w="335"/>
        <w:gridCol w:w="1227"/>
        <w:gridCol w:w="162"/>
        <w:gridCol w:w="109"/>
        <w:gridCol w:w="109"/>
        <w:gridCol w:w="109"/>
        <w:gridCol w:w="311"/>
        <w:gridCol w:w="1263"/>
        <w:gridCol w:w="150"/>
        <w:gridCol w:w="109"/>
        <w:gridCol w:w="109"/>
        <w:gridCol w:w="109"/>
        <w:gridCol w:w="340"/>
        <w:gridCol w:w="1198"/>
        <w:gridCol w:w="231"/>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(10,119)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(22,951)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(2,224)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(9,073)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18,588 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(20,856)</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More than 50% of the Company's recognized state and local income tax benefit for all periods is attributable to New York state and New York City.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37"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reconciliation of the Company’s effective rate to the statutory rate for the year ended December 31, 2025:</w:t>
      </w:r>
    </w:p>
    <w:tbl>
      <w:tblPr>
        <w:tblW w:w="7370" w:type="dxa"/>
        <w:jc w:val="left"/>
        <w:tblInd w:w="0" w:type="dxa"/>
        <w:tblLayout w:type="fixed"/>
        <w:tblCellMar>
          <w:top w:w="28" w:type="dxa"/>
          <w:left w:w="28" w:type="dxa"/>
          <w:bottom w:w="28" w:type="dxa"/>
          <w:right w:w="28" w:type="dxa"/>
        </w:tblCellMar>
      </w:tblPr>
      <w:tblGrid>
        <w:gridCol w:w="1532"/>
        <w:gridCol w:w="1345"/>
        <w:gridCol w:w="1353"/>
        <w:gridCol w:w="109"/>
        <w:gridCol w:w="109"/>
        <w:gridCol w:w="109"/>
        <w:gridCol w:w="232"/>
        <w:gridCol w:w="878"/>
        <w:gridCol w:w="120"/>
        <w:gridCol w:w="291"/>
        <w:gridCol w:w="294"/>
        <w:gridCol w:w="299"/>
        <w:gridCol w:w="109"/>
        <w:gridCol w:w="109"/>
        <w:gridCol w:w="109"/>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699" w:type="dxa"/>
            <w:gridSpan w:val="6"/>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tax expense (benefit)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 Limitation under 162(m)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38"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reconciliation of the Company’s effective rate to the statutory rate for the years ended December 31, 2024 and 2023:</w:t>
      </w:r>
    </w:p>
    <w:tbl>
      <w:tblPr>
        <w:tblW w:w="8597" w:type="dxa"/>
        <w:jc w:val="left"/>
        <w:tblInd w:w="0" w:type="dxa"/>
        <w:tblLayout w:type="fixed"/>
        <w:tblCellMar>
          <w:top w:w="28" w:type="dxa"/>
          <w:left w:w="28" w:type="dxa"/>
          <w:bottom w:w="28" w:type="dxa"/>
          <w:right w:w="28" w:type="dxa"/>
        </w:tblCellMar>
      </w:tblPr>
      <w:tblGrid>
        <w:gridCol w:w="1483"/>
        <w:gridCol w:w="1302"/>
        <w:gridCol w:w="1310"/>
        <w:gridCol w:w="109"/>
        <w:gridCol w:w="109"/>
        <w:gridCol w:w="109"/>
        <w:gridCol w:w="211"/>
        <w:gridCol w:w="796"/>
        <w:gridCol w:w="109"/>
        <w:gridCol w:w="255"/>
        <w:gridCol w:w="256"/>
        <w:gridCol w:w="271"/>
        <w:gridCol w:w="109"/>
        <w:gridCol w:w="109"/>
        <w:gridCol w:w="109"/>
        <w:gridCol w:w="217"/>
        <w:gridCol w:w="711"/>
        <w:gridCol w:w="112"/>
        <w:gridCol w:w="291"/>
        <w:gridCol w:w="294"/>
        <w:gridCol w:w="325"/>
      </w:tblGrid>
      <w:tr>
        <w:trPr/>
        <w:tc>
          <w:tcPr>
            <w:tcW w:w="14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tax expense (benefit)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true-ups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Effective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pPr>
      <w:r>
        <w:rPr>
          <w:rFonts w:ascii="Times New Roman;serif" w:hAnsi="Times New Roman;serif"/>
          <w:b w:val="false"/>
          <w:color w:val="000000"/>
          <w:sz w:val="22"/>
        </w:rPr>
        <w:t>The Company had an effective tax rate on continuing operations of (17.7)%, 16.9% and 1.2% for the years ended December 31, 2025, 2024 and 2023, respectively. The effective tax rates differed from the statutory rate primarily due to the impact of valuation allowance with respect to deferred tax assets generated in the Company’s subsidiaries in the U.K. and in the Company’s investment in subsidiary, the portion of income allocated to noncontrolling interests, and goodwill impairment</w:t>
      </w:r>
      <w:r>
        <w:rPr>
          <w:rFonts w:ascii="Times New Roman;serif" w:hAnsi="Times New Roman;serif"/>
          <w:b w:val="false"/>
          <w:color w:val="000000"/>
          <w:sz w:val="24"/>
        </w:rPr>
        <w:t xml:space="preserve">.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39"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and 2024 the income tax effects of temporary differences that give rise to significant portions of deferred tax assets and liabilities were as follows:</w:t>
      </w:r>
    </w:p>
    <w:tbl>
      <w:tblPr>
        <w:tblW w:w="7043" w:type="dxa"/>
        <w:jc w:val="left"/>
        <w:tblInd w:w="0" w:type="dxa"/>
        <w:tblLayout w:type="fixed"/>
        <w:tblCellMar>
          <w:top w:w="28" w:type="dxa"/>
          <w:left w:w="28" w:type="dxa"/>
          <w:bottom w:w="28" w:type="dxa"/>
          <w:right w:w="28" w:type="dxa"/>
        </w:tblCellMar>
      </w:tblPr>
      <w:tblGrid>
        <w:gridCol w:w="1049"/>
        <w:gridCol w:w="920"/>
        <w:gridCol w:w="926"/>
        <w:gridCol w:w="109"/>
        <w:gridCol w:w="109"/>
        <w:gridCol w:w="109"/>
        <w:gridCol w:w="349"/>
        <w:gridCol w:w="1195"/>
        <w:gridCol w:w="180"/>
        <w:gridCol w:w="109"/>
        <w:gridCol w:w="109"/>
        <w:gridCol w:w="109"/>
        <w:gridCol w:w="344"/>
        <w:gridCol w:w="1175"/>
        <w:gridCol w:w="251"/>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deferred tax asset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(9,567)</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the Company has U.S. federal net operating losses (“NOLs”) of $88.7 million and foreign NOLs of $81.8 million that can be carried forward indefinitely until they are used. The Company regularly evaluates the realizability of its deferred tax asset and may recognize or adjust any valuation allowance when it is more-likely-than-not that all or a portion of the deferred tax asset may not be realized. As of December 31, 2025, the Company has recorded a full valuation allowance against the NOLs and other available tax attributes generated by its U.S. operations and substantially all the foreign subsidiaries with NOL carryforwards are in a full valuation allowance position.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Company files its tax returns as prescribed by the tax laws of the jurisdictions in which it operates. In the normal course of business, the tax years that remain open under the statute of limitations will be subject to examinations by the appropriate tax authorities. The Company is currently under examination by New York City UBT for the years ended December 2020 and </w:t>
      </w:r>
      <w:r>
        <w:rPr>
          <w:rFonts w:ascii="Times New Roman;serif" w:hAnsi="Times New Roman;serif"/>
          <w:b w:val="false"/>
          <w:color w:val="000000"/>
          <w:sz w:val="24"/>
        </w:rPr>
        <w:t>2021</w:t>
      </w:r>
      <w:r>
        <w:rPr>
          <w:rFonts w:ascii="Times New Roman;serif" w:hAnsi="Times New Roman;serif"/>
          <w:b w:val="false"/>
          <w:color w:val="000000"/>
          <w:sz w:val="22"/>
        </w:rPr>
        <w:t>.</w:t>
      </w:r>
      <w:r>
        <w:rPr>
          <w:color w:val="008080"/>
        </w:rPr>
        <w:t xml:space="preserve"> </w:t>
      </w:r>
      <w:r>
        <w:rPr>
          <w:rFonts w:ascii="Times New Roman;serif" w:hAnsi="Times New Roman;serif"/>
          <w:b w:val="false"/>
          <w:color w:val="000000"/>
          <w:sz w:val="22"/>
        </w:rPr>
        <w:t>We do not believe that there is material exposure in connection with the examination.</w:t>
      </w:r>
      <w:r>
        <w:rPr>
          <w:color w:val="008080"/>
        </w:rPr>
        <w:t xml:space="preserv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40"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a reconciliation of the Company’s total gross unrecognized tax benefits for the year ended December 31, 2025 and 2024:</w:t>
      </w:r>
    </w:p>
    <w:p>
      <w:pPr>
        <w:pStyle w:val="TextBody"/>
        <w:bidi w:val="0"/>
        <w:spacing w:before="0" w:after="0"/>
        <w:jc w:val="both"/>
        <w:rPr/>
      </w:pPr>
      <w:r>
        <w:rPr/>
      </w:r>
    </w:p>
    <w:tbl>
      <w:tblPr>
        <w:tblW w:w="8797" w:type="dxa"/>
        <w:jc w:val="left"/>
        <w:tblInd w:w="0" w:type="dxa"/>
        <w:tblLayout w:type="fixed"/>
        <w:tblCellMar>
          <w:top w:w="28" w:type="dxa"/>
          <w:left w:w="28" w:type="dxa"/>
          <w:bottom w:w="28" w:type="dxa"/>
          <w:right w:w="28" w:type="dxa"/>
        </w:tblCellMar>
      </w:tblPr>
      <w:tblGrid>
        <w:gridCol w:w="1684"/>
        <w:gridCol w:w="1478"/>
        <w:gridCol w:w="1488"/>
        <w:gridCol w:w="109"/>
        <w:gridCol w:w="109"/>
        <w:gridCol w:w="109"/>
        <w:gridCol w:w="461"/>
        <w:gridCol w:w="1021"/>
        <w:gridCol w:w="242"/>
        <w:gridCol w:w="109"/>
        <w:gridCol w:w="109"/>
        <w:gridCol w:w="109"/>
        <w:gridCol w:w="448"/>
        <w:gridCol w:w="992"/>
        <w:gridCol w:w="329"/>
      </w:tblGrid>
      <w:tr>
        <w:trPr/>
        <w:tc>
          <w:tcPr>
            <w:tcW w:w="168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for tax positions of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Lapses in statues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year ended December 31, 2025, income taxes paid exceeded 5% of total income taxes paid, net of refunds, in the following jurisdictions:</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1249"/>
        <w:gridCol w:w="1097"/>
        <w:gridCol w:w="1104"/>
        <w:gridCol w:w="109"/>
        <w:gridCol w:w="109"/>
        <w:gridCol w:w="109"/>
        <w:gridCol w:w="380"/>
        <w:gridCol w:w="1110"/>
        <w:gridCol w:w="279"/>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years ended December 31, 2024 and 2023, income taxes paid, net, were $1.5 million and $0.8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(8) Fair Value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jc w:val="both"/>
        <w:rPr/>
      </w:pPr>
      <w:r>
        <w:rPr>
          <w:color w:val="000000"/>
        </w:rPr>
        <w:t>•</w:t>
      </w:r>
      <w:r>
        <w:rPr>
          <w:rFonts w:ascii="Times New Roman;serif" w:hAnsi="Times New Roman;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jc w:val="both"/>
        <w:rPr/>
      </w:pPr>
      <w:r>
        <w:rPr>
          <w:color w:val="000000"/>
        </w:rPr>
        <w:t>•</w:t>
      </w:r>
      <w:r>
        <w:rPr>
          <w:rFonts w:ascii="Times New Roman;serif" w:hAnsi="Times New Roman;serif"/>
          <w:b w:val="false"/>
          <w:color w:val="000000"/>
          <w:sz w:val="22"/>
        </w:rPr>
        <w:t>Level 2 – Valuations based on quoted prices in markets that are not active or for which all significant inputs are observable, either directly or indirectly.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41"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pPr>
      <w:r>
        <w:rPr>
          <w:color w:val="000000"/>
        </w:rPr>
        <w:t>•</w:t>
      </w:r>
      <w:r>
        <w:rPr>
          <w:rFonts w:ascii="Times New Roman;serif" w:hAnsi="Times New Roman;serif"/>
          <w:b w:val="false"/>
          <w:color w:val="000000"/>
          <w:sz w:val="22"/>
        </w:rPr>
        <w:t>Level 3 – Valuations based on inputs that are unobservable and significant to the overall fair value measurement.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Level 3 Valuation Techniques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 </w:t>
      </w:r>
    </w:p>
    <w:p>
      <w:pPr>
        <w:pStyle w:val="TextBody"/>
        <w:bidi w:val="0"/>
        <w:spacing w:lineRule="auto" w:line="268" w:before="180" w:after="283"/>
        <w:ind w:left="0" w:right="0" w:hanging="360"/>
        <w:jc w:val="both"/>
        <w:rPr/>
      </w:pPr>
      <w:r>
        <w:rPr>
          <w:color w:val="000000"/>
        </w:rPr>
        <w:t>•</w:t>
      </w:r>
      <w:r>
        <w:rPr>
          <w:rFonts w:ascii="Times New Roman;serif" w:hAnsi="Times New Roman;serif"/>
          <w:b/>
          <w:color w:val="000000"/>
          <w:sz w:val="22"/>
        </w:rPr>
        <w:t xml:space="preserve">Business Combination Earn-Out Liability - </w:t>
      </w:r>
      <w:r>
        <w:rPr>
          <w:rFonts w:ascii="Times New Roman;serif" w:hAnsi="Times New Roman;serif"/>
          <w:b w:val="false"/>
          <w:color w:val="000000"/>
          <w:sz w:val="22"/>
        </w:rPr>
        <w:t xml:space="preserve">The Company’s valuation approach utilized a Monte Carlo simulation to estimate future share prices and the implied earn-out payment discounted using the risk-free rate.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TRA Liability - </w:t>
      </w:r>
      <w:r>
        <w:rPr>
          <w:rFonts w:ascii="Times New Roman;serif" w:hAnsi="Times New Roman;serif"/>
          <w:b w:val="false"/>
          <w:color w:val="000000"/>
          <w:sz w:val="22"/>
        </w:rPr>
        <w:t>The Company’s valuation approach utilized a Monte Carlo simulation to estimate future taxable income, share prices, and the implied TRA payments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AWMS Earn-Out Liability</w:t>
      </w:r>
      <w:r>
        <w:rPr>
          <w:color w:val="000000"/>
        </w:rPr>
        <w:t xml:space="preserve"> </w:t>
      </w:r>
      <w:r>
        <w:rPr>
          <w:rFonts w:ascii="Times New Roman;serif" w:hAnsi="Times New Roman;serif"/>
          <w:b w:val="false"/>
          <w:color w:val="000000"/>
          <w:sz w:val="22"/>
        </w:rPr>
        <w:t xml:space="preserve">- In connection with the deferred cash consideration related to its acquisition of the remaining 70% of the issued and outstanding ownership and membership interests of AlTi Wealth Management (Switzerland) SA, (“AWMS”), increasing its interest in AWMS from 30% to 100%, on August 2, 2023, the Company’s valuation approach utilized a Monte Carlo simulation to estimate future revenue and the implied earn-out payment discounted using the liability discount rate which is estimated based on the Company’s credit rating. As of September 30, 2024, the settlement amount became known, which was based on actual revenues received, and the use of the Level 3 valuation technique was discontinued. Additionally, during the fourth quarter of 2024, the AWMS earn-out liability was fully paid.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EEA Earn-Out Liability -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Company’s credit quality.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Consideration Liability</w:t>
      </w:r>
      <w:r>
        <w:rPr>
          <w:color w:val="000000"/>
        </w:rPr>
        <w:t xml:space="preserve"> </w:t>
      </w:r>
      <w:r>
        <w:rPr>
          <w:rFonts w:ascii="Times New Roman;serif" w:hAnsi="Times New Roman;serif"/>
          <w:b w:val="false"/>
          <w:color w:val="000000"/>
          <w:sz w:val="22"/>
        </w:rPr>
        <w:t>- The Company’s valuation approach utilized a risk-adjusted Discounted Cash Flow approach to determine the fair value using the liability discount rate which is estimated based on the Company’s credit quality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Growth Consideration Liability</w:t>
      </w:r>
      <w:r>
        <w:rPr>
          <w:color w:val="000000"/>
        </w:rPr>
        <w:t xml:space="preserve"> </w:t>
      </w:r>
      <w:r>
        <w:rPr>
          <w:rFonts w:ascii="Times New Roman;serif" w:hAnsi="Times New Roman;serif"/>
          <w:b w:val="false"/>
          <w:color w:val="000000"/>
          <w:sz w:val="22"/>
        </w:rPr>
        <w:t xml:space="preserve">- The Company’s valuation approach utilized a Monte Carlo simulation to estimate future revenue and the implied earn-out payment discounted using the liability discount rate which is estimated based on the Company’s credit quality rating.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Kontora Earn-Out Liability -</w:t>
      </w:r>
      <w:r>
        <w:rPr>
          <w:color w:val="000000"/>
        </w:rPr>
        <w:t xml:space="preserve">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Kontora subgroups’ weighted average cost of capital for a useful life of ten years.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Preferred Stock Tranche Liability</w:t>
      </w:r>
      <w:r>
        <w:rPr>
          <w:color w:val="000000"/>
        </w:rPr>
        <w:t xml:space="preserve"> </w:t>
      </w:r>
      <w:r>
        <w:rPr>
          <w:rFonts w:ascii="Times New Roman;serif" w:hAnsi="Times New Roman;serif"/>
          <w:b w:val="false"/>
          <w:color w:val="000000"/>
          <w:sz w:val="22"/>
        </w:rPr>
        <w:t xml:space="preserve">- The fair value of the Allianz Tranche Right is determined based on Level 3 inputs using a binomial lattice model. At each node of the 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42"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inducting values in the binomial lattice model to the initial node. A probability-weighted assessment is also included as part of the inputs to the valuation of the Allianz Tranche Right.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Investments in External Strategic Managers - </w:t>
      </w:r>
      <w:r>
        <w:rPr>
          <w:rFonts w:ascii="Times New Roman;serif" w:hAnsi="Times New Roman;serif"/>
          <w:b w:val="false"/>
          <w:color w:val="000000"/>
          <w:sz w:val="22"/>
        </w:rPr>
        <w:t>The Company utilized a Discounted Cash Flow approach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Refer to the valuation methodologies table below for further analysis of Level 3 valuations.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financial instruments measured at fair value in the Consolidated Statement of Financial Position as of December 31, 2025, and December 31, 2024 have been categorized based on the fair value hierarchy as follows: </w:t>
      </w:r>
    </w:p>
    <w:tbl>
      <w:tblPr>
        <w:tblW w:w="9716" w:type="dxa"/>
        <w:jc w:val="left"/>
        <w:tblInd w:w="0" w:type="dxa"/>
        <w:tblLayout w:type="fixed"/>
        <w:tblCellMar>
          <w:top w:w="28" w:type="dxa"/>
          <w:left w:w="28" w:type="dxa"/>
          <w:bottom w:w="28" w:type="dxa"/>
          <w:right w:w="28" w:type="dxa"/>
        </w:tblCellMar>
      </w:tblPr>
      <w:tblGrid>
        <w:gridCol w:w="1157"/>
        <w:gridCol w:w="1016"/>
        <w:gridCol w:w="1022"/>
        <w:gridCol w:w="322"/>
        <w:gridCol w:w="668"/>
        <w:gridCol w:w="179"/>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 External Strategic Managers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Investments – Affiliated Funds </w:t>
            </w:r>
            <w:r>
              <w:rPr>
                <w:rFonts w:ascii="Times New Roman;serif" w:hAnsi="Times New Roman;serif"/>
                <w:b/>
                <w:color w:val="000000"/>
                <w:sz w:val="12"/>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Other</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68,606 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31" w:type="dxa"/>
        <w:jc w:val="left"/>
        <w:tblInd w:w="0" w:type="dxa"/>
        <w:tblLayout w:type="fixed"/>
        <w:tblCellMar>
          <w:top w:w="28" w:type="dxa"/>
          <w:left w:w="28" w:type="dxa"/>
          <w:bottom w:w="28" w:type="dxa"/>
          <w:right w:w="28" w:type="dxa"/>
        </w:tblCellMar>
      </w:tblPr>
      <w:tblGrid>
        <w:gridCol w:w="1162"/>
        <w:gridCol w:w="1020"/>
        <w:gridCol w:w="1027"/>
        <w:gridCol w:w="316"/>
        <w:gridCol w:w="679"/>
        <w:gridCol w:w="175"/>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External Strategic Managers</w:t>
            </w:r>
            <w:r>
              <w:rPr>
                <w:color w:val="000000"/>
              </w:rPr>
              <w:t xml:space="preserve">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Affiliated Funds</w:t>
            </w:r>
            <w:r>
              <w:rPr>
                <w:color w:val="000000"/>
              </w:rPr>
              <w:t xml:space="preserve"> </w:t>
            </w:r>
            <w:r>
              <w:rPr>
                <w:rFonts w:ascii="Times New Roman;serif" w:hAnsi="Times New Roman;serif"/>
                <w:b/>
                <w:color w:val="000000"/>
                <w:sz w:val="12"/>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 consideration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77,957 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43"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40" w:after="283"/>
        <w:jc w:val="both"/>
        <w:rPr/>
      </w:pPr>
      <w:r>
        <w:rPr>
          <w:rFonts w:ascii="Times New Roman;serif" w:hAnsi="Times New Roman;serif"/>
          <w:b/>
          <w:color w:val="000000"/>
          <w:sz w:val="12"/>
          <w:shd w:fill="FFFFFF" w:val="clear"/>
        </w:rPr>
        <w:t>(1)</w:t>
      </w:r>
      <w:r>
        <w:rPr>
          <w:color w:val="000000"/>
          <w:shd w:fill="FFFFFF" w:val="clear"/>
        </w:rPr>
        <w:t xml:space="preserve"> </w:t>
      </w:r>
      <w:r>
        <w:rPr>
          <w:rFonts w:ascii="Times New Roman;serif" w:hAnsi="Times New Roman;serif"/>
          <w:b w:val="false"/>
          <w:color w:val="000000"/>
          <w:sz w:val="18"/>
        </w:rPr>
        <w:t>Investments in Affiliated Funds are measured at fair value using the NAV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pStyle w:val="TextBody"/>
        <w:bidi w:val="0"/>
        <w:spacing w:lineRule="auto" w:line="288" w:before="24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The Company carries a portion of its TRA liability at fair value equal to the expected future payments under the TRA.</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Level 3 Rollforwards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a summary of changes in the fair value of Level 3 financial instruments during the years ended December 31, 2025 and December 31, 2024:</w:t>
      </w:r>
    </w:p>
    <w:tbl>
      <w:tblPr>
        <w:tblW w:w="10205" w:type="dxa"/>
        <w:jc w:val="left"/>
        <w:tblInd w:w="0" w:type="dxa"/>
        <w:tblLayout w:type="fixed"/>
        <w:tblCellMar>
          <w:top w:w="28" w:type="dxa"/>
          <w:left w:w="28" w:type="dxa"/>
          <w:bottom w:w="28" w:type="dxa"/>
          <w:right w:w="28" w:type="dxa"/>
        </w:tblCellMar>
      </w:tblPr>
      <w:tblGrid>
        <w:gridCol w:w="765"/>
        <w:gridCol w:w="565"/>
        <w:gridCol w:w="569"/>
        <w:gridCol w:w="229"/>
        <w:gridCol w:w="862"/>
        <w:gridCol w:w="127"/>
        <w:gridCol w:w="109"/>
        <w:gridCol w:w="109"/>
        <w:gridCol w:w="109"/>
        <w:gridCol w:w="235"/>
        <w:gridCol w:w="488"/>
        <w:gridCol w:w="133"/>
        <w:gridCol w:w="109"/>
        <w:gridCol w:w="109"/>
        <w:gridCol w:w="109"/>
        <w:gridCol w:w="273"/>
        <w:gridCol w:w="565"/>
        <w:gridCol w:w="153"/>
        <w:gridCol w:w="109"/>
        <w:gridCol w:w="109"/>
        <w:gridCol w:w="109"/>
        <w:gridCol w:w="249"/>
        <w:gridCol w:w="767"/>
        <w:gridCol w:w="138"/>
        <w:gridCol w:w="109"/>
        <w:gridCol w:w="109"/>
        <w:gridCol w:w="109"/>
        <w:gridCol w:w="346"/>
        <w:gridCol w:w="719"/>
        <w:gridCol w:w="195"/>
        <w:gridCol w:w="109"/>
        <w:gridCol w:w="109"/>
        <w:gridCol w:w="109"/>
        <w:gridCol w:w="213"/>
        <w:gridCol w:w="803"/>
        <w:gridCol w:w="176"/>
      </w:tblGrid>
      <w:tr>
        <w:trPr/>
        <w:tc>
          <w:tcPr>
            <w:tcW w:w="7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Net (gains) losses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Transfers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liability</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747"/>
        <w:gridCol w:w="545"/>
        <w:gridCol w:w="549"/>
        <w:gridCol w:w="227"/>
        <w:gridCol w:w="853"/>
        <w:gridCol w:w="126"/>
        <w:gridCol w:w="109"/>
        <w:gridCol w:w="109"/>
        <w:gridCol w:w="109"/>
        <w:gridCol w:w="235"/>
        <w:gridCol w:w="488"/>
        <w:gridCol w:w="133"/>
        <w:gridCol w:w="109"/>
        <w:gridCol w:w="109"/>
        <w:gridCol w:w="109"/>
        <w:gridCol w:w="273"/>
        <w:gridCol w:w="565"/>
        <w:gridCol w:w="153"/>
        <w:gridCol w:w="109"/>
        <w:gridCol w:w="109"/>
        <w:gridCol w:w="109"/>
        <w:gridCol w:w="235"/>
        <w:gridCol w:w="828"/>
        <w:gridCol w:w="131"/>
        <w:gridCol w:w="109"/>
        <w:gridCol w:w="109"/>
        <w:gridCol w:w="109"/>
        <w:gridCol w:w="357"/>
        <w:gridCol w:w="741"/>
        <w:gridCol w:w="202"/>
        <w:gridCol w:w="109"/>
        <w:gridCol w:w="109"/>
        <w:gridCol w:w="109"/>
        <w:gridCol w:w="212"/>
        <w:gridCol w:w="798"/>
        <w:gridCol w:w="172"/>
      </w:tblGrid>
      <w:tr>
        <w:trPr/>
        <w:tc>
          <w:tcPr>
            <w:tcW w:w="74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2024 </w:t>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Net (gains) losses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Transfers out of Level 3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(38,532)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AWMS earn-out liability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12"/>
          <w:shd w:fill="FFFFFF" w:val="clear"/>
        </w:rPr>
        <w:t>(1)</w:t>
      </w:r>
      <w:r>
        <w:rPr>
          <w:color w:val="000000"/>
          <w:shd w:fill="FFFFFF" w:val="clear"/>
        </w:rPr>
        <w:t xml:space="preserve"> </w:t>
      </w:r>
      <w:r>
        <w:rPr>
          <w:rFonts w:ascii="Times New Roman;serif" w:hAnsi="Times New Roman;serif"/>
          <w:b w:val="false"/>
          <w:color w:val="000000"/>
          <w:sz w:val="18"/>
          <w:shd w:fill="FFFFFF" w:val="clear"/>
        </w:rPr>
        <w:t xml:space="preserve">Realized and unrealized gains/(losses) on Investments - External Strategic Managers, Preferred stock tranche liability, earn-out liabilities and TRA liability are recorded in Gain (loss) on investments, Gain (loss) on preferred stock tranche liability, Gain (loss) on earnout liabilities, and Gain (loss) on TRA, respectively, in the Consolidated Statement of Operations. </w:t>
      </w:r>
    </w:p>
    <w:p>
      <w:pPr>
        <w:pStyle w:val="TextBody"/>
        <w:bidi w:val="0"/>
        <w:spacing w:lineRule="auto" w:line="288" w:before="240" w:after="283"/>
        <w:jc w:val="both"/>
        <w:rPr/>
      </w:pPr>
      <w:r>
        <w:rPr>
          <w:rFonts w:ascii="Times New Roman;serif" w:hAnsi="Times New Roman;serif"/>
          <w:b/>
          <w:color w:val="000000"/>
          <w:sz w:val="12"/>
          <w:shd w:fill="FFFFFF" w:val="clear"/>
        </w:rPr>
        <w:t>(2)</w:t>
      </w:r>
      <w:r>
        <w:rPr>
          <w:color w:val="000000"/>
          <w:shd w:fill="FFFFFF" w:val="clear"/>
        </w:rPr>
        <w:t xml:space="preserve"> </w:t>
      </w:r>
      <w:r>
        <w:rPr>
          <w:rFonts w:ascii="Times New Roman;serif" w:hAnsi="Times New Roman;serif"/>
          <w:b w:val="false"/>
          <w:color w:val="000000"/>
          <w:sz w:val="18"/>
        </w:rPr>
        <w:t>During the year ended December 31, 2024, there was one transfer from Level 3 to Level 1 of the AWMS earn-out liability.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44"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8"/>
        <w:gridCol w:w="510"/>
        <w:gridCol w:w="513"/>
        <w:gridCol w:w="196"/>
        <w:gridCol w:w="736"/>
        <w:gridCol w:w="109"/>
        <w:gridCol w:w="109"/>
        <w:gridCol w:w="109"/>
        <w:gridCol w:w="109"/>
        <w:gridCol w:w="402"/>
        <w:gridCol w:w="402"/>
        <w:gridCol w:w="403"/>
        <w:gridCol w:w="109"/>
        <w:gridCol w:w="109"/>
        <w:gridCol w:w="109"/>
        <w:gridCol w:w="533"/>
        <w:gridCol w:w="533"/>
        <w:gridCol w:w="535"/>
        <w:gridCol w:w="109"/>
        <w:gridCol w:w="109"/>
        <w:gridCol w:w="109"/>
        <w:gridCol w:w="263"/>
        <w:gridCol w:w="224"/>
        <w:gridCol w:w="446"/>
        <w:gridCol w:w="109"/>
        <w:gridCol w:w="109"/>
        <w:gridCol w:w="109"/>
        <w:gridCol w:w="564"/>
        <w:gridCol w:w="564"/>
        <w:gridCol w:w="567"/>
        <w:gridCol w:w="109"/>
        <w:gridCol w:w="109"/>
        <w:gridCol w:w="109"/>
        <w:gridCol w:w="109"/>
        <w:gridCol w:w="109"/>
        <w:gridCol w:w="164"/>
      </w:tblGrid>
      <w:tr>
        <w:trPr/>
        <w:tc>
          <w:tcPr>
            <w:tcW w:w="6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17.0% -30.0%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10.6% - 11.9%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5.8% - 13.2%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45"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December 31, 2024</w:t>
      </w:r>
    </w:p>
    <w:tbl>
      <w:tblPr>
        <w:tblW w:w="10205" w:type="dxa"/>
        <w:jc w:val="left"/>
        <w:tblInd w:w="0" w:type="dxa"/>
        <w:tblLayout w:type="fixed"/>
        <w:tblCellMar>
          <w:top w:w="28" w:type="dxa"/>
          <w:left w:w="28" w:type="dxa"/>
          <w:bottom w:w="28" w:type="dxa"/>
          <w:right w:w="28" w:type="dxa"/>
        </w:tblCellMar>
      </w:tblPr>
      <w:tblGrid>
        <w:gridCol w:w="749"/>
        <w:gridCol w:w="574"/>
        <w:gridCol w:w="578"/>
        <w:gridCol w:w="196"/>
        <w:gridCol w:w="736"/>
        <w:gridCol w:w="109"/>
        <w:gridCol w:w="109"/>
        <w:gridCol w:w="109"/>
        <w:gridCol w:w="109"/>
        <w:gridCol w:w="423"/>
        <w:gridCol w:w="423"/>
        <w:gridCol w:w="425"/>
        <w:gridCol w:w="109"/>
        <w:gridCol w:w="109"/>
        <w:gridCol w:w="109"/>
        <w:gridCol w:w="575"/>
        <w:gridCol w:w="575"/>
        <w:gridCol w:w="578"/>
        <w:gridCol w:w="109"/>
        <w:gridCol w:w="109"/>
        <w:gridCol w:w="109"/>
        <w:gridCol w:w="286"/>
        <w:gridCol w:w="218"/>
        <w:gridCol w:w="460"/>
        <w:gridCol w:w="109"/>
        <w:gridCol w:w="109"/>
        <w:gridCol w:w="109"/>
        <w:gridCol w:w="580"/>
        <w:gridCol w:w="580"/>
        <w:gridCol w:w="832"/>
      </w:tblGrid>
      <w:tr>
        <w:trPr/>
        <w:tc>
          <w:tcPr>
            <w:tcW w:w="7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18.0% -33%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10.2% - 10.9%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6.1% - 13.2%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bl>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carrying value of financial instruments not measured at fair value, which consists primarily of cash and restricted cash, approximates fair value.</w: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measures certain assets and liabilities at fair value on a non-recurring basis, such as assets acquired and liabilities assumed in a business combination.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46"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(9) Equity Method Investments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and 2024, the Company had $0.1 million and $20.4 million, respectively, of equity method investments recorded within Equity method investments on the Consolidated Statement of Financial Position. In accordance with US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year ended December 31, 2024, the Company recognized impairment of $1.7 million on its equity method investments within Gain (loss) on investments in the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evaluates each of its equity method investments to determine if any were significant as defined by guidance from the SEC. As of and for the years ended December 31, 2025 and 2024, no equity method investment held by the Company met the significance criteria individually or in aggregate. As such, the Company is not required to present separate financial statements or supplemental financial information for any of its equity method investments.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2"/>
        </w:rPr>
      </w:pPr>
      <w:r>
        <w:rPr>
          <w:rFonts w:ascii="Times New Roman;serif" w:hAnsi="Times New Roman;serif"/>
          <w:b/>
          <w:color w:val="000000"/>
          <w:sz w:val="22"/>
        </w:rPr>
        <w:t>(10)    Variable Interest Entities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VIEs include certain private equity, real estate, and CLO vehicles. The purposes of such VIEs is to provide strategy-specific investment opportunities for investors in exchange for management and performance-based fees.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47"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holds variable interests in certain VIEs which are not consolidated because it was determined that the Company is not the primary beneficiary of such VIEs. The Company’s involvement with such entities is in the form of direct and indirect equity interests and fee arrangements. The Company’s maximum exposure to loss relating to non-consolidated VIEs is the carrying value of such investments, and in certain instances, its initial investment in and loans to certain VIEs. The Company’s maximum exposure to loss relating to non-consolidated VIEs is as follows:</w:t>
      </w:r>
    </w:p>
    <w:tbl>
      <w:tblPr>
        <w:tblW w:w="7943" w:type="dxa"/>
        <w:jc w:val="left"/>
        <w:tblInd w:w="0" w:type="dxa"/>
        <w:tblLayout w:type="fixed"/>
        <w:tblCellMar>
          <w:top w:w="28" w:type="dxa"/>
          <w:left w:w="28" w:type="dxa"/>
          <w:bottom w:w="28" w:type="dxa"/>
          <w:right w:w="28" w:type="dxa"/>
        </w:tblCellMar>
      </w:tblPr>
      <w:tblGrid>
        <w:gridCol w:w="1039"/>
        <w:gridCol w:w="910"/>
        <w:gridCol w:w="916"/>
        <w:gridCol w:w="109"/>
        <w:gridCol w:w="109"/>
        <w:gridCol w:w="109"/>
        <w:gridCol w:w="356"/>
        <w:gridCol w:w="1650"/>
        <w:gridCol w:w="184"/>
        <w:gridCol w:w="109"/>
        <w:gridCol w:w="109"/>
        <w:gridCol w:w="109"/>
        <w:gridCol w:w="351"/>
        <w:gridCol w:w="1627"/>
        <w:gridCol w:w="256"/>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VIE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3,653,414 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VIE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investments in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Maximum exposure to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(11) Investments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investments include Investments at fair value and Equity method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reflect economic events in earnings on a timely basis;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mitigate volatility in earnings from using different measurement attributes;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address simplification and cost-benefit considerations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Such election is irrevocable and is applied on an investment-by-investment basis at initial recognition or at other eligible election dates. Changes in the fair value of such instruments are recognized in Gain (loss) on investments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48"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Cost and Fair Value of Investments as of December 31, 2025 and December 31, 2024 are presented below:</w:t>
      </w:r>
    </w:p>
    <w:tbl>
      <w:tblPr>
        <w:tblW w:w="10109" w:type="dxa"/>
        <w:jc w:val="left"/>
        <w:tblInd w:w="0" w:type="dxa"/>
        <w:tblLayout w:type="fixed"/>
        <w:tblCellMar>
          <w:top w:w="28" w:type="dxa"/>
          <w:left w:w="28" w:type="dxa"/>
          <w:bottom w:w="28" w:type="dxa"/>
          <w:right w:w="28" w:type="dxa"/>
        </w:tblCellMar>
      </w:tblPr>
      <w:tblGrid>
        <w:gridCol w:w="1297"/>
        <w:gridCol w:w="1139"/>
        <w:gridCol w:w="1148"/>
        <w:gridCol w:w="211"/>
        <w:gridCol w:w="826"/>
        <w:gridCol w:w="109"/>
        <w:gridCol w:w="109"/>
        <w:gridCol w:w="109"/>
        <w:gridCol w:w="109"/>
        <w:gridCol w:w="265"/>
        <w:gridCol w:w="1038"/>
        <w:gridCol w:w="137"/>
        <w:gridCol w:w="109"/>
        <w:gridCol w:w="109"/>
        <w:gridCol w:w="109"/>
        <w:gridCol w:w="109"/>
        <w:gridCol w:w="109"/>
        <w:gridCol w:w="109"/>
        <w:gridCol w:w="211"/>
        <w:gridCol w:w="826"/>
        <w:gridCol w:w="109"/>
        <w:gridCol w:w="109"/>
        <w:gridCol w:w="109"/>
        <w:gridCol w:w="109"/>
        <w:gridCol w:w="263"/>
        <w:gridCol w:w="1030"/>
        <w:gridCol w:w="192"/>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 and BDC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Opportunities Feeder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Capital Management Limited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Zebedee Asset Management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Romspen Investment Corporation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144,196 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148,674 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method investments: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 - investment advisory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144,334 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182,902 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169,077 </w:t>
            </w:r>
          </w:p>
        </w:tc>
        <w:tc>
          <w:tcPr>
            <w:tcW w:w="1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breakdown of realized and unrealized gains (losses) on Investments at fair value for the relevant periods, which are recorded in Gain (Loss) on investments in the Consolidated Statement of Operations, are as follows:</w:t>
      </w:r>
    </w:p>
    <w:tbl>
      <w:tblPr>
        <w:tblW w:w="10205" w:type="dxa"/>
        <w:jc w:val="left"/>
        <w:tblInd w:w="0" w:type="dxa"/>
        <w:tblLayout w:type="fixed"/>
        <w:tblCellMar>
          <w:top w:w="28" w:type="dxa"/>
          <w:left w:w="28" w:type="dxa"/>
          <w:bottom w:w="28" w:type="dxa"/>
          <w:right w:w="28" w:type="dxa"/>
        </w:tblCellMar>
      </w:tblPr>
      <w:tblGrid>
        <w:gridCol w:w="1450"/>
        <w:gridCol w:w="1263"/>
        <w:gridCol w:w="1273"/>
        <w:gridCol w:w="109"/>
        <w:gridCol w:w="109"/>
        <w:gridCol w:w="109"/>
        <w:gridCol w:w="109"/>
        <w:gridCol w:w="353"/>
        <w:gridCol w:w="1156"/>
        <w:gridCol w:w="182"/>
        <w:gridCol w:w="109"/>
        <w:gridCol w:w="109"/>
        <w:gridCol w:w="109"/>
        <w:gridCol w:w="321"/>
        <w:gridCol w:w="1210"/>
        <w:gridCol w:w="165"/>
        <w:gridCol w:w="109"/>
        <w:gridCol w:w="109"/>
        <w:gridCol w:w="109"/>
        <w:gridCol w:w="373"/>
        <w:gridCol w:w="1090"/>
        <w:gridCol w:w="279"/>
      </w:tblGrid>
      <w:tr>
        <w:trPr/>
        <w:tc>
          <w:tcPr>
            <w:tcW w:w="145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69" w:type="dxa"/>
            <w:gridSpan w:val="6"/>
            <w:tcBorders/>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Gains (Losses) on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gains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gains (losses) on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(16,506)</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49"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(12) Intangible Assets,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Intangible assets, net reported on the Consolidated Statement of Financial Position.</w:t>
      </w:r>
    </w:p>
    <w:tbl>
      <w:tblPr>
        <w:tblW w:w="10205" w:type="dxa"/>
        <w:jc w:val="left"/>
        <w:tblInd w:w="0" w:type="dxa"/>
        <w:tblLayout w:type="fixed"/>
        <w:tblCellMar>
          <w:top w:w="28" w:type="dxa"/>
          <w:left w:w="28" w:type="dxa"/>
          <w:bottom w:w="28" w:type="dxa"/>
          <w:right w:w="28" w:type="dxa"/>
        </w:tblCellMar>
      </w:tblPr>
      <w:tblGrid>
        <w:gridCol w:w="871"/>
        <w:gridCol w:w="576"/>
        <w:gridCol w:w="579"/>
        <w:gridCol w:w="445"/>
        <w:gridCol w:w="445"/>
        <w:gridCol w:w="447"/>
        <w:gridCol w:w="109"/>
        <w:gridCol w:w="109"/>
        <w:gridCol w:w="109"/>
        <w:gridCol w:w="211"/>
        <w:gridCol w:w="826"/>
        <w:gridCol w:w="109"/>
        <w:gridCol w:w="109"/>
        <w:gridCol w:w="109"/>
        <w:gridCol w:w="109"/>
        <w:gridCol w:w="290"/>
        <w:gridCol w:w="1018"/>
        <w:gridCol w:w="152"/>
        <w:gridCol w:w="109"/>
        <w:gridCol w:w="109"/>
        <w:gridCol w:w="109"/>
        <w:gridCol w:w="109"/>
        <w:gridCol w:w="109"/>
        <w:gridCol w:w="109"/>
        <w:gridCol w:w="109"/>
        <w:gridCol w:w="248"/>
        <w:gridCol w:w="871"/>
        <w:gridCol w:w="130"/>
        <w:gridCol w:w="109"/>
        <w:gridCol w:w="109"/>
        <w:gridCol w:w="109"/>
        <w:gridCol w:w="218"/>
        <w:gridCol w:w="857"/>
        <w:gridCol w:w="168"/>
      </w:tblGrid>
      <w:tr>
        <w:trPr/>
        <w:tc>
          <w:tcPr>
            <w:tcW w:w="8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2928" w:type="dxa"/>
            <w:gridSpan w:val="10"/>
            <w:tcBorders/>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 xml:space="preserve">Amount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Impairment/Disposals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270,153 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 management agreements</w:t>
            </w:r>
            <w:r>
              <w:rPr>
                <w:color w:val="000000"/>
              </w:rPr>
              <w:t xml:space="preserve"> </w:t>
            </w:r>
            <w:r>
              <w:rPr>
                <w:rFonts w:ascii="Times New Roman;serif" w:hAnsi="Times New Roman;serif"/>
                <w:b w:val="false"/>
                <w:color w:val="000000"/>
                <w:sz w:val="13"/>
              </w:rPr>
              <w:t>(3)</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436,157 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and other intangible assets related to domain names and other software, for which there is no contractual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During the year ended December 31, 2025, gross carrying amounts related to the Company’s intangible assets include additions to intangibles of $14.8 million and purchase price adjustments of $(0.7) million</w:t>
      </w:r>
      <w:r>
        <w:rPr>
          <w:color w:val="000000"/>
        </w:rPr>
        <w:t xml:space="preserve"> </w:t>
      </w:r>
      <w:r>
        <w:rPr>
          <w:rFonts w:ascii="Times New Roman;serif" w:hAnsi="Times New Roman;serif"/>
          <w:b w:val="false"/>
          <w:color w:val="000000"/>
          <w:sz w:val="18"/>
        </w:rPr>
        <w:t>(see Note 4 (Business Combinations and Divestitures)) related to the Kontora Acquisition, as well as foreign currency translation differences of $4.1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During the quarter ended September 30, 2025, the Company recognized an impairment of $35.0 million related to TIG’s Investment Management Agreement (“IMA”), which is classified as an indefinite-lived intangible asset. Drivers of the impairment for the IMA include the financial projections and discount rate.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50"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tbl>
      <w:tblPr>
        <w:tblW w:w="10205" w:type="dxa"/>
        <w:jc w:val="left"/>
        <w:tblInd w:w="0" w:type="dxa"/>
        <w:tblLayout w:type="fixed"/>
        <w:tblCellMar>
          <w:top w:w="28" w:type="dxa"/>
          <w:left w:w="28" w:type="dxa"/>
          <w:bottom w:w="28" w:type="dxa"/>
          <w:right w:w="28" w:type="dxa"/>
        </w:tblCellMar>
      </w:tblPr>
      <w:tblGrid>
        <w:gridCol w:w="942"/>
        <w:gridCol w:w="677"/>
        <w:gridCol w:w="681"/>
        <w:gridCol w:w="458"/>
        <w:gridCol w:w="458"/>
        <w:gridCol w:w="459"/>
        <w:gridCol w:w="109"/>
        <w:gridCol w:w="109"/>
        <w:gridCol w:w="109"/>
        <w:gridCol w:w="211"/>
        <w:gridCol w:w="826"/>
        <w:gridCol w:w="109"/>
        <w:gridCol w:w="109"/>
        <w:gridCol w:w="109"/>
        <w:gridCol w:w="109"/>
        <w:gridCol w:w="224"/>
        <w:gridCol w:w="789"/>
        <w:gridCol w:w="118"/>
        <w:gridCol w:w="109"/>
        <w:gridCol w:w="109"/>
        <w:gridCol w:w="109"/>
        <w:gridCol w:w="109"/>
        <w:gridCol w:w="109"/>
        <w:gridCol w:w="109"/>
        <w:gridCol w:w="109"/>
        <w:gridCol w:w="248"/>
        <w:gridCol w:w="872"/>
        <w:gridCol w:w="130"/>
        <w:gridCol w:w="109"/>
        <w:gridCol w:w="109"/>
        <w:gridCol w:w="109"/>
        <w:gridCol w:w="222"/>
        <w:gridCol w:w="869"/>
        <w:gridCol w:w="168"/>
      </w:tblGrid>
      <w:tr>
        <w:trPr/>
        <w:tc>
          <w:tcPr>
            <w:tcW w:w="94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2945" w:type="dxa"/>
            <w:gridSpan w:val="10"/>
            <w:tcBorders/>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 xml:space="preserve">Amount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management agreements </w:t>
            </w:r>
            <w:r>
              <w:rPr>
                <w:rFonts w:ascii="Times New Roman;serif" w:hAnsi="Times New Roman;serif"/>
                <w:b w:val="false"/>
                <w:color w:val="000000"/>
                <w:sz w:val="13"/>
              </w:rPr>
              <w:t>(3)</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469,563 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in which there is no contractual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As of December 31, 2024, gross carrying amounts related to the Company’s intangible assets include additions to intangibles of $99.3 million related to the PW, EEA, and Envoi Acquisitions, a transfer of $4.6 million to Goodwill related to measurement period adjustments for the EEA Acquisition and a transfer of $1.0 million from Goodwill related to measurement period adjustments for the Envoi Acquisition (see Note 4 Business Combinations and Divestitures), as well as foreign currency translation differences of $(1.3)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During the quarter ended September 30, 2024, the Company commenced a strategic review of its International Real Estate Businesses and conducted a realignment of its operating segments. Prior to the realignment, the Company conducted a goodwill impairment test to determine whether the fair value of its reporting units declined to an amount lower than the carrying value of goodwill. As part of the test, we utilized the discounted cash flow method and determined the fair value of TIG’s Investment Management Agreement (the “IMA”) had declined. As such, the Company recognized intangible asset impairment charges of $44.9 million related to the IMA, which is classified as an indefinite-lived intangible asset. Drivers of the impairment for the IMA primarily include the financial projections and discount rate associated with the instrument.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Amortization expense of $15.9 million, $13.3 million, and $8.5 million for the years ended December 31, 2025, 2024, and 2023, respectively, was recognized.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estimated future amortization for finite-lived intangible assets for each of the next five years and thereafter are as follows:</w:t>
      </w:r>
    </w:p>
    <w:tbl>
      <w:tblPr>
        <w:tblW w:w="3959" w:type="dxa"/>
        <w:jc w:val="left"/>
        <w:tblInd w:w="0" w:type="dxa"/>
        <w:tblLayout w:type="fixed"/>
        <w:tblCellMar>
          <w:top w:w="28" w:type="dxa"/>
          <w:left w:w="28" w:type="dxa"/>
          <w:bottom w:w="28" w:type="dxa"/>
          <w:right w:w="28" w:type="dxa"/>
        </w:tblCellMar>
      </w:tblPr>
      <w:tblGrid>
        <w:gridCol w:w="624"/>
        <w:gridCol w:w="548"/>
        <w:gridCol w:w="552"/>
        <w:gridCol w:w="396"/>
        <w:gridCol w:w="1550"/>
        <w:gridCol w:w="28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beyond</w:t>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205,586 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270,153 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51"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(13) Other assets, net and Other liabilities,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breakdown of Other assets, net reported on the Consolidated Statement of Financial Position.</w:t>
      </w:r>
    </w:p>
    <w:tbl>
      <w:tblPr>
        <w:tblW w:w="8111" w:type="dxa"/>
        <w:jc w:val="left"/>
        <w:tblInd w:w="0" w:type="dxa"/>
        <w:tblLayout w:type="fixed"/>
        <w:tblCellMar>
          <w:top w:w="28" w:type="dxa"/>
          <w:left w:w="28" w:type="dxa"/>
          <w:bottom w:w="28" w:type="dxa"/>
          <w:right w:w="28" w:type="dxa"/>
        </w:tblCellMar>
      </w:tblPr>
      <w:tblGrid>
        <w:gridCol w:w="1217"/>
        <w:gridCol w:w="1067"/>
        <w:gridCol w:w="1075"/>
        <w:gridCol w:w="444"/>
        <w:gridCol w:w="1517"/>
        <w:gridCol w:w="229"/>
        <w:gridCol w:w="109"/>
        <w:gridCol w:w="109"/>
        <w:gridCol w:w="109"/>
        <w:gridCol w:w="434"/>
        <w:gridCol w:w="1484"/>
        <w:gridCol w:w="317"/>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depreciation </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incentive receivables</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Sundry receivables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receivables</w:t>
            </w:r>
            <w:r>
              <w:rPr>
                <w:color w:val="000000"/>
              </w:rPr>
              <w:t xml:space="preserve"> </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receivables related to IRE</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assets, net</w:t>
            </w:r>
            <w:r>
              <w:rPr>
                <w:color w:val="000000"/>
              </w:rPr>
              <w:t xml:space="preserve"> </w:t>
            </w:r>
            <w:r>
              <w:rPr>
                <w:rFonts w:ascii="Times New Roman;serif" w:hAnsi="Times New Roman;serif"/>
                <w:b w:val="false"/>
                <w:color w:val="000000"/>
                <w:sz w:val="13"/>
              </w:rPr>
              <w:t>(1)</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56,446 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50,388 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As of December 31, 2025 and December 31, 2024, these amounts include $0.2 million and $0.5 million, respectively, in receivables due from related parties. See Note 18 (Related Party Transactions) for further details.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breakdown of Other liabilities, net reported on the Consolidated Statement of Financial Position.</w:t>
      </w:r>
    </w:p>
    <w:tbl>
      <w:tblPr>
        <w:tblW w:w="7017" w:type="dxa"/>
        <w:jc w:val="left"/>
        <w:tblInd w:w="0" w:type="dxa"/>
        <w:tblLayout w:type="fixed"/>
        <w:tblCellMar>
          <w:top w:w="28" w:type="dxa"/>
          <w:left w:w="28" w:type="dxa"/>
          <w:bottom w:w="28" w:type="dxa"/>
          <w:right w:w="28" w:type="dxa"/>
        </w:tblCellMar>
      </w:tblPr>
      <w:tblGrid>
        <w:gridCol w:w="820"/>
        <w:gridCol w:w="720"/>
        <w:gridCol w:w="725"/>
        <w:gridCol w:w="444"/>
        <w:gridCol w:w="1517"/>
        <w:gridCol w:w="229"/>
        <w:gridCol w:w="109"/>
        <w:gridCol w:w="109"/>
        <w:gridCol w:w="109"/>
        <w:gridCol w:w="434"/>
        <w:gridCol w:w="1484"/>
        <w:gridCol w:w="317"/>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PW deferred consideration</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Corporation tax payable</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 xml:space="preserve">(1) </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Liabilities, net </w:t>
            </w:r>
            <w:r>
              <w:rPr>
                <w:rFonts w:ascii="Times New Roman;serif" w:hAnsi="Times New Roman;serif"/>
                <w:b w:val="false"/>
                <w:color w:val="000000"/>
                <w:sz w:val="13"/>
              </w:rPr>
              <w:t>(2)</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14,676 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 other category is comprised primarily of miscellaneous payables and provisions. </w:t>
      </w:r>
    </w:p>
    <w:p>
      <w:pPr>
        <w:pStyle w:val="TextBody"/>
        <w:bidi w:val="0"/>
        <w:spacing w:lineRule="auto" w:line="288" w:before="20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 xml:space="preserve">As of December 31, 2025 and December 31, 2024, these amounts include $0.7 million and $3.3 million, respectively, in liabilities due to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(14) Leases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primarily has non-cancellable operating leases for office spaces across various countries. We categorize leases as either operating or finance leases at the commencement date of the respective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52"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components of lease costs are as follows:</w:t>
      </w:r>
    </w:p>
    <w:tbl>
      <w:tblPr>
        <w:tblW w:w="8437"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109"/>
        <w:gridCol w:w="349"/>
        <w:gridCol w:w="1195"/>
        <w:gridCol w:w="180"/>
        <w:gridCol w:w="109"/>
        <w:gridCol w:w="109"/>
        <w:gridCol w:w="109"/>
        <w:gridCol w:w="349"/>
        <w:gridCol w:w="1195"/>
        <w:gridCol w:w="180"/>
        <w:gridCol w:w="109"/>
        <w:gridCol w:w="109"/>
        <w:gridCol w:w="109"/>
        <w:gridCol w:w="344"/>
        <w:gridCol w:w="1175"/>
        <w:gridCol w:w="25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3"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97" w:type="dxa"/>
            <w:gridSpan w:val="6"/>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lease expense</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These amounts include $0.5 million, $0.5 million, and $0.4 million for the years ended December 31, 2025, 2024, and 2023, respectively, in operating lease expense from related parties. See Note 18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Supplemental cash flow information and non-cash activity related to our operating leases are as follows:</w:t>
      </w:r>
    </w:p>
    <w:tbl>
      <w:tblPr>
        <w:tblW w:w="10205" w:type="dxa"/>
        <w:jc w:val="left"/>
        <w:tblInd w:w="0" w:type="dxa"/>
        <w:tblLayout w:type="fixed"/>
        <w:tblCellMar>
          <w:top w:w="28" w:type="dxa"/>
          <w:left w:w="28" w:type="dxa"/>
          <w:bottom w:w="28" w:type="dxa"/>
          <w:right w:w="28" w:type="dxa"/>
        </w:tblCellMar>
      </w:tblPr>
      <w:tblGrid>
        <w:gridCol w:w="1695"/>
        <w:gridCol w:w="1457"/>
        <w:gridCol w:w="1468"/>
        <w:gridCol w:w="364"/>
        <w:gridCol w:w="1069"/>
        <w:gridCol w:w="190"/>
        <w:gridCol w:w="109"/>
        <w:gridCol w:w="109"/>
        <w:gridCol w:w="109"/>
        <w:gridCol w:w="364"/>
        <w:gridCol w:w="1069"/>
        <w:gridCol w:w="190"/>
        <w:gridCol w:w="109"/>
        <w:gridCol w:w="109"/>
        <w:gridCol w:w="109"/>
        <w:gridCol w:w="326"/>
        <w:gridCol w:w="1115"/>
        <w:gridCol w:w="244"/>
      </w:tblGrid>
      <w:tr>
        <w:trPr/>
        <w:tc>
          <w:tcPr>
            <w:tcW w:w="169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cash flow information:</w:t>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outflows - operating leases </w:t>
            </w:r>
            <w:r>
              <w:rPr>
                <w:rFonts w:ascii="Times New Roman;serif" w:hAnsi="Times New Roman;serif"/>
                <w:b w:val="false"/>
                <w:color w:val="000000"/>
                <w:sz w:val="13"/>
              </w:rPr>
              <w:t>(1)</w:t>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activity:</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35,629 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These amounts include $0.5 million, $0.5 million, and $0.4 million for the years ended December 31, 2025, 2024, and 2023, respectively, in cash outflows related to operating leases from related parties. See Note 18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Weighted-average remaining lease term and discount rate for our operating leases are as follows:</w:t>
      </w:r>
    </w:p>
    <w:tbl>
      <w:tblPr>
        <w:tblW w:w="8080" w:type="dxa"/>
        <w:jc w:val="left"/>
        <w:tblInd w:w="0" w:type="dxa"/>
        <w:tblLayout w:type="fixed"/>
        <w:tblCellMar>
          <w:top w:w="28" w:type="dxa"/>
          <w:left w:w="28" w:type="dxa"/>
          <w:bottom w:w="28" w:type="dxa"/>
          <w:right w:w="28" w:type="dxa"/>
        </w:tblCellMar>
      </w:tblPr>
      <w:tblGrid>
        <w:gridCol w:w="1207"/>
        <w:gridCol w:w="1059"/>
        <w:gridCol w:w="1064"/>
        <w:gridCol w:w="487"/>
        <w:gridCol w:w="487"/>
        <w:gridCol w:w="1215"/>
        <w:gridCol w:w="109"/>
        <w:gridCol w:w="109"/>
        <w:gridCol w:w="109"/>
        <w:gridCol w:w="455"/>
        <w:gridCol w:w="455"/>
        <w:gridCol w:w="132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Future minimum lease payments for the Company’s operating leases as of December 31, 2025,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89,292 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27,617 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61,675 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53"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(15) Goodwill</w:t>
      </w:r>
    </w:p>
    <w:p>
      <w:pPr>
        <w:pStyle w:val="TextBody"/>
        <w:bidi w:val="0"/>
        <w:spacing w:lineRule="auto" w:line="288" w:before="200" w:after="283"/>
        <w:jc w:val="both"/>
        <w:rPr/>
      </w:pPr>
      <w:r>
        <w:rPr>
          <w:rFonts w:ascii="Times New Roman;serif" w:hAnsi="Times New Roman;serif"/>
          <w:b w:val="false"/>
          <w:color w:val="000000"/>
          <w:sz w:val="22"/>
        </w:rPr>
        <w:t>The following table provides a reconciliation of Goodwill reported on the</w:t>
      </w:r>
      <w:r>
        <w:rPr>
          <w:color w:val="000000"/>
        </w:rPr>
        <w:t xml:space="preserve"> </w:t>
      </w:r>
      <w:r>
        <w:rPr>
          <w:rFonts w:ascii="Times New Roman;serif" w:hAnsi="Times New Roman;serif"/>
          <w:b w:val="false"/>
          <w:color w:val="000000"/>
          <w:sz w:val="22"/>
        </w:rPr>
        <w:t>Consolidated Statement of Financial Position as of December 31, 2025 and December 31, 2024, respectively.</w:t>
      </w:r>
    </w:p>
    <w:tbl>
      <w:tblPr>
        <w:tblW w:w="10205" w:type="dxa"/>
        <w:jc w:val="left"/>
        <w:tblInd w:w="0" w:type="dxa"/>
        <w:tblLayout w:type="fixed"/>
        <w:tblCellMar>
          <w:top w:w="28" w:type="dxa"/>
          <w:left w:w="28" w:type="dxa"/>
          <w:bottom w:w="28" w:type="dxa"/>
          <w:right w:w="28" w:type="dxa"/>
        </w:tblCellMar>
      </w:tblPr>
      <w:tblGrid>
        <w:gridCol w:w="1574"/>
        <w:gridCol w:w="1371"/>
        <w:gridCol w:w="1381"/>
        <w:gridCol w:w="109"/>
        <w:gridCol w:w="109"/>
        <w:gridCol w:w="109"/>
        <w:gridCol w:w="109"/>
        <w:gridCol w:w="396"/>
        <w:gridCol w:w="1552"/>
        <w:gridCol w:w="204"/>
        <w:gridCol w:w="109"/>
        <w:gridCol w:w="109"/>
        <w:gridCol w:w="109"/>
        <w:gridCol w:w="109"/>
        <w:gridCol w:w="109"/>
        <w:gridCol w:w="109"/>
        <w:gridCol w:w="109"/>
        <w:gridCol w:w="396"/>
        <w:gridCol w:w="1552"/>
        <w:gridCol w:w="204"/>
        <w:gridCol w:w="109"/>
        <w:gridCol w:w="109"/>
        <w:gridCol w:w="158"/>
      </w:tblGrid>
      <w:tr>
        <w:trPr/>
        <w:tc>
          <w:tcPr>
            <w:tcW w:w="157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in connection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385,966 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the year ended December 31, 2024, the Company recognized a $29.4 million impairment to goodwill. The primary drivers of impairment were a decrease in the financial projections resulting from redemption activity, existing levels of AUM, the change in the discount rate for the IMAs, and market multiples for goodwill. </w:t>
      </w:r>
    </w:p>
    <w:p>
      <w:pPr>
        <w:pStyle w:val="TextBody"/>
        <w:bidi w:val="0"/>
        <w:spacing w:before="0" w:after="0"/>
        <w:ind w:left="0" w:right="0" w:firstLine="167"/>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indefinite lived intangible assets and reporting units could be required, which could be material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(16) Debt, net of unamortized deferred financing cost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outstanding debt obligations of the Company as of December 31, 2025 and December 31, 2024:</w:t>
      </w:r>
    </w:p>
    <w:tbl>
      <w:tblPr>
        <w:tblW w:w="10205" w:type="dxa"/>
        <w:jc w:val="left"/>
        <w:tblInd w:w="0" w:type="dxa"/>
        <w:tblLayout w:type="fixed"/>
        <w:tblCellMar>
          <w:top w:w="28" w:type="dxa"/>
          <w:left w:w="28" w:type="dxa"/>
          <w:bottom w:w="28" w:type="dxa"/>
          <w:right w:w="28" w:type="dxa"/>
        </w:tblCellMar>
      </w:tblPr>
      <w:tblGrid>
        <w:gridCol w:w="705"/>
        <w:gridCol w:w="595"/>
        <w:gridCol w:w="599"/>
        <w:gridCol w:w="387"/>
        <w:gridCol w:w="855"/>
        <w:gridCol w:w="201"/>
        <w:gridCol w:w="109"/>
        <w:gridCol w:w="109"/>
        <w:gridCol w:w="109"/>
        <w:gridCol w:w="297"/>
        <w:gridCol w:w="659"/>
        <w:gridCol w:w="155"/>
        <w:gridCol w:w="109"/>
        <w:gridCol w:w="109"/>
        <w:gridCol w:w="109"/>
        <w:gridCol w:w="211"/>
        <w:gridCol w:w="466"/>
        <w:gridCol w:w="109"/>
        <w:gridCol w:w="109"/>
        <w:gridCol w:w="109"/>
        <w:gridCol w:w="109"/>
        <w:gridCol w:w="418"/>
        <w:gridCol w:w="807"/>
        <w:gridCol w:w="217"/>
        <w:gridCol w:w="109"/>
        <w:gridCol w:w="109"/>
        <w:gridCol w:w="109"/>
        <w:gridCol w:w="322"/>
        <w:gridCol w:w="621"/>
        <w:gridCol w:w="167"/>
        <w:gridCol w:w="109"/>
        <w:gridCol w:w="109"/>
        <w:gridCol w:w="109"/>
        <w:gridCol w:w="211"/>
        <w:gridCol w:w="406"/>
        <w:gridCol w:w="162"/>
      </w:tblGrid>
      <w:tr>
        <w:trPr/>
        <w:tc>
          <w:tcPr>
            <w:tcW w:w="70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 xml:space="preserve">Value </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Kontora Credit Facility</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 xml:space="preserve">The carrying value of the Term Loan and Revolving Line of Credit approximates fair value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Kontora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30, 2025, the Company acquired Kontora. See Note 4 (Business Combinations and Divestitures). At the acquisition date, Kontora had a term loan with HypoVereinsbank. The term loan is repayable in fixed quarterly installments of $0.1 million plus interest, with the final payment due on June 30, 2027. The term loan bears interest at 6.7% per annum which is payable quarterly. Throughout the period of the loan Kontora Family Office GmbH, as a standalone entity, is required to maintain economic equity of the higher of $1.8 million or 30% of the total assets of this standalone entity. At December 31, 2025, the term loan had an outstanding principal amount of $0.5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54"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 the acquisition date, Kontora also had a revolving line of credit, which expires on July 25, 2029, with an aggregate borrowing facility of $0.9 million with HypoVereinsbank. The revolving line of credit bears interest at 3-month EURIBOR plus 7.15% on funded amounts and a commitment fee of 0.75% on unfunded amounts. The funded amounts bear no restrictions on its use. At December 31, 2025, the funded amount under the revolving line of credit was $0.4 million.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Contractual maturities of the term loan as of December 31, 2025, are set out in the table below: </w:t>
      </w:r>
    </w:p>
    <w:tbl>
      <w:tblPr>
        <w:tblW w:w="3988" w:type="dxa"/>
        <w:jc w:val="left"/>
        <w:tblInd w:w="0" w:type="dxa"/>
        <w:tblLayout w:type="fixed"/>
        <w:tblCellMar>
          <w:top w:w="28" w:type="dxa"/>
          <w:left w:w="28" w:type="dxa"/>
          <w:bottom w:w="28" w:type="dxa"/>
          <w:right w:w="28" w:type="dxa"/>
        </w:tblCellMar>
      </w:tblPr>
      <w:tblGrid>
        <w:gridCol w:w="624"/>
        <w:gridCol w:w="548"/>
        <w:gridCol w:w="552"/>
        <w:gridCol w:w="563"/>
        <w:gridCol w:w="1314"/>
        <w:gridCol w:w="387"/>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Aggregate Maturities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2026</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503 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Allianz Tranche Right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Company issued the Allianz Tranche Right in which Allianz, at their option, can purchase up to a total of 50,000 additional shares of Series A Preferred Stock at $1,000 per share. See Note 1 (Description of the Business) for details. On May 13, 2025, Allianz exercised the Allianz Tranche Right to purchase an additional 18,471 shares of Series A Preferred Stock at the stated price for $18.5 million. As of December 31, 2025 and December 31, 2024, the Allianz Tranche Right of $2.4 million and $3.9 million, respectively, is classified as a liability in accordance with ASC 480, </w:t>
      </w:r>
      <w:r>
        <w:rPr>
          <w:rFonts w:ascii="Times New Roman;serif" w:hAnsi="Times New Roman;serif"/>
          <w:b w:val="false"/>
          <w:i/>
          <w:color w:val="000000"/>
          <w:sz w:val="22"/>
        </w:rPr>
        <w:t>Liabilities</w:t>
      </w:r>
      <w:r>
        <w:rPr>
          <w:rFonts w:ascii="Times New Roman;serif" w:hAnsi="Times New Roman;serif"/>
          <w:b w:val="false"/>
          <w:color w:val="000000"/>
          <w:sz w:val="22"/>
        </w:rPr>
        <w:t xml:space="preserve">, and is recorded in the line item Preferred stock tranche liability on the Company’s Consolidated Statement of Financial Position. For the year ended December 31, 2025 and December 31, 2024, the change in fair value of the Allianz Tranche Right is $1.5 million and $0.6 million, respectively, which is recorded in the line item Gain (loss) on preferred stock liability in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Subsequent to entering into the Credit Agreement and prior to the pay down of its debt in its entirety (see discussion below), the Company entered into multiple amendments during 2023 and 2024, which included a reduction of the aggregate commitment amount under the Revolving Credit Facility from $150.0 million to $110.0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Term Loans and Revolving Credit Facility bore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ranged between 1.0% and 2.0% for base rate loans and between 2.0% and 3.0% for SOFR loans. The Company paid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was subject to quarterly amortization payments and matured on December 31, 2024. The Revolving Credit Facility terminated on December 31, 2024. As security for the Term Loans and Revolving Credit Facility, the borrower and the guarantors thereunder pledged substantially all of their assets, subject to agreed-upon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55"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exclusions. The guarantor group consisted of the Company’s U.S. and non-U.S. subsidiaries, subject to an agreed-upon materiality threshold.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On December 19, 2024, the Company paid off its debt outstanding in the amount of $133.4 million related to the BMO Credit Facility, with the proceeds raised from the Allianz Transaction and the Constellation Transaction (see Note 1 (Description of the Business)). This debt was due to terminate on December 31, 2024. The Company recognized a write-off of the deferred issuance costs related to the extinguishment of this debt in the amount of $4.5 million, which was recorded in the line Interest expense in the Consolidated Statement of Operations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(17) Retirement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 </w:t>
      </w:r>
    </w:p>
    <w:tbl>
      <w:tblPr>
        <w:tblW w:w="8031" w:type="dxa"/>
        <w:jc w:val="left"/>
        <w:tblInd w:w="0" w:type="dxa"/>
        <w:tblLayout w:type="fixed"/>
        <w:tblCellMar>
          <w:top w:w="28" w:type="dxa"/>
          <w:left w:w="28" w:type="dxa"/>
          <w:bottom w:w="28" w:type="dxa"/>
          <w:right w:w="28" w:type="dxa"/>
        </w:tblCellMar>
      </w:tblPr>
      <w:tblGrid>
        <w:gridCol w:w="624"/>
        <w:gridCol w:w="548"/>
        <w:gridCol w:w="552"/>
        <w:gridCol w:w="109"/>
        <w:gridCol w:w="109"/>
        <w:gridCol w:w="109"/>
        <w:gridCol w:w="109"/>
        <w:gridCol w:w="387"/>
        <w:gridCol w:w="1135"/>
        <w:gridCol w:w="202"/>
        <w:gridCol w:w="109"/>
        <w:gridCol w:w="109"/>
        <w:gridCol w:w="109"/>
        <w:gridCol w:w="387"/>
        <w:gridCol w:w="1135"/>
        <w:gridCol w:w="202"/>
        <w:gridCol w:w="109"/>
        <w:gridCol w:w="109"/>
        <w:gridCol w:w="109"/>
        <w:gridCol w:w="380"/>
        <w:gridCol w:w="1110"/>
        <w:gridCol w:w="27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3"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96"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and 2024, $1.7 million and $1.9 million, respectively, in contributions was payable, which is included in Accounts payable and accrued expenses on the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56"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(18) Related Party Transactions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1889"/>
        <w:gridCol w:w="1258"/>
        <w:gridCol w:w="1267"/>
        <w:gridCol w:w="109"/>
        <w:gridCol w:w="109"/>
        <w:gridCol w:w="109"/>
        <w:gridCol w:w="739"/>
        <w:gridCol w:w="739"/>
        <w:gridCol w:w="741"/>
        <w:gridCol w:w="234"/>
        <w:gridCol w:w="916"/>
        <w:gridCol w:w="120"/>
        <w:gridCol w:w="234"/>
        <w:gridCol w:w="916"/>
        <w:gridCol w:w="120"/>
        <w:gridCol w:w="109"/>
        <w:gridCol w:w="109"/>
        <w:gridCol w:w="109"/>
        <w:gridCol w:w="109"/>
        <w:gridCol w:w="109"/>
        <w:gridCol w:w="160"/>
      </w:tblGrid>
      <w:tr>
        <w:trPr/>
        <w:tc>
          <w:tcPr>
            <w:tcW w:w="188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Balance Sheet Line Item</w:t>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w:t>
              <w:br/>
              <w:t>2025</w:t>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Certain TWMH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Alvarium related fee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TIG related fee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with Allianz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TWMH Members, TIG GP Members and TIG MGMT 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member distribution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Non-Controlling Interest Holders in Connection with the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(28,765)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PW deferred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TWMH Members, TIG GP Members, TIG MGMT Members and Alvarium Shareholders in connection with the Business Combination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EEA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Envoi earn-out consideration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Envoi earn-out growth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Kontora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tranche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tranche liability</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Cumulative Convertible Preferred Stock</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Redeemable Cumulative Convertible Preferred Stock</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share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Allianz Warrants,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Constellation Warrants,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Due from TWMH Members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Certain TWMH Members were offered promissory notes to pay their estimated federal, state and local withholding taxes owed by such members, which constitute loans to members. Promissory notes totaling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57"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 On March 14, 2024, a certain member repaid their note totaling $0.7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years ended December 31, 2025, 2024, and 2023, the Company recognized $223 thousand, $230 thousand, and $261 thousand, respectively, of forgiveness of principal debt and accrued interest within Compensation and employee benefits expense on the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Consolidated Statement of Financial Condition. As of December 31, 2025 and December 31, 2024, the balances of loans to members was $0.2 million and $0.4 million,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 xml:space="preserve">Equity Method Investees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transactions with Equity Method Investees include receivables related to loans, fees, and expenses, which are presented in Other assets on the Consolidated Statement of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recognized Management/advisory fees, Other income/fees, Compensation and employee benefits, and Interest income from its equity method investees on the Consolidated Statement of Operations, as summarized in the following table:</w:t>
      </w:r>
    </w:p>
    <w:p>
      <w:pPr>
        <w:pStyle w:val="TextBody"/>
        <w:bidi w:val="0"/>
        <w:spacing w:before="0" w:after="0"/>
        <w:jc w:val="both"/>
        <w:rPr/>
      </w:pPr>
      <w:r>
        <w:rPr/>
      </w:r>
    </w:p>
    <w:tbl>
      <w:tblPr>
        <w:tblW w:w="9488" w:type="dxa"/>
        <w:jc w:val="left"/>
        <w:tblInd w:w="0" w:type="dxa"/>
        <w:tblLayout w:type="fixed"/>
        <w:tblCellMar>
          <w:top w:w="28" w:type="dxa"/>
          <w:left w:w="28" w:type="dxa"/>
          <w:bottom w:w="28" w:type="dxa"/>
          <w:right w:w="28" w:type="dxa"/>
        </w:tblCellMar>
      </w:tblPr>
      <w:tblGrid>
        <w:gridCol w:w="1151"/>
        <w:gridCol w:w="1011"/>
        <w:gridCol w:w="1018"/>
        <w:gridCol w:w="109"/>
        <w:gridCol w:w="109"/>
        <w:gridCol w:w="109"/>
        <w:gridCol w:w="109"/>
        <w:gridCol w:w="501"/>
        <w:gridCol w:w="964"/>
        <w:gridCol w:w="260"/>
        <w:gridCol w:w="109"/>
        <w:gridCol w:w="109"/>
        <w:gridCol w:w="109"/>
        <w:gridCol w:w="387"/>
        <w:gridCol w:w="1135"/>
        <w:gridCol w:w="202"/>
        <w:gridCol w:w="109"/>
        <w:gridCol w:w="109"/>
        <w:gridCol w:w="109"/>
        <w:gridCol w:w="380"/>
        <w:gridCol w:w="1110"/>
        <w:gridCol w:w="27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4"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2096"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Due to Certain TIG GP Members and TIG MGMT Members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Certain TIG GP and TIG MGMT Members were issued a distribution from the legacy partnership businesses in connection with the Business Combination. This was treated as a partnership distribution and is presented as Accrued member distributions payable on the Consolidated Statement of Financial Condition. As of December 31, 2025 and December 31, 2024, the balance of Accrued member distributions payable was $3.3 million and $3.4 million,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Tax Receivable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each of their Class B Unit of Umbrella paired with a share of Class B Common Stock (collectively, the “Paired Interests”) for Class A Common Stock in accordance with the Umbrella LLC Agreement and the making of payments under the TRA.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58"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TRA is recognized on the Consolidated Statement of Financial Condition as the TRA Liability. The value of the TRA Liability as of December 31, 2025 and December 31, 2024 was $25.7 million and $28.8 million, respectively. As of December 31, 2025 and December 31, 2024, the Company carried $8.8 million and $9.4 million, respectively, of its TRA Liability at fair value, as it is contingent consideration from the Business Combination. The remaining portion related to the TRA Liability is related to the TRA Exchange of $16.9 million and $19.4 million as of December 31, 2025 and December 31, 2024, respectively, is recorded at its carrying value. For the years ended December 31, 2025, 2024, and 2023, the Company recognized a gain of $5.4 million, a gain of $3.9 million, and a loss of $(0.2) million,respectively, which is recorded in Gain (loss) on TRA in the Consolidated Statement of Operations. </w:t>
      </w:r>
    </w:p>
    <w:p>
      <w:pPr>
        <w:pStyle w:val="TextBody"/>
        <w:bidi w:val="0"/>
        <w:spacing w:lineRule="auto" w:line="268" w:before="200" w:after="283"/>
        <w:jc w:val="both"/>
        <w:rPr/>
      </w:pPr>
      <w:r>
        <w:rPr>
          <w:rFonts w:ascii="Times New Roman;serif" w:hAnsi="Times New Roman;serif"/>
          <w:b w:val="false"/>
          <w:color w:val="000000"/>
          <w:sz w:val="22"/>
        </w:rPr>
        <w:t xml:space="preserve">As of December 31, 2025, </w:t>
      </w:r>
      <w:r>
        <w:rPr>
          <w:rFonts w:ascii="Times New Roman;serif" w:hAnsi="Times New Roman;serif"/>
          <w:b w:val="false"/>
          <w:color w:val="000000"/>
          <w:sz w:val="22"/>
          <w:shd w:fill="FFFFFF" w:val="clear"/>
        </w:rPr>
        <w:t>holders of Class B Units have exchanged a tot</w:t>
      </w:r>
      <w:r>
        <w:rPr>
          <w:rFonts w:ascii="Times New Roman;serif" w:hAnsi="Times New Roman;serif"/>
          <w:b w:val="false"/>
          <w:color w:val="000000"/>
          <w:sz w:val="22"/>
        </w:rPr>
        <w:t>al of 10,844,400 Class B Paired Interests with the Company, for shares of Class A Common Stock on a 1:1 basis totaling an amount equal to the weighted average price of $5.68 multiplied by the total number of shares of Class A Common Stock received at the time of the transactions. For the year ended December 31, 2025, the Company did not make any tax distributions to Class B Units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Liability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December 31, 2025 and December 31, 2024, the fair value of the Business Combination Earn-out Liability was $15.3 million and $23.8 million, respectively, and is reported in Earn-out liabilities, at fair value, in the Consolidated Statement of Financial Position. The Company recognized the change in fair value of $8.6 million, $38.5 million and $29.4 million for the years ended December 31, 2025, 2024, and 2023, respectively, which is recorded in Gain (loss) on earnout liabilities in the Consolidated Statement of Operations and in Fair value (gain) loss on earnout liability in the 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EEA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(or EEA earn-out liability). During the second quarter ended June 30, 2025, a cash payment of $7.4 million related to this contingent consideration was made. As of December 31, 2025 and December 31, 2024, the EEA earn-out liability of $25.3 million and $29.9 million, respectively, is reported in Earn-out liabilities, at fair value, in the Consolidated Statement of Financial Position. The fair value will be remeasured at each reporting date in accordance with ASC 820, </w:t>
      </w:r>
      <w:r>
        <w:rPr>
          <w:rFonts w:ascii="Times New Roman;serif" w:hAnsi="Times New Roman;serif"/>
          <w:b w:val="false"/>
          <w:i/>
          <w:color w:val="000000"/>
          <w:sz w:val="22"/>
        </w:rPr>
        <w:t xml:space="preserve">Fair Value Measurement. </w:t>
      </w:r>
      <w:r>
        <w:rPr>
          <w:rFonts w:ascii="Times New Roman;serif" w:hAnsi="Times New Roman;serif"/>
          <w:b w:val="false"/>
          <w:color w:val="000000"/>
          <w:sz w:val="22"/>
        </w:rPr>
        <w:t xml:space="preserve">The Company recognized the change in fair value of $(2.8) million and $(6.6) million for the years ended December 31, 2025 and 2024, respectively, which is recorded in Gain (loss) on earnout liabilities in the Consolidated Statement of Operations and in Fair value (gain) loss on earnout liability in the Consolidated Statement of Cash Flows in the period of change.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59"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Envoi Earn-out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December 31, 2025 and December 31, 2024, the Envoi earn-out consideration liability of $8.2 million and $9.6 million, respectively, and the Envoi earn-out growth consideration liability of $1.6 million and $1.3 million, respectively, are reported in the Earn-out liabilities, at fair value, in the Consolidated Statement of Financial Position. The Company recognized the change in fair value for the Envoi earn-out consideration liability of $(1.6) million and $(1.6) million for the years ended December 31, 2025 and 2024, respectively, and the change in fair value for the Envoi earn-out growth consideration liability of $(0.3) million and $(0.3) million, for the years ended December 31, 2025 and 2024, respectively, which are recorded in Gain (loss) on earnout liabilities in the Consolidated Statement of Operations and in Fair value (gain) loss on earnout liability in the 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2025. As of December 31, 2025, the Kontora earn-out liability of $7.0 million is reported in the Earn-out liabilities, at fair value, in the Consolidated Statement of Financial Position. The Company recognized the change in fair value for the Kontora earn-out liability of $(1.3) million for the year ended December 31, 2025, which is recorded in Gain (loss) on earnout liabilities in the Consolidated Statement of Operations and in Fair value (gain) loss on earnout liability in the Consolidated Statement of Cash Flows in the period of change.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Due to Certain Employees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August 2020, a senior executive of the Company entered into a Share Purchase Agreement with Tiedemann Constantia AG (“TC”), a wholly-owned subsidiary of the Company, in connection with a share buyback transaction pursuant to which the senior executive sold 702 shares of TC stock (“TC Shares”) to TC in exchange for a vendor loan note issued by TC (the “Vendor Loan Note”). The Vendor Loan Note accrues interest until settlement. On May 18, 2025, the senior executive sent the Company a demand notice for repayment of the Vendor Loan Note in accordance with its terms. The Company expects the loan to be settled in mid-2026. As of December 31, 2025, the outstanding balance of this loan was approximately $0.7 million and is reported in Other liabilities in the Consolidated Statement of Financial Position.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60"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date, and as of December 31, 2024, amounted to $3.3 million, and was recorded within the Other liabilities line item in the Consolidated Statement of Financial Position. The deferred consideration was paid during the first quarter ended March 31, 2025, in cash and equity totaling $3.4 million. For the year ended December 31, 2025, the Company recognized the change in fair value for the deferred consideration liability of $372.6 thousand, of which $390.7 thousand is recorded in Gain (loss) on earnout liabilities and $(18.1) thousand is recorded in Interest expense, both in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Operating Lease Liabilities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ALWP renewed a lease it had previously entered into for its Singapore office with a related party, which became effective on November 1, 2025. The lessor is the head of investments of this subsidiary. As of December 31, 2025 and December 31, 2024, the operating lease payable amounted to $1.2 million and $0.3 million, respectively, and is reported in the Operating lease liabilities in the Consolidated Statement of Financial Position. The Company recorded lease expense related to this lease of $0.5 million, $0.5 million, and $0.4 million for the years ended December 31, 2025, 2024, and 2023, respectively, which is recorded in Occupancy costs in the Consolidated Statement of Operations and</w:t>
      </w:r>
      <w:r>
        <w:rPr>
          <w:color w:val="000000"/>
        </w:rPr>
        <w:t xml:space="preserve"> </w:t>
      </w:r>
      <w:r>
        <w:rPr>
          <w:rFonts w:ascii="Times New Roman;serif" w:hAnsi="Times New Roman;serif"/>
          <w:b w:val="false"/>
          <w:color w:val="000000"/>
          <w:sz w:val="22"/>
        </w:rPr>
        <w:t xml:space="preserve">$0.5 million, $0.5 million, and $0.4 million for the years ended December 31, 2025, 2024, and 2023, respectively, in Operating cash flow from operating leases in the 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Fees Receivable, net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Consolidated Statement of Financial Condition as Fees receivable, net. As of December 31, 2025 and December 31, 2024, fees due from Alvarium related fee arrangements were $0.0 thousand and $84.0 thousand, respectively. Additionally, as of December 31, 2025 and December 31, 2024, management and incentive fees receivable due from TIG related fee agreements were $9.5 million and $0.8 million, respectively.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2"/>
        </w:rPr>
      </w:pPr>
      <w:r>
        <w:rPr>
          <w:rFonts w:ascii="Times New Roman;serif" w:hAnsi="Times New Roman;serif"/>
          <w:b/>
          <w:i/>
          <w:color w:val="000000"/>
          <w:sz w:val="22"/>
        </w:rPr>
        <w:t>Allianz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31, 2024, the Company closed on the Allianz Transaction which resulted in the issuance of 140,000 shares of Series A Preferred Stock, 19,318,580.96 shares of Class A Common Stock, the Allianz Warrants to purchase 5,000,000 shares of Class A Common Stock, and the Allianz Tranche Right which permits Allianz, at its option, to purchase up to 50,000 additional shares of Series A Preferred Stock up to an aggregate amount equal to $50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Additionally, the Board established a Transaction Committee for purposes of reviewing and assessing all proposals, plans, or recommendations by the Company’s management with respect to potential or proposed merger, acquisition or investment (including minority investments and investments into any funds); (ii) material asset purchase (including the hiring of groups of key employees of target businesses in lieu of acquiring legal entities or property); (iii) divestiture or disposition of a material asset or a material portion of any business; and (iv) financing of any of the foregoing.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Allianz Investor Rights Agreement, Allianz has the right to nominate two directors (the “Investor Designees”) until such time as Allianz ceases to own at least 50% of the initial shares of Class A Common Stock. For so long as Allianz is permitted to designate the Investor Designees, one Investor Designee will serve as a member of the Transaction Committee and each Investor Designee will serve as a member of at least one other Board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61"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on Allianz’s rights under the Investor Rights Agreement, including to hold Board seats, the Company has concluded that Allianz represents a related party. As of both December 31, 2025 and December 31, 2024, the Allianz Warrants of $6.6 million are recorded as a component of equity in the line item Additional paid-in capital on the Company’s Consolidated Statement of Financial Position.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13, 2025, Allianz exercised the Allianz Tranche Right to purchase an additional 18,471 shares of Series A Preferred Stock at $1,000 per share. As of December 31, 2025 and December 31, 2024, the Allianz Tranche Right of $2.4 million and $3.9 million, respectively, is recorded in the line item Preferred stock tranche liability on the Company’s Consolidated Statement of Financial Position. For the years ended December 31, 2025 and December 31, 2024, the change in fair value of the Allianz Tranche Right is $1.5 million and $0.6 million, respectively, and is recorded in the line item Gain (loss) on preferred stock tranche liability in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June 30, 2025, the Board declared dividends payable in kind to Allianz that were comprised of 50% shares of Series A Preferred Stock and 50% in shares of Class A Common Stock. The Series A Preferred Stock of 168,934, inclusive of dividends paid in kind, is classified outside of permanent equity as mezzanine equity in the accompanying Consolidated Statement of Financial Position and is presented net of issuance costs and inclusive of accrued dividends. An additional 1,523,289 shares of Class A Common Stock were issued to Allianz as part of the 50% dividends paid in kind. Refer to Note 1 (Description of the Business), Note 8 (Fair Value Disclosures), and Note 16 (Debt, net of unamortized deferred financing cost) for additional details around instruments related to the Allianz Transaction.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December 31, 2024, the Company entered into an equity method investment of $20.3 million with Allianz, which was recorded in the line item Equity method investments on the Company’s Consolidated Statement of Financial Position. The equity method investment was sold at cost along with an immaterial gain as of the first quarter ended March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2"/>
        </w:rPr>
      </w:pPr>
      <w:r>
        <w:rPr>
          <w:rFonts w:ascii="Times New Roman;serif" w:hAnsi="Times New Roman;serif"/>
          <w:b/>
          <w:i/>
          <w:color w:val="000000"/>
          <w:sz w:val="22"/>
        </w:rPr>
        <w:t>Constellation Transaction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ended March 31, 2024, the Company entered into an agreement with Constellation for the sale and issuance of 150,000 shares of Series C Preferred Stock that occurred in two transactions,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December 31, 2025, the 150,000 outstanding shares of Series C Preferred Stock represent 7.5% of the total voting power of all shares.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the Company issued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No Constellation Warrants were exercised during the year ended December 31, 2025. As of both December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62"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Constellation Warrants of $3.0 million, are recorded as a component of equity in the line item Additional paid-in capital on the Company’s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(19) Segment Reporting</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Prior to the third quarter ended September 30, 2025, the Company was organized into two reportable segments: Wealth &amp; Capital Solutions and International Real Estate. On July 11, 2025, the Board approved a plan to appoint administrators over the International Real Estate Businesses. See Note 3 (Discontinued Operations) for further information. As such, during the third quarter ended September 30, 2025, the Company disposed of its International Real Estate segment, and is now organized as one reportable segment as of September 30, 2025.</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Our chief operating decision maker (“CODM”), currently, our Chief Executive Officer, assesses the Company’s performance and allocation of resources based on Net income (loss) from continuing operations, as reported in the Consolidated Statement of Operations, to assist with the evaluation of strategic business decisions, including potential acquisitions or divestitures and whether to invest in certain products or services, and expense management.</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expense categories that are regularly reviewed by the CODM are presented in the Company's Consolidated Statement of Operations. Items regularly reviewed consist of non-compensation expenses, such as professional fees, sales, distribution and marketing, travel and entertainment, systems, technology and telephone, occupancy costs and general, administrative,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63"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(20) Earnings Per Share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Company’s treatment for basic and diluted earnings (loss) per share for instruments outstanding of the Company. Potentially dilutive instruments are only considered in the calculation to the extent they would be dilutive.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3"/>
        <w:gridCol w:w="555"/>
        <w:gridCol w:w="486"/>
        <w:gridCol w:w="109"/>
        <w:gridCol w:w="109"/>
        <w:gridCol w:w="109"/>
        <w:gridCol w:w="365"/>
        <w:gridCol w:w="365"/>
        <w:gridCol w:w="377"/>
        <w:gridCol w:w="127"/>
        <w:gridCol w:w="127"/>
        <w:gridCol w:w="127"/>
        <w:gridCol w:w="723"/>
        <w:gridCol w:w="723"/>
        <w:gridCol w:w="737"/>
        <w:gridCol w:w="109"/>
        <w:gridCol w:w="109"/>
        <w:gridCol w:w="109"/>
        <w:gridCol w:w="365"/>
        <w:gridCol w:w="365"/>
        <w:gridCol w:w="377"/>
        <w:gridCol w:w="126"/>
        <w:gridCol w:w="126"/>
        <w:gridCol w:w="126"/>
        <w:gridCol w:w="649"/>
        <w:gridCol w:w="649"/>
        <w:gridCol w:w="943"/>
      </w:tblGrid>
      <w:tr>
        <w:trPr/>
        <w:tc>
          <w:tcPr>
            <w:tcW w:w="111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A Preferred Stock</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C Preferred Stock</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Tranche Right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Warrants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Constellation Warrants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PW Deferred Consideration Shares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Acquisition-Related Awards</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RSUs</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PRSUs</w:t>
            </w:r>
            <w:r>
              <w:rPr>
                <w:color w:val="000000"/>
              </w:rPr>
              <w:t xml:space="preserve">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bl>
    <w:p>
      <w:pPr>
        <w:pStyle w:val="TextBody"/>
        <w:bidi w:val="0"/>
        <w:spacing w:lineRule="auto" w:line="268" w:before="24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For the years ended December 31, 2025 and December 31, 2024, 1,950,315 and 7,080,837, respectively,</w:t>
      </w:r>
      <w:r>
        <w:rPr>
          <w:color w:val="000000"/>
        </w:rPr>
        <w:t xml:space="preserve"> </w:t>
      </w:r>
      <w:r>
        <w:rPr>
          <w:rFonts w:ascii="Times New Roman;serif" w:hAnsi="Times New Roman;serif"/>
          <w:b w:val="false"/>
          <w:color w:val="000000"/>
          <w:sz w:val="18"/>
        </w:rPr>
        <w:t xml:space="preserve">of Class B shares were converted into Class A Common Stock. </w:t>
      </w:r>
    </w:p>
    <w:p>
      <w:pPr>
        <w:pStyle w:val="TextBody"/>
        <w:bidi w:val="0"/>
        <w:spacing w:lineRule="auto" w:line="268" w:before="120" w:after="283"/>
        <w:jc w:val="both"/>
        <w:rPr/>
      </w:pPr>
      <w:r>
        <w:rPr>
          <w:rFonts w:ascii="Times New Roman;serif" w:hAnsi="Times New Roman;serif"/>
          <w:b/>
          <w:color w:val="000000"/>
          <w:sz w:val="12"/>
        </w:rPr>
        <w:t>(2)</w:t>
      </w:r>
      <w:r>
        <w:rPr>
          <w:color w:val="000000"/>
        </w:rPr>
        <w:t xml:space="preserve"> </w:t>
      </w:r>
      <w:r>
        <w:rPr>
          <w:rFonts w:ascii="Times New Roman;serif" w:hAnsi="Times New Roman;serif"/>
          <w:b w:val="false"/>
          <w:color w:val="000000"/>
          <w:sz w:val="18"/>
        </w:rPr>
        <w:t xml:space="preserve">During the year ended December 31, 2024, the Company issued shares of Series A and C Preferred Stock in addition to warrants for shares of Class A Common Stock to Allianz and Constellation. Both Series A and C Preferred Stock are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years ended December 31, 2025 and December 31, 2024, the shares of Series A and C Preferred Stock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The Allianz Tranche Right was issued as part of the Allianz Transaction, which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as described in Note 1 (Description of the Business). The Allianz Tranche Right is classified as a contingently convertible instrument and will be included in the calculation of diluted earnings per share if the right has been exercised within the reporting period. On May 13, 2025,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64"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additional 18,471 shares under the Allianz Tranche Right were issued; however, these shares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 xml:space="preserve">As mentioned in footnotes 2 above, the Company issued shares of Series A and C Preferred Stock in addition to warrants for Class A Shares to Allianz and Constellation. The warrants do not participate in dividends declared on common stock and are excluded from the calculation of basic earnings per share. Since the warrants are classified as a component of equity and can be exercised in exchange for Class A Shares, application of the treasury stock method for calculation of diluted earnings per share is applied. For the years ended December 31, 2025 and December 31, 2024, the warrants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 xml:space="preserve">Earn-Out Shares are the portion of estimated contingent consideration related to the Business Combination, EEA earn-out liability, and Envoi growth-consideration liability that could be paid out in Class A Common Stock. Earn-Out Shares are excluded from the calculation of basic earnings per share if it’s determined that the contingency has not been resolved as of the current reporting period. During the year ended December 31, 2025, 618,453 shares of Class A Common Stock were issued as part of the EEA earn-out liability and included in the Company’s basic earnings per share calculation.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treasury stock method is applied for calculating diluted earnings per share since our Earn-Outs are classified as liabilities and remeasured at fair value each period and includes reversing the income statement effect of the fair value remeasurement for the period. See Note 4 (Business Combinations and Divestitures) for additional information related to our Earn-Outs. For the years ended December 31, 2025, December 31, 2024 and December 31, 2023, the Earn-Out Shares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 xml:space="preserve">PW Deferred Consideration Shares relate to the portion of deferred consideration payable in Class A Common Stock upon meeting certain revenue thresholds related to our PW acquisition. During the quarter ended March 31, 2025, the PW Deferred Consideration Shares were issued to the sellers and are included in the Company’s basic earnings per share. There are no further contingent shares outstanding related to the PW Deferred Consideration Shares. Refer to Note 4 (Business Combinations and Divestitures) for further details. </w:t>
      </w:r>
    </w:p>
    <w:p>
      <w:pPr>
        <w:pStyle w:val="TextBody"/>
        <w:bidi w:val="0"/>
        <w:spacing w:lineRule="auto" w:line="268" w:before="120" w:after="283"/>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 xml:space="preserve">Acquisition-Related Awards include EEA Equity Awards, Envoi Equity Awards, Singapore Equity Awards and Kontora Earn-Ins. During the quarter ended June 30, 2025, 1,686,763 shares of Class A Common Stock were issued in settlement of the Holbein Earn-Ins and are included in the Company’s basic earnings per shares. Certain compensatory awards related to the PW acquisition (the “PW Equity Awards”) were reclassified to be paid out fully in cash rather than equity during the quarter ended March 31, 2025. As such, the PW Equity Awards are excluded from the Company’s earnings per share calculations.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Service periods related to the Acquisition-Related Awards had not been completed as of the year ended December 31, 2025 and therefore such shares were excluded from the calculation of basic earnings per share. For the year ended December 31, 2025, 436,816 shares of Class A Common Stock were issued as part of the EEA Earn-Ins and are included in the Company’s basic earnings per share for the reporting period.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For diluted earnings per share, a contingency that is based on solely on service vesting (i.e., the passage of time) is considered resolved in the current reporting, and the shares are included in the calculation of diluted earnings per share in the current reporting period. For the years ended December 31, 2025, 2024 and 2023, the Acquisition-Related Awards, which included the Holbein Earn-Ins [and PW Equity Awards] through the quarters June 30, 2025 and March 31, 2025, respectively, were excluded from the Company’s diluted earnings per share calculation as the effects were determined to be anti-dilutive. Refer to Note 6 (Equity-Based Compensation) for additional details for the Acquisition-Related Awards.</w:t>
      </w:r>
    </w:p>
    <w:p>
      <w:pPr>
        <w:pStyle w:val="TextBody"/>
        <w:bidi w:val="0"/>
        <w:spacing w:lineRule="auto" w:line="268" w:before="120" w:after="283"/>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 xml:space="preserve">RSUs vest over the required service period, and PRSUs vest based on both a market condition and a required service period. As such, unvested RSUs and PRSUs are excluded from the calculation of basic earnings per share.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The treasury stock method is applied for calculating the dilutive effects of share-based payment awards. For the years ended December 31, 2025 and December 31, 2024, unvested RSUs and PRSUs were excluded from the Company’s diluted earnings per share calculation as the effects were determined to be anti-dilutive. See Note 6 (Equity-Based Compensation) for additional details.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65"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Basic earnings per share is computed by dividing net income (loss) available to common shareholders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 based on income attributable to common shareholders:</w:t>
      </w:r>
    </w:p>
    <w:tbl>
      <w:tblPr>
        <w:tblW w:w="10205" w:type="dxa"/>
        <w:jc w:val="left"/>
        <w:tblInd w:w="0" w:type="dxa"/>
        <w:tblLayout w:type="fixed"/>
        <w:tblCellMar>
          <w:top w:w="28" w:type="dxa"/>
          <w:left w:w="28" w:type="dxa"/>
          <w:bottom w:w="28" w:type="dxa"/>
          <w:right w:w="28" w:type="dxa"/>
        </w:tblCellMar>
      </w:tblPr>
      <w:tblGrid>
        <w:gridCol w:w="1918"/>
        <w:gridCol w:w="1385"/>
        <w:gridCol w:w="1389"/>
        <w:gridCol w:w="109"/>
        <w:gridCol w:w="109"/>
        <w:gridCol w:w="109"/>
        <w:gridCol w:w="109"/>
        <w:gridCol w:w="267"/>
        <w:gridCol w:w="1043"/>
        <w:gridCol w:w="130"/>
        <w:gridCol w:w="109"/>
        <w:gridCol w:w="109"/>
        <w:gridCol w:w="109"/>
        <w:gridCol w:w="267"/>
        <w:gridCol w:w="1043"/>
        <w:gridCol w:w="130"/>
        <w:gridCol w:w="109"/>
        <w:gridCol w:w="109"/>
        <w:gridCol w:w="109"/>
        <w:gridCol w:w="313"/>
        <w:gridCol w:w="1039"/>
        <w:gridCol w:w="191"/>
      </w:tblGrid>
      <w:tr>
        <w:trPr/>
        <w:tc>
          <w:tcPr>
            <w:tcW w:w="191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5"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1870" w:type="dxa"/>
            <w:gridSpan w:val="6"/>
            <w:tcBorders/>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in subsidiaries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(35,371)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(71,271)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(88,346)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Class A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(122,366)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Class A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(122,366)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(41,669)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99,868,230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79,692,659 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61,396,692 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Dilutive effect of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54,418,555 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99,868,230 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79,692,659 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115,815,247 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per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per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securities that were anti-dilutive for the periods presented. As a result, these securities were excluded from the computation of diluted earnings per share for the periods presented: </w:t>
      </w:r>
    </w:p>
    <w:tbl>
      <w:tblPr>
        <w:tblW w:w="10201" w:type="dxa"/>
        <w:jc w:val="left"/>
        <w:tblInd w:w="0" w:type="dxa"/>
        <w:tblLayout w:type="fixed"/>
        <w:tblCellMar>
          <w:top w:w="28" w:type="dxa"/>
          <w:left w:w="28" w:type="dxa"/>
          <w:bottom w:w="28" w:type="dxa"/>
          <w:right w:w="28" w:type="dxa"/>
        </w:tblCellMar>
      </w:tblPr>
      <w:tblGrid>
        <w:gridCol w:w="1275"/>
        <w:gridCol w:w="1121"/>
        <w:gridCol w:w="1129"/>
        <w:gridCol w:w="109"/>
        <w:gridCol w:w="109"/>
        <w:gridCol w:w="161"/>
        <w:gridCol w:w="161"/>
        <w:gridCol w:w="574"/>
        <w:gridCol w:w="574"/>
        <w:gridCol w:w="576"/>
        <w:gridCol w:w="161"/>
        <w:gridCol w:w="161"/>
        <w:gridCol w:w="161"/>
        <w:gridCol w:w="574"/>
        <w:gridCol w:w="574"/>
        <w:gridCol w:w="576"/>
        <w:gridCol w:w="109"/>
        <w:gridCol w:w="109"/>
        <w:gridCol w:w="109"/>
        <w:gridCol w:w="574"/>
        <w:gridCol w:w="574"/>
        <w:gridCol w:w="57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3"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4"/>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and Class B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47,257,352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48,352,620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Allianz and Constellation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35,771,958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19,905,453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13,884,667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12,583,106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10,396,318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PW Deferred Consideration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1,142,754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1,916,916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3,245,446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3,432,030</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66"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(21) Commitments and Contingencies</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and December 31, 2024, the liability associated with the TRA was approximately $25.7 million and $28.8 million, respectively. Payments under the TRA that are on account of liabilities arising in connection with the Business Combination will be revalued at the end of each reporting period with the gain or loss recognized in earnings. As of December 31, 2025 and December 31, 2024, the Company carried $8.8 million and $9.4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88" w:before="200" w:after="283"/>
        <w:jc w:val="both"/>
        <w:rPr/>
      </w:pPr>
      <w:r>
        <w:rPr>
          <w:rFonts w:ascii="Times New Roman;serif" w:hAnsi="Times New Roman;serif"/>
          <w:b w:val="false"/>
          <w:color w:val="000000"/>
          <w:sz w:val="22"/>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erif" w:hAnsi="Times New Roman;serif"/>
          <w:b w:val="false"/>
          <w:i/>
          <w:color w:val="000000"/>
          <w:sz w:val="22"/>
        </w:rPr>
        <w:t>Contingencies</w:t>
      </w:r>
      <w:r>
        <w:rPr>
          <w:rFonts w:ascii="Times New Roman;serif" w:hAnsi="Times New Roman;serif"/>
          <w:b w:val="false"/>
          <w:color w:val="000000"/>
          <w:sz w:val="22"/>
        </w:rPr>
        <w:t xml:space="preserve">. </w:t>
      </w:r>
    </w:p>
    <w:p>
      <w:pPr>
        <w:pStyle w:val="TextBody"/>
        <w:bidi w:val="0"/>
        <w:spacing w:lineRule="auto" w:line="268" w:before="200" w:after="283"/>
        <w:jc w:val="both"/>
        <w:rPr/>
      </w:pPr>
      <w:r>
        <w:rPr>
          <w:rFonts w:ascii="Times New Roman;serif" w:hAnsi="Times New Roman;serif"/>
          <w:b w:val="false"/>
          <w:color w:val="000000"/>
          <w:sz w:val="22"/>
        </w:rPr>
        <w:t xml:space="preserve">As of December 31, 2025, </w:t>
      </w:r>
      <w:r>
        <w:rPr>
          <w:rFonts w:ascii="Times New Roman;serif" w:hAnsi="Times New Roman;serif"/>
          <w:b w:val="false"/>
          <w:color w:val="000000"/>
          <w:sz w:val="22"/>
          <w:shd w:fill="FFFFFF" w:val="clear"/>
        </w:rPr>
        <w:t>holders of Class B Units have exchanged a total o</w:t>
      </w:r>
      <w:r>
        <w:rPr>
          <w:rFonts w:ascii="Times New Roman;serif" w:hAnsi="Times New Roman;serif"/>
          <w:b w:val="false"/>
          <w:color w:val="000000"/>
          <w:sz w:val="22"/>
        </w:rPr>
        <w:t xml:space="preserve">f 10,844,400 Class B Paired Interests with the Company, for shares of Class A Common Stock on a 1:1 basis totaling an amount equal to the weighted average price of $5.68 multiplied by the total number of shares of Class A </w:t>
      </w:r>
      <w:r>
        <w:rPr>
          <w:rFonts w:ascii="Times New Roman;serif" w:hAnsi="Times New Roman;serif"/>
          <w:b w:val="false"/>
          <w:color w:val="000000"/>
          <w:sz w:val="22"/>
          <w:shd w:fill="FFFFFF" w:val="clear"/>
        </w:rPr>
        <w:t>Common Stock received at the time of the transactions.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assuming no material changes in the relevant tax laws and that the Company generates sufficient taxable income to realize the full tax benefit of the increased amortization resulting from the increase in tax basis of certain of AlTi’s assets, we expect to pay approximately $25.7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Liability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67"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earn-out shares are precluded from being considered indexed to the Company’s own stock and are recognized as a liability at fair value with changes in fair value recognized in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Business Combination Earn-out Securities, comprised of 3.3 million Class A Shares, 7.1 million shares of Class B Common Stock, and 7.1 million Class B Units (one Class B share and one Class B Unit comprising a Paired Interest, as described in Note 4 (Business Combinations and Divestitures)),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December 31, 2025 and December 31, 2024, the fair value of the earn-out shares was $15.3 million and $23.8 million, respectively.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EEA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December 31, 2025 and December 31, 2024, the EEA earn-out liability of $25.3 million and $29.9 million, respectively, is reported in Earn-out liabilities, at fair value, in the Consolidated Statement of Financial Position. Since the EEA earn-out liability meets the definition of a derivative, it is recorded at fair value as a derivative liability on the Consolidated Statement of Financial Position and measured at fair value at each reporting date in accordance with ASC 820, </w:t>
      </w:r>
      <w:r>
        <w:rPr>
          <w:rFonts w:ascii="Times New Roman;serif" w:hAnsi="Times New Roman;serif"/>
          <w:b w:val="false"/>
          <w:i/>
          <w:color w:val="000000"/>
          <w:sz w:val="22"/>
        </w:rPr>
        <w:t>Fair Value Measurement</w:t>
      </w:r>
      <w:r>
        <w:rPr>
          <w:rFonts w:ascii="Times New Roman;serif" w:hAnsi="Times New Roman;serif"/>
          <w:b w:val="false"/>
          <w:color w:val="000000"/>
          <w:sz w:val="22"/>
        </w:rPr>
        <w:t>. Changes in fair value will be recognized in Gain (loss) on earnout liabilities in the Consolidated Statement of Operations and in Fair value (gain) loss on earnout liability in the Consolidated Statement of Cash Flows in the period of change.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Consolidated Statement of Financial Position. The deferred consideration was paid during the first quarter ended March 31, 2025, in cash and equity totaling $3.4 million.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68"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December 31, 2025 and December 31, 2024, the Envoi earn-out consideration liability of $8.2 million and $9.6 million, respectively, and the Envoi earn-out growth consideration liability of $1.6 million and $1.3 million, respectively, are reported in the Earn-out liabilities, at fair value, in the Consolidated Statement of Financial Position. The fair values will be remeasured at each reporting date in accordance with ASC 820, </w:t>
      </w:r>
      <w:r>
        <w:rPr>
          <w:rFonts w:ascii="Times New Roman;serif" w:hAnsi="Times New Roman;serif"/>
          <w:b w:val="false"/>
          <w:i/>
          <w:color w:val="000000"/>
          <w:sz w:val="22"/>
        </w:rPr>
        <w:t xml:space="preserve">Fair Value Measurement. </w:t>
      </w:r>
      <w:r>
        <w:rPr>
          <w:rFonts w:ascii="Times New Roman;serif" w:hAnsi="Times New Roman;serif"/>
          <w:b w:val="false"/>
          <w:color w:val="000000"/>
          <w:sz w:val="22"/>
        </w:rPr>
        <w:t>Changes in the fair value of the Envoi earn-out liability will be recognized in Gain (loss) on earnout liabilities in the Consolidated Statement of Operations and in Fair value (gain) loss on earnout liability in the Consolidated Statement of Cash Flows in the period of change.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contingent upon Kontora meeting certain revenue requirements between the closing date and December 31, 2035. As of December 31, 2025, the Kontora earn-out liability of $7.0 million is reported in the Earn-out liabilities, at fair value, in the Consolidated Statement of Financial Position. The fair values will be remeasured at each reporting date in accordance with ASC 820, </w:t>
      </w:r>
      <w:r>
        <w:rPr>
          <w:rFonts w:ascii="Times New Roman;serif" w:hAnsi="Times New Roman;serif"/>
          <w:b w:val="false"/>
          <w:i/>
          <w:color w:val="000000"/>
          <w:sz w:val="22"/>
        </w:rPr>
        <w:t>Fair Value Measurement.</w:t>
      </w:r>
      <w:r>
        <w:rPr>
          <w:color w:val="000000"/>
        </w:rPr>
        <w:t xml:space="preserve"> </w:t>
      </w:r>
      <w:r>
        <w:rPr>
          <w:rFonts w:ascii="Times New Roman;serif" w:hAnsi="Times New Roman;serif"/>
          <w:b w:val="false"/>
          <w:color w:val="000000"/>
          <w:sz w:val="22"/>
        </w:rPr>
        <w:t>Changes in the fair value of the Kontora earn-out liability will be recognized in Gain (loss) on earnout liabilities in the Consolidated Statement of Operations and in Fair value (gain) loss on earnout liability in the Consolidated Statement of Cash Flows in the period of change. See Note 2 (Summary of Significant Accounting Policies) for additional detail.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Letter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both December 31, 2025 and December 31, 2024, the Company has existing letters of credit in the amount of $3.4 million under the Facility Agreement.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we may be named as a defendant in legal or regulatory actions. Although there can be no assurance of the outcome of such matters, management’s current assessment is that no loss contingency reserve is required to be recorded as of December 31, 2025 for any potential liability related to any current legal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69"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regulatory proceeding or claim that would individually or in the aggregate materially affect our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approved the appointment of Teneo as administrators of the International Real Estate Businesses. Potential litigation related to that business, including Home REIT and HLIF below, will be dealt with as appropriate by the administrators.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a wholly owned subsidiary of the Company, is one of the International Real Estate entities which entered into administration, and was Home REIT’s alternative investment fund manager (“AIFM”) until August 21, 2023 and AHRA was its investment adviser until June 30, 2023. Services are no longer provided by any AlTi companies or any legacy Alvarium companies to Home REIT. AHRA was owned by ARE (another wholly owned subsidiary of the Company, and one of the International Real Estate entities which entered into administration)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July 11,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70"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(one of the International Real Estate entities which entered into administration),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In February 2024, the UK FCA commenced investigations into the historic performance of certain International Real Estate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are not able to estimate how long it might take for the UK FCA to complete such investigations, but it is possible that the investigations may continue for a prolonged period, potentially over several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year ended December 31, 2025, a provision of $3.6 million has been recognized in relation to this potential future liability. The ultimate loss could differ from the accrued amount.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71"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(22) Equity</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and December 31, 2024, there were 103,330,156 and 93,686,980, respectively, shares of Class A Common Stock outstanding. Of those shares, 754,968 are subject to performance targets under the terms of the Business Combination Earn-out as of both December 31, 2025 and December 31, 2024. The holders of the Class A Common Stock represent the controlling interest of the Company. </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Class B Common Stock</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December 31, 2025 and December 31, 2024, there were 44,188,561 and 46,138,876, respectively, shares of Class B Common Stock outstanding.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Treasury Stock</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From time to time, the Company may repurchase common shares related to its equity-based compensation award programs. During the second quarter ended June 30, 2025 the Company reissued, from Treasury Stock, 817,730 shares of Class A Common Stock which were repurchased and classified as Treasury Stock on the Consolidated Statement of Financial Position during the first quarter ended March 31, 2025, in the amount of $2.8 million. Treasury Stock was recorded at cost, representing the market price on the repurchase date, and was accounted for as a reduction of Additional Paid-in Capital. As of December 31, 2025, there was no Treasury Stock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Series A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part of the Allianz Transaction, the Company issued 140,000 shares of Series A Preferred Stock to Allianz, which is classified outside of permanent equity as mezzanine equity in the accompanying Consolidated Statement of Financial Position as they are not mandatorily redeemable as of December 31, 2025. As of December 31, 2025, the Series A Preferred Stock amounts to 168,934, which is inclusive of dividends paid in kind.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Series C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Constellation Transaction, the Company issued 150,000 shares of Series C Preferred Stock to Constellation. The Series C Preferred Stock is classified outside of permanent equity as mezzanine equity in the accompanying Consolidated Statement of Financial Position as they are not mandatorily redeemable as of December 31, 2025.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Allianz and Constellation Warrants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In connection with the Constellation and Allianz Transactions, the Company evaluated the Constellation and Allianz Warrants in accordance with ASC 815-40, </w:t>
      </w:r>
      <w:r>
        <w:rPr>
          <w:rFonts w:ascii="Times New Roman;serif" w:hAnsi="Times New Roman;serif"/>
          <w:b w:val="false"/>
          <w:i/>
          <w:color w:val="000000"/>
          <w:sz w:val="22"/>
        </w:rPr>
        <w:t>Contracts in an Entity’s Own Equity,</w:t>
      </w:r>
      <w:r>
        <w:rPr>
          <w:color w:val="000000"/>
        </w:rPr>
        <w:t xml:space="preserve"> </w:t>
      </w:r>
      <w:r>
        <w:rPr>
          <w:rFonts w:ascii="Times New Roman;serif" w:hAnsi="Times New Roman;serif"/>
          <w:b w:val="false"/>
          <w:color w:val="000000"/>
          <w:sz w:val="22"/>
        </w:rPr>
        <w:t xml:space="preserve">and concluded that the warrants are derivatives that meet the equity classification criteria. As of both December 31, 2025 and December 31, 2024, the Constellation and Allianz Warrants of $9.6 million are recorded as a component of equity net of issuance costs in the line item Additional paid-in capital on the Company’s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72"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Notes to Consolidated Financial Statements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(23) Subsequent Events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Management evaluated events and transactions through the date of issuance of these financial statements. Based on management’s evaluation there are no events subsequent to December 31, 2025 that require adjustment to or disclosure in the consolidated financial statements, except as noted below.</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International Real Estate Businesses — Teneo Settlement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administration of the International Real Estate Businesses, the Company and the Administrators have negotiated a settlement of outstanding intercompany balances between certain of our affiliates and the International Real Estate Businesses. On March 19, 2026, the Company and certain of our affiliates on the one hand and the International Real Estate Businesses the Administrators on the other hand entered into a binding settlement and intercompany loan deed memorializing the terms of the settlement and concluding this matter. The settlement amount of £11.2 million ($15.0 million) will be paid in installments through November 2027.</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73"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9. CHANGES IN AND DISAGREEMENTS WITH ACCOUNTANTS ON ACCOUNTING AND FINANCIAL DISCLOSURE </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December 31, 2025.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December 31, 2025, our disclosure controls and procedures were not fully effective due to remaining material weaknesses in internal control over financial reporting, as further described below in Management’s Report on Internal Control Over Financial Reporting.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Based on its assessment of the Company’s internal control over financial reporting, including the progress during 2025 to remediate control weaknesses previously identified, the following updates to remediating material weaknesses in our internal control over financial reporting remain as of December 31, 2025, are discussed below.</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2"/>
        </w:rPr>
      </w:pPr>
      <w:r>
        <w:rPr>
          <w:rFonts w:ascii="Times New Roman;serif" w:hAnsi="Times New Roman;serif"/>
          <w:b/>
          <w:color w:val="000000"/>
          <w:sz w:val="22"/>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management, including our Chief Executive Officer and Chief Financial Officer,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reporting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the transactions are recorded as necessary to permit preparation of financial statements in accordance with U.S. GAAP, and that the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management (with the supervision and participation of our Chief Executive Officer and Chief Financial Officer) conducted an evaluation of the effectiveness of our internal control over financial reporting based on the framework in Internal Control - Integrated Framework issued in 2013 by the Committee of Sponsoring Organizations of the Treadway Commission. Based on this evaluation, management concluded that our internal control over financial reporting was not effective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previously disclosed in Part I, Item 4 of our Quarterly Report on Form 10-Q for the quarter ending September 30, 2025, management identified one of the three remaining material weaknesses in internal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74"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over financial reporting relating to </w:t>
      </w:r>
      <w:r>
        <w:rPr>
          <w:rFonts w:ascii="Times New Roman;serif" w:hAnsi="Times New Roman;serif"/>
          <w:b w:val="false"/>
          <w:color w:val="0D0D0D"/>
          <w:sz w:val="22"/>
          <w:shd w:fill="FFFFFF" w:val="clear"/>
        </w:rPr>
        <w:t>insufficiently documented process-level controls</w:t>
      </w:r>
      <w:r>
        <w:rPr>
          <w:color w:val="000000"/>
        </w:rPr>
        <w:t xml:space="preserve"> </w:t>
      </w:r>
      <w:r>
        <w:rPr>
          <w:rFonts w:ascii="Times New Roman;serif" w:hAnsi="Times New Roman;serif"/>
          <w:b w:val="false"/>
          <w:color w:val="000000"/>
          <w:sz w:val="22"/>
        </w:rPr>
        <w:t xml:space="preserve">that support our financial statements and reporting. Further, management has commenced extensive remediation efforts, but as of December 31, 2025, has partially completed its testing plan to determine the effectiveness of controls that support our financial statements and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has implemented a remediation plan to address the material weaknesses in our internal control over financial reporting, including, among other things, completing its efforts to design and implement process level and management review controls and sufficiently documenting and implementing policies to provide reasonable assurance that financial statement disclosures are complete and accurate and identify and address emerging risks.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years ended December 31, 2025 and 2024, management has made progress in enhancing its internal control over financial reporting. This progress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Management has designed and implemented risk assessment review processes (risk assessment and gap analysis) that are intended to identify risks that could result, if not detected timely, in material misstatements in our consolidated financial statements. Management believes that such review risk assessment processes have been effectively implemented as of December 31,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Management has identified and documented processes supporting the recording of balances and transactions in the Company’s consolidated financial statements and identified and documented controls that are intended to mitigate the risk of material misstatement in account balances and financial statement disclosures. The Company completed the exercise of documenting controls during the first fiscal quarter of 2025 and began tests of design and operating effectiveness of certain controls throughout 2025. The Company intends to continue tests of design and operating effectiveness of certain controls during 2026. However, these controls are not operating effectively as of December 31, 2025.</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Management has identified and documented information technology controls related to the Company’s general information technology control environment that mitigates risks associated with items including systems development and change management, appropriate access to systems, and management of the Company’s internal financial and third-party customer data. The Company completed the exercise of documenting controls during the second and third fiscal quarters of 2025 and completed tests of design and operating effectiveness of certain controls. The Company’s objective is that such testing of operating effectiveness of controls were maintained throughout 2025 and beyond to allow the Company to sustain remediation of previously identified material weaknesses in its internal control over financial reporting specifically related to information technology controls.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we will no longer be an emerging growth company effective December 31, 2026, we expect to incur additional material costs to complete the remediation plan, including costs incurred by our external auditor to assess whether all material weaknesses have been remediated. We can give no assurance that such efforts will remediate these deficiencies in internal control over financial reporting or 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material weaknesses, if not remediated, could result in misstatements of accounts or disclosures that would result in a material misstatement to the annual consolidated financial statements or the interim consolidated financial statements that would not be prevented or detected.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management anticipates that our internal control over financial reporting will not be fully effective until the above material weaknesses are remediated. If our remediation of these material weaknesses is not effective,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75"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than discussed above, there were no changes in our internal control over financial reporting that occurred during the quarter ended December 31, 2025, covered by this Annual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Item 9B. Other Information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During the year ended December 31, 2025,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9C. Disclosure Regarding Foreign Jurisdictions That Prevent Inspections </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76"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 xml:space="preserve">ITEM 10. DIRECTORS, EXECUTIVE OFFICERS AND CORPORATE GOVERNANCE </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required by this item will be included in our Proxy Statement for the 2026 Annual Meeting of Stockholders (the “2026 Proxy Statement”) to be filed with the SEC within 120 days of the year ended December 31, 2025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11. EXECUTIVE COMPENSATION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information required by this item will be included in the 2026 Proxy Statement and is incorporated herein by reference, except as to information disclosed therein pursuant to Item 402(v) of Regulation S-K relating to pay versus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ITEM 12. SECURITY OWNERSHIP OF CERTAIN BENEFICIAL OWNERS AND MANAGEMENT AND RELATED STOCKHOLDER MATTERS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13. CERTAIN RELATIONSHIPS AND RELATED TRANSACTIONS, AND DIRECTOR INDEPENDENCE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ITEM 14. PRINCIPAL ACCOUNTANT FEES AND SERVICES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information required by this item will be included in the 2026 Proxy Statement and is incorporated herein by reference.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Our independent registered public accounting firm is KPMG LLP, Philadelphia, PA, Auditor ID: 185.</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77"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15. Exhibits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have filed the following documents as part of this Annual Report on Form 10-K:</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Financial Statements</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Our financial statements are listed in the “Index to Consolidated Financial Statements” under Item 8 “Financial Statements and Supplementary Data.”</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Financial Statement Schedules</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All other schedules have been omitted because they are either not required, not applicable or the required information is otherwise included.</w:t>
      </w:r>
    </w:p>
    <w:tbl>
      <w:tblPr>
        <w:tblW w:w="10205" w:type="dxa"/>
        <w:jc w:val="left"/>
        <w:tblInd w:w="0" w:type="dxa"/>
        <w:tblLayout w:type="fixed"/>
        <w:tblCellMar>
          <w:top w:w="28" w:type="dxa"/>
          <w:left w:w="28" w:type="dxa"/>
          <w:bottom w:w="28" w:type="dxa"/>
          <w:right w:w="28" w:type="dxa"/>
        </w:tblCellMar>
      </w:tblPr>
      <w:tblGrid>
        <w:gridCol w:w="434"/>
        <w:gridCol w:w="381"/>
        <w:gridCol w:w="383"/>
        <w:gridCol w:w="2792"/>
        <w:gridCol w:w="2566"/>
        <w:gridCol w:w="3649"/>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Exhibit Number</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Description of Exhibit</w:t>
            </w:r>
          </w:p>
        </w:tc>
      </w:tr>
      <w:tr>
        <w:trPr/>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9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2"/>
                </w:rPr>
                <w:t>Amended and Restated Business Combination Agreement, dated October 25, 2022 (incorporated by reference to Exhibit 2.1 to the Company’s Current Report on Form 8-K filed October 26, 2022).</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2"/>
                </w:rPr>
                <w:t>Certificate of Incorporation of the Company (incorporated by reference to Exhibit 3.1 to the Company’s Current Report on Form 8-K filed January 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2"/>
                </w:rPr>
                <w:t>Certificate of Amendment to the Certificate of Incorporation of the Company. (incorporated by reference to Exhibit 3.1 to the Company’s Current Report on Form 8-K filed July 31, 2024).</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2"/>
                </w:rPr>
                <w:t>Certificate of Ownership and Merger of the Company (incorporated by reference to Exhibit 3.1 to the Company’s Current Report on Form 8-K filed April 19,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2"/>
                </w:rPr>
                <w:t>Amended and Restated Bylaws of the Company (incorporated by reference to Exhibit 3.3 to the Company’s Annual Report on Form 10-K/A filed April 5, 2024).</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descriptionofsec.htm">
              <w:r>
                <w:rPr>
                  <w:rStyle w:val="InternetLink"/>
                  <w:rFonts w:ascii="Times New Roman;serif" w:hAnsi="Times New Roman;serif"/>
                  <w:b w:val="false"/>
                  <w:color w:val="0000FF"/>
                  <w:sz w:val="22"/>
                </w:rPr>
                <w:t>Description of Registrant's Securities.</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2"/>
                </w:rPr>
                <w:t>Form of Indemnification Agreement for Executive Officers (incorporated by reference to Exhibit 10.1 to the Company’s Current Report on Form 8-K filed January 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2"/>
                </w:rPr>
                <w:t>Form of Indemnification Agreement for Directors (incorporated by reference to Exhibit 10.2 to the Company’s Current Report on Form 8-K filed January 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2"/>
                </w:rPr>
                <w:t>AlTi Global, Inc. 2023 Stock Incentive Plan (incorporated by reference to Exhibit 10.3 to the Company’s Current Report on Form 8-K filed January 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2"/>
                </w:rPr>
                <w:t>AlTi Global, Inc. Amendment No. 1 to 2023 Stock Incentive Plan (incorporated by reference to Exhibit 10.1 to the Company’s Current Report on Form 8-K filed June 17, 2025).</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2"/>
                </w:rPr>
                <w:t>AlTi Global, Inc. 2023 Employee Stock Purchase Plan (incorporated by reference to Exhibit 10.4 to the Company’s Current Report on Form 8-K filed January 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2"/>
                </w:rPr>
                <w:t>Form of Subscription Agreement (incorporated by reference to Exhibit 10.5 to the Company’s Current Report on Form 8-K filed September 23, 2021).</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10.6.1</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2"/>
                </w:rPr>
                <w:t>Form of Amendment to Subscription Agreement (incorporated by reference to Exhibit 10.2 to the Company’s Current Report on Form 8-K filed October 26, 2022).</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2"/>
                </w:rPr>
                <w:t>Registration Rights and Lock-Up Agreement, dated as of January 3, 2023, between the Company and the Holders (incorporated by reference to Exhibit 10.6 to the Company’s Current Report on Form 8-K filed January 9, 2023).</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10.8#</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2"/>
                </w:rPr>
                <w:t>Form of Option Agreement (incorporated by reference to Exhibit 10.7 to the Company’s Current Report on Form 8-K filed September 23, 2021).</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10.8.1</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2"/>
                </w:rPr>
                <w:t>Form of Amendment to Option Agreement (incorporated by reference to Exhibit 10.3 to the Company’s Current Report on Form 8-K filed October 26, 2022).</w:t>
              </w:r>
            </w:hyperlink>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10.9</w:t>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2"/>
                </w:rPr>
                <w:t>Form of Shareholder IRA (incorporated by reference to Exhibit 10.8 to the Company’s Current Report on Form 8-K filed September 23,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78"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1"/>
        <w:gridCol w:w="221"/>
        <w:gridCol w:w="223"/>
        <w:gridCol w:w="2790"/>
        <w:gridCol w:w="2779"/>
        <w:gridCol w:w="3941"/>
      </w:tblGrid>
      <w:tr>
        <w:trPr/>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10.10</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2"/>
                </w:rPr>
                <w:t>Form of Voting IRA (incorporated by reference to Exhibit 10.9 to the Company’s Current Report on Form 8-K filed September 23, 2021).</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10.11</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2"/>
                </w:rPr>
                <w:t>Tax Receivable Agreement, dated as of January 3, 2023, between the Company and the TWMH Members, the TIG GP Members and the TIG MGMT Members (incorporated by reference to Exhibit 10.10 to the Company’s Current Report on Form 8-K filed January 9,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10.12</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2"/>
                </w:rPr>
                <w:t>Credit Agreement, dated as of January 3, 2023, between the Company, BMO Harris Bank N.A., the guarantors from time to time party thereto and the lenders from time to time party thereto (incorporated by reference to Exhibit 10.11 to the Company’s Current Report on Form 8-K filed January 9,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10.13</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2"/>
                </w:rPr>
                <w:t>First Amendment to the Credit Agreement, dated March 31, 2023, between the Company, BMO Harris Bank N.A., and the lenders party thereto (incorporated by reference to Exhibit 10.1 to the Company’s Quarterly Report on Form 10-Q filed on November 14,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10.14</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2"/>
                </w:rPr>
                <w:t>Second Amendment to the Credit Agreement, dated November 10, 2023, between the Company, BMO Harris Bank N.A., and the lenders party thereto (incorporated by reference to Exhibit 10.2 to the Company’s Quarterly Report on Form 10-Q filed on November 14,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10.15</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2"/>
                </w:rPr>
                <w:t>Third Amendment to the Credit Agreement, dated February 21, 2024, between the Company, BMO Harris Bank N.A., and the lenders party thereto (incorporated by reference to Exhibit 10.7 to the Company’s Current Report on Form 8-K filed on February 23, 2024).</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10.16</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2"/>
                </w:rPr>
                <w:t>Fourth Amendment to the Credit Agreement, dated August 5, 2024, between the Company, BMO Harris Bank N.A., and the lenders party thereto (incorporated by reference to Exhibit 10.4 to the Company’s Quarterly Report on Form 10-Q filed on August 9, 2024).</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10.17</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2"/>
                </w:rPr>
                <w:t>Fifth Amendment to the Credit Agreement, dated November 6, 2024, between the Company, BMO Harris Bank N.A., and the lenders party thereto (incorporated by reference to Exhibit 10.1 to the Company’s Quarterly Report on Form 10-Q filed on November 12, 2024).</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10.18#</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2"/>
                </w:rPr>
                <w:t>Executive Employment and Restrictive Covenant Agreement, dated as of January 3, 2023, among the Company, TIG Advisors, LLC and Kevin Moran (incorporated by reference to Exhibit 10.12 to the Company’s Current Report on Form 8-K filed January 9,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10.19#</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2"/>
                </w:rPr>
                <w:t>Amended and Restated Tiedemann Employment Agreement, dated as of January 3, 2023, by and between the Company and Michael Tiedemann (incorporated by reference to Exhibit 10.13 to the Company’s Current Report on Form 8-K filed January 9,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10.20</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2"/>
                </w:rPr>
                <w:t>Second Amended and Restated Limited Liability Agreement of Umbrella, dated as of January 3, 2023 (incorporated by reference to Exhibit 10.14 to the Company’s Registration Statement on Form S-1 filed January 27,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10.21</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2"/>
                <w:b w:val="false"/>
                <w:rFonts w:ascii="Times New Roman;serif" w:hAnsi="Times New Roman;serif"/>
                <w:color w:val="0000FF"/>
              </w:rPr>
              <w:instrText xml:space="preserve"> HYPERLINK "https://www.sec.gov/Archives/edgar/data/1838615/000119312522251992/d212761ds4a.htm" \l "rom212761_a14"</w:instrText>
            </w:r>
            <w:r>
              <w:rPr>
                <w:rStyle w:val="InternetLink"/>
                <w:sz w:val="22"/>
                <w:b w:val="false"/>
                <w:rFonts w:ascii="Times New Roman;serif" w:hAnsi="Times New Roman;serif"/>
                <w:color w:val="0000FF"/>
              </w:rPr>
              <w:fldChar w:fldCharType="separate"/>
            </w:r>
            <w:r>
              <w:rPr>
                <w:rStyle w:val="InternetLink"/>
                <w:rFonts w:ascii="Times New Roman;serif" w:hAnsi="Times New Roman;serif"/>
                <w:b w:val="false"/>
                <w:color w:val="0000FF"/>
                <w:sz w:val="22"/>
              </w:rPr>
              <w:t>Alvarium Exchange Agreement, dated as of September 19, 2021 (incorporated by reference as Annex L to the Company’s Registration Statement on Form S-4 filed September 27, 2022).</w:t>
            </w:r>
            <w:r>
              <w:rPr>
                <w:rStyle w:val="InternetLink"/>
                <w:sz w:val="22"/>
                <w:b w:val="false"/>
                <w:rFonts w:ascii="Times New Roman;serif" w:hAnsi="Times New Roman;serif"/>
                <w:color w:val="0000FF"/>
              </w:rPr>
              <w:fldChar w:fldCharType="end"/>
            </w:r>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10.22</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2"/>
                </w:rPr>
                <w:t>Form of RSU Award Agreement under the AlTi Global, Inc. 2023 Stock Incentive Plan (incorporated by reference to Exhibit 10.1.1 to the Company’s Registration Statement on Form S-8 filed on March 23, 2023).</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10.23#</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2"/>
                </w:rPr>
                <w:t xml:space="preserve">Offer Letter, dated September 5, 2023, between the Company and Stephen Yarad (incorporated by reference to Exhibit 10.21 to the Company’s Annual Report on Form 10-K filed March 22, 2024). </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10.24†</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2"/>
                </w:rPr>
                <w:t>Investment Agreement, dated February 22, 2024, by and between the Company and Allianz Strategic Investments S.à.r.l. (incorporated by reference to Exhibit 10.1 to the Company’s Current Report on Form 8-K filed February 23, 2024).</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10.25†</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2"/>
                </w:rPr>
                <w:t>Supplemental Series A Preferred Stock Investment Agreement, dated February 22, 2024, by and between the Company and Allianz Strategic Investments S.à.r.l. (incorporated by reference to Exhibit 10.2 to the Company’s Current Report on Form 8-K filed February 23, 2024).</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10.26</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2"/>
                </w:rPr>
                <w:t>Form of Allianz Investor Rights Agreement (incorporated by reference to Exhibit 10.3 to the Company’s Current Report on Form 8-K filed February 23, 2024).</w:t>
              </w:r>
            </w:hyperlink>
          </w:p>
        </w:tc>
      </w:tr>
      <w:tr>
        <w:trPr/>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10.27</w:t>
            </w:r>
          </w:p>
        </w:tc>
        <w:tc>
          <w:tcPr>
            <w:tcW w:w="9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2"/>
                </w:rPr>
                <w:t>Form of Voting Agreement (incorporated by reference to Exhibit 10.4 to the Company’s Current Report on Form 8-K filed February 23,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79"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2"/>
        <w:gridCol w:w="264"/>
        <w:gridCol w:w="2846"/>
        <w:gridCol w:w="2703"/>
        <w:gridCol w:w="38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10.28†</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2"/>
                </w:rPr>
                <w:t>Investment Agreement, dated February 22, 2024, by and between the Company and CWC AlTi Investor LLC (incorporated by reference to Exhibit 10.5 to the Company’s Current Report on Form 8-K filed February 23, 2024).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10.29</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2"/>
                </w:rPr>
                <w:t>Form of Constellation Investor Rights Agreement (incorporated by reference to Exhibit 10.6 to the Company’s Current Report on Form 8-K filed February 23, 2024).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10.30#</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80"/>
                  <w:sz w:val="22"/>
                </w:rPr>
                <w:t>Executive Employment and Restrictive Covenant Agreement, dated May 29, 2025, between the Company and Coll</w:t>
              </w:r>
            </w:hyperlink>
            <w:hyperlink r:id="rId41">
              <w:r>
                <w:rPr>
                  <w:rStyle w:val="InternetLink"/>
                  <w:rFonts w:ascii="Times New Roman;serif" w:hAnsi="Times New Roman;serif"/>
                  <w:b w:val="false"/>
                  <w:color w:val="000080"/>
                  <w:sz w:val="22"/>
                </w:rPr>
                <w:t>ee</w:t>
              </w:r>
            </w:hyperlink>
            <w:hyperlink r:id="rId42">
              <w:r>
                <w:rPr>
                  <w:rStyle w:val="InternetLink"/>
                  <w:rFonts w:ascii="Times New Roman;serif" w:hAnsi="Times New Roman;serif"/>
                  <w:b w:val="false"/>
                  <w:color w:val="000080"/>
                  <w:sz w:val="22"/>
                </w:rPr>
                <w:t>n Graham (incorporated by reference to Exhibit 10.1 to the Company’s Current Report on Form 8-K filed on May 30, 2025).</w:t>
              </w:r>
            </w:hyperlink>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9381"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19.1*</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2"/>
                </w:rPr>
                <w:t>AlTi Global, Inc. Insider Trading Policy (incorporated by reference to Exhibit 19.1 to the Company’s Annual Report on Form 10-K filed on March 17, 2025).</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listofsubsidiariesex.htm">
              <w:r>
                <w:rPr>
                  <w:rStyle w:val="InternetLink"/>
                  <w:rFonts w:ascii="Times New Roman;serif" w:hAnsi="Times New Roman;serif"/>
                  <w:b w:val="false"/>
                  <w:color w:val="0000FF"/>
                  <w:sz w:val="22"/>
                </w:rPr>
                <w:t>List of Subsidiaries.</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23.1*</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s-8consent.htm">
              <w:r>
                <w:rPr>
                  <w:rStyle w:val="InternetLink"/>
                  <w:rFonts w:ascii="Times New Roman;serif" w:hAnsi="Times New Roman;serif"/>
                  <w:b w:val="false"/>
                  <w:color w:val="0000FF"/>
                  <w:sz w:val="22"/>
                </w:rPr>
                <w:t>Consent of KPMG LLP.</w:t>
              </w:r>
            </w:hyperlink>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9381"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9381"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9381"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123125x10xkexhibit311.htm">
              <w:r>
                <w:rPr>
                  <w:rStyle w:val="InternetLink"/>
                  <w:rFonts w:ascii="Times New Roman;serif" w:hAnsi="Times New Roman;serif"/>
                  <w:b w:val="false"/>
                  <w:color w:val="0000FF"/>
                  <w:sz w:val="22"/>
                </w:rPr>
                <w:t>Certification of the Chief Executive Officer pursuant to Rule 13a-14(a) under the Securities Exchange Act of 1934, as adopted pursuant to §302 of the Sarbanes-Oxley Act of 2002.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123125x10xkexhibit312.htm">
              <w:r>
                <w:rPr>
                  <w:rStyle w:val="InternetLink"/>
                  <w:rFonts w:ascii="Times New Roman;serif" w:hAnsi="Times New Roman;serif"/>
                  <w:b w:val="false"/>
                  <w:color w:val="0000FF"/>
                  <w:sz w:val="22"/>
                </w:rPr>
                <w:t>Certification of the Chief Financial Officer pursuant to Rule 13a-14(a) under the Securities Exchange Act of 1934, as adopted pursuant to §302 of the Sarbanes-Oxley Act of 2002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32.1*</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123125x10xkexhibit321.htm">
              <w:r>
                <w:rPr>
                  <w:rStyle w:val="InternetLink"/>
                  <w:rFonts w:ascii="Times New Roman;serif" w:hAnsi="Times New Roman;serif"/>
                  <w:b w:val="false"/>
                  <w:color w:val="0000FF"/>
                  <w:sz w:val="22"/>
                </w:rPr>
                <w:t>Certification of the Chief Executive Officer pursuant to 18 U.S.C. §1350, as adopted pursuant to §906 of the Sarbanes-Oxley Act of 2002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123125x10xkexhibit322.htm">
              <w:r>
                <w:rPr>
                  <w:rStyle w:val="InternetLink"/>
                  <w:rFonts w:ascii="Times New Roman;serif" w:hAnsi="Times New Roman;serif"/>
                  <w:b w:val="false"/>
                  <w:color w:val="0000FF"/>
                  <w:sz w:val="22"/>
                </w:rPr>
                <w:t>Certification of the Chief Financial Officer pursuant to 18 U.S.C. §1350, as adopted pursuant to §906 of the Sarbanes-Oxley Act of 2002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97*</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2"/>
                </w:rPr>
                <w:t>AlTi Global, Inc. Clawback Policy (incorporated by reference to Exhibit 97 to the Company’s Annual Report on Form 10-K filed on March 17, 2025.</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Document—the instance document does not appear in the Interactive Data File because its XBRL tags are embedded within the Inline XBRL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Calculation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Definition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r>
    </w:tbl>
    <w:p>
      <w:pPr>
        <w:pStyle w:val="TextBody"/>
        <w:bidi w:val="0"/>
        <w:spacing w:before="200" w:after="283"/>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both"/>
        <w:rPr>
          <w:color w:val="000000"/>
        </w:rPr>
      </w:pPr>
      <w:r>
        <w:rPr>
          <w:color w:val="000000"/>
        </w:rPr>
        <w:t xml:space="preserve">† </w:t>
      </w:r>
      <w:r>
        <w:rPr>
          <w:rFonts w:ascii="Times New Roman;serif" w:hAnsi="Times New Roman;serif"/>
          <w:b w:val="false"/>
          <w:color w:val="000000"/>
          <w:sz w:val="20"/>
        </w:rPr>
        <w:t>The annexes, schedules, and certain exhibits to this Exhibit have been omitted pursuant to Item 601(b)(2) of Regulation S-K. The Company hereby agrees to furnish supplementally a copy of any omitted annex, schedule or exhibit to the SEC upon request.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Item 16. Form 10-K Summary</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80"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176</w:t>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68" w:before="3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as amended, the registrant has duly caused this report to be signed on its behalf by the undersigned thereunto duly authorized. </w:t>
      </w:r>
    </w:p>
    <w:tbl>
      <w:tblPr>
        <w:tblW w:w="5715"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1019"/>
        <w:gridCol w:w="1019"/>
        <w:gridCol w:w="1022"/>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Nancy Curtin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Nancy Curtin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Interim 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Accounting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spacing w:before="0" w:after="0"/>
        <w:jc w:val="center"/>
        <w:rPr/>
      </w:pPr>
      <w:bookmarkStart w:id="4" w:name="exhibit-descriptionofsec.htm"/>
      <w:bookmarkStart w:id="5" w:name="ksexhibitdescriptionofsec"/>
      <w:bookmarkEnd w:id="4"/>
      <w:bookmarkEnd w:id="5"/>
      <w:r>
        <w:rPr/>
        <w:drawing>
          <wp:inline distT="0" distB="0" distL="0" distR="0">
            <wp:extent cx="10048875" cy="13001625"/>
            <wp:effectExtent l="0" t="0" r="0" b="0"/>
            <wp:docPr id="18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82"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177</w:t>
                      </w:r>
                    </w:p>
                  </w:txbxContent>
                </v:textbox>
                <w10:wrap type="none"/>
              </v:rect>
            </w:pict>
          </mc:Fallback>
        </mc:AlternateContent>
      </w:r>
    </w:p>
    <w:p>
      <w:pPr>
        <w:pStyle w:val="TextBody"/>
        <w:bidi w:val="0"/>
        <w:jc w:val="center"/>
        <w:rPr>
          <w:color w:val="FFFFFF"/>
          <w:sz w:val="2"/>
        </w:rPr>
      </w:pPr>
      <w:r>
        <w:rPr>
          <w:color w:val="FFFFFF"/>
          <w:sz w:val="2"/>
        </w:rPr>
        <w:t xml:space="preserve">ALTI GLOBAL, INC. DESCRIPTION OF SECURITIES REGISTERED PURSUANT TO SECTION 12 OF THE SECURITIES AND EXCHANGE ACT OF 1934 AS OF DECEMBER 31, 2025 The following description of securities of AlTi Global, Inc. (the “Company”) registered pursuant to Section 12 of the Securities and Exchange Act of 1934, as amended, is a summary, does not purport to be complete and is qualified in its entirety by reference to the pertinent sections of the Company’s Certificate of Incorporation, as amended (the “Charter”), and Amended and Restated Bylaws (the “Bylaws”), which are exhibits to the Annual Report on Form 10-K of which this exhibit is a part. General Pursuant to the Charter, the Company’s authorized capital stock consists of (i) 875,000,000 shares of common stock, par value $0.0001 per share (“Class A Common Stock”); (ii) 150,000,000 shares of Class B common stock, par value $0.0001 per share (“Class B Common Stock” and, together with Class A Common Stock, “Voting Common Stock”); (iii) 9,000,000 shares of Class C non-voting common stock, par value $0.0001 per share (“Class C Non-Voting Common Stock”); and (iv) 10,000,000 shares of preferred stock, par value $0.0001 per share (“Preferred Stock”). Common Stock Under the Charter, holders of Voting Common Stock and Class C Non-Voting Common Stock (collectively, “Common Stock”) have identical rights other than with respect to voting, liquidation and conversion rights, each as described below. Each Class B Unit of AlTi Global Capital, LLC, formerly known as Alvarium Tiedemann Capital, LLC (“Umbrella”) is paired with a share of Class B Common Stock (collectively, the “Paired Interests”). Pursuant to the Fourth Amended and Restated Limited Liability Agreement of Umbrella, dated as of July 31, 2024 (as amended from time to time, the “LLC Agreement”), a Paired Interest is exchangeable at such times as the Company may determine subject to the limitations set forth in the LLC agreement for a share of Class A Common Stock on a one- for-one basis, subject to equitable adjustments for stock splits, stock dividends and reclassifications. As the holder exchanges the Paired Interests pursuant to the LLC Agreement, the shares of Class B Common Stock included in the Paired Interests will automatically be canceled and the Class B Units included in the Paired Interests shall be automatically transferred to the Company and converted into and become an equal number of Class A Units in Umbrella. Voting Power Except as otherwise required by law or as otherwise provided in any Preferred Stock designation, the holders of Voting Common Stock possess all voting power for the election of the Company’s directors and all other matters submitted to a vote of stockholders of the Company. Holders of the Company’s Voting Common Stock have one vote in respect of each share of stock held by such holder on matters to be voted on by stockholders. Except as otherwise required by law, holders of the Voting Common Stock, as such, are not be entitled to vote on any amendment to the Charter (including any Preferred Stock designation) that relates solely to the rights, powers, preferences (or the qualifications, limitations or restrictions thereof) or other terms of one or more outstanding series of the Company’s Preferred Stock if the holders of such affected series of the Company’s Preferred Stock are entitled to vote on such amendment pursuant to the Charter (including any Preferred Stock designation) or pursuant to the Delaware General Corporation Law, as amended (the “DGCL”). Holders of Class C Non-Voting Common Stock will not be entitled to any votes per share of Class C Non- Voting Common Stock, including for the election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Dividends Subject to applicable law and the rights and preferences of any holders of any outstanding series of Preferred Stock of the Company, holders of the Class A Common Stock are entitled to receive dividends when, as and if declared by the Board of Directors of the Company (the “Board”), payable either in cash, in property or in shares of capital stock. If at any time dividends are declared by the Board on the shares of Class A Common Stock, the shares of Class C Non-Voting Common Stock have a right pari passu with the shares of Class A Common Stock. Holders of Class B Common Stock shall be deemed to be a non-economic interest, and such holders are not be entitled to receive any dividends (including cash, stock or property) in respect of their shares of Class B Common Stock. Liquidation, Dissolution and Winding Up Upon the Company’s liquidation, dissolution or winding up and after payment in full of all amounts required to be paid to creditors and to any holders of Preferred Stock having liquidation preferences, if any, the remaining assets of the Company of whatever kind available for distribution will be distributed to the holders of (i) Class A Common Stock and Class C Non-Voting Common Stock ratably in proportion to the number of shares of Class A Common Stock and Class C Non-Voting Common Stock held by them as a single class and (ii) any outstanding series of Preferred Stock of the Company entitled thereto. Holders of Class B Common Stock shall not be entitled to receive any assets or funds of the Company available for distribution to stockholders of the Company. The voluntary sale, conveyance, lease, exchange or transfer (for cash, shares of capital stock, securities or other consideration) of all or substantially all of the assets of the Company or a merger involving the Company and one or more other entities (whether or not the Company is the entity surviving such merger) will not be deemed to be a dissolution, liquidation or winding up of the affairs of the Company, except to the extent expressly provided for in any applicable Preferred Stock designation. Preemptive or Other Rights 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has no preemptive rights and there are no conversion, sinking fund or redemption rights, or rights to subscribe for any of the Company’s securities. The rights, powers, preferences and privileges of holders of Common Stock are subject to those of the holders of any shares of Preferred Stock that the Board may authorize and issue in the future. Election of Directors Each director generally serves for a term of one year expiring at the annual meeting of stockholders. There is no cumulative voting with respect to the election of directors, with the result that the holders of more than 50% of the shares voted for the election of directors can elect all of the directors. Conversion Rights Holders of Voting Common Stock do not have conversion rights, while holders of Class C Non-Voting Common Stock have the right to convert each share of Class C Non-Voting Common Stock held by such holder into one share of Class A Common Stock at such holder’s option, provided that as a result of such conversion, such holder, together with its affiliates and any members of a Schedule 13(d) group with such holder, would not beneficially own in excess of 24.9% of Voting Common Stock following such conversion. However, this ownership limitation may be waived without the further approval of stockholders of the Company if (i) the Board expressly authorized such waiver and (ii) the holder of Class C Non-Voting Common Stock provides its written consent to the Company in respect of such waiver; provided that such waiver may only become effective once any required consents of customers of the Company and its subsidiaries pursuant to the Investment Advisers Act of 1940 are obtained.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Charter provides that shares of Preferred Stock may be issued from time to time in one or more series. The Board is authorized to establish the voting rights, if any, designations, preferences and relative, participating, optional or other special rights of the shares of such series, and the qualifications, limitations or restrictions thereof, applicable to the shares of each series of Preferred Stock. The Board is able to, without stockholder approval, issue Preferred Stock with voting and other rights that could adversely affect the voting power and other rights of the holders of Common Stock and could have anti-takeover effects. The ability of the Board to issue Preferred Stock without stockholder approval could have the effect of delaying, deferring or preventing a change of control of the Company or the removal of existing management. As of the date hereof, the Company has no Preferred Stock outstanding. Listing of Securities The Class A Common Stock of the Company is listed on Nasdaq Capital Market under the symbols “ALTI.” Transfer Agent and Registrar The transfer agent and registrar for the Company’s Common Stock is Continental Stock Transfer &amp; Trust Company. Certain Anti-Takeover Provisions of Delaware Law Authorized but Unissued Shares 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 by means of a proxy contest, tender offer, merger or otherwise. Stockholder Action; Special Meetings of Stockholders The Charter provides that stockholders may not take action by written consent, but may only take action at annual or special meetings of stockholders. As a result, a holder controlling a majority of the Company’s capital stock would not be able to amend the Bylaws or remove directors without holding a meeting of stockholders called in accordance with the Bylaws. This restriction does not apply to actions taken by the holders of any series of Preferred Stock to the extent expressly provided in the applicable Preferred Stock designation. Further, the Charter provides that, subject to any special rights of the holders of Preferred Stock of the Company, only the Board acting pursuant to a resolution approved by the majority of the directors then in office may call special meetings of stockholders, thus prohibiting a holder of the Company’s Common Stock from calling a special meeting. These provisions might delay the ability of stockholders to force consideration of a proposal or for stockholders controlling a majority of the Company’s capital stock to take any action, including the removal of directors. Advance Notice Requirements for Stockholder Proposals and Director Nominations The Bylaws provide that stockholders seeking to bring business before the Company’s annual meeting of stockholders, or to nominate candidates for election as directors at its annual meeting of stockholders, must provide timely notice. To be timely, a stockholder’s notice will need to be delivered to, or mailed and received at, the Company’s principal executive offices not less than 90 days nor more than 120 days prior to the one- year anniversary of the preceding year’s annual meeting, except in the case of a special meeting to nominate candidates for election as directors, timely notice will mean not earlier than 120 days prior to the special meeting and not later than the later of 90 days prior to the special meeting or the 10th day following the day on which public disclosure of the date of the special meeting is first made by the Company. In the event that no annual meeting was held in the preceding year, to be timely, a stockholder’s notice must be so delivered, or mailed and received, not earlier than the close of business on 120th day prior to such annual meeting and not later than the close of business on the later of the 90th day prior to such annual meeting or, if later, the 10th day following the day on which public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disclosure of the date of such annual meeting was first made by the Company. In the event that the date of the annual meeting is more than 30 days before or more than 60 days after such anniversary date, to be timely, a stockholder’s notice must be so delivered, or mailed and received, not later than the 90th day prior to such annual meeting or, if later, the 10th day following the day on which public disclosure of the date of such annual meeting was first made by the Company. The Bylaws will also specify certain requirements as to the form and content of a stockholders’ notice. These provisions may preclude the Company’s stockholders from bringing matters before its annual meeting of stockholders or from making nominations for directors. Amendment of Charter or Bylaws Upon consummation of the Business Combination, the Bylaws may be amended or repealed by the Board or by the affirmative vote of the holders of at least 66 2/3% of the voting power of all of the shares of the capital stock of the Company entitled to vote in the election of directors, voting as one class; provided, that if the Board recommends that stockholders approve any such amendment or repeal at such meeting of stockholders, such amendment or repeal shall only require the affirmative vote of the majority of the outstanding shares of capital stock of the Company entitled to vote in the election of directors, voting as one class. The affirmative vote of the holders of at least 66 2/3% of the voting power of the then outstanding shares of capital stock of the Company entitled to vote generally in the election of directors, voting together as a single class, will be required to amend certain provisions of the Charter. Board Vacancies Any vacancy on the Board may be filled by a majority vote of the directors then in office, although less than a quorum, or by a sole remaining director, subject to any special rights of the holders of Preferred Stock. Any director chosen to fill a vacancy will hold office until the expiration of the term of the class for which he or she was elected and until his or her successor is duly elected and qualified or until their earlier death, resignation, disqualification or removal. Except as otherwise provided by law, in the event of a vacancy in the Board, the remaining directors may exercise the powers of the full Board until the vacancy is filled. Exclusive Forum Selection The Charter provides that unless the Company consents in writing to the selection of an alternative forum, Court of Chancery of the State of Delaware (or, if the Court of Chancery of the State of Delaware lacks jurisdiction over any such action or proceeding, then the Superior Court of the State of Delaware, or, if the Superior Court of the State of Delaware lacks jurisdiction over any such action or proceeding, then the United States District Court for the District of Delaware) will, to the fullest extent permitted by applicable law, be the sole and exclusive forum for (a) any derivative action or proceeding brought on behalf of the Company, (b) any action asserting a claim of breach of a fiduciary duty owed by any director, officer, or employee of the Company to the Company or the Company’s stockholders, (c) any action asserting a claim arising pursuant to any provision of the DGCL, the Charter or the Bylaws, or (d) any action asserting a claim governed by the internal affairs doctrine of the State of Delaware. In addition, the Charter designates the federal district courts of the United States of America as the exclusive forum for the resolution of any complaint asserting a cause of action arising under the Securities Act or the Exchange Act. Any person or entity purchasing or otherwise acquiring any interest in shares of the Company’s capital stock will be deemed to have notice of and consented to the exclusive forum provisions in the Charter. Although the Company believes these provisions benefit the Company by providing increased consistency in the application of Delaware law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 Section 203 of the Delaware General Corporation Law The Company will be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following the time that such stockholder becomes an interested stockholder, unless the business combination is approved in a prescribed manner. A “business combination” includes, among other things, certain mergers, asset or stock sales or other transactions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 • before the stockholder became interested, the board of directors approved either the business combination or the transaction which resulted in the stockholder becoming an interested stockholder; •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 at or after the time the stockholder became interested, the business combination was approved by the board of directors of the corporation and authorized at an annual or special meeting of the stockholders by the affirmative vote of at least 662/3% of the outstanding voting stock which is not owned by the interested stockholder. Under certain circumstances, Section 203 of the DGCL will make it more difficult for a person who would be an “interested stockholder” to effect various business combinations with a corporation for a three-year period. This provision may encourage companies interested in acquiring the Company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 Limitation on Liability and Indemnification of Directors and Officers The Charter provides that the Company’s directors and officers will be indemnified and advanced expenses by the Company to the fullest extent authorized or permitted by the DGCL as it now exists or may in the future be amended. In addition, the Charter provides that the Company’s directors will not be personally liable to the Company or its stockholders for monetary damages for breaches of their fiduciary duty as directors to the fullest extent permitted by the DGCL. The Charter also permits the Company to purchase and maintain insurance on behalf of any officer, director, employee or agent of the Company for any liability arising out of his or her status as such, regardless of whether the DGCL would permit indemnification. These provisions may discourage stockholders from bringing a lawsuit against the Company’s directors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provisions. Cartesian believes that these provisions, the insurance and the indemnity agreements are necessary to attract and retain talented and experienced directors and officers. Insofar as indemnification for liabilities arising under the Securities Act may be permitted to the Company directors, officers and controlling persons pursuant to the foregoing provisions, or otherwise, the Company has been advised that in the opinion of the SEC such indemnification is against public policy as expressed in the Securities Act and is, therefore, unenforceable.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ltilistofsubsidiariesex.htm"/>
      <w:bookmarkStart w:id="7" w:name="ksaltilistofsubsidiariesex"/>
      <w:bookmarkEnd w:id="6"/>
      <w:bookmarkEnd w:id="7"/>
      <w:r>
        <w:rPr/>
        <w:drawing>
          <wp:inline distT="0" distB="0" distL="0" distR="0">
            <wp:extent cx="10048875" cy="13001625"/>
            <wp:effectExtent l="0" t="0" r="0" b="0"/>
            <wp:docPr id="18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Subsidiaries of AlTi Global, Inc. Name of Entity Jurisdiction of Incorporation AlTi Alternative Investment Management Limited England AlTi Asset Management Holdings 2 Limited – in administration England AlTi Asset Management Holdings Limited – in administration England AlTi Asset Management Holdings, LLC Delaware AlTi Alternative Holdings Limited England AlTi Global Capital, LLC Delaware AlTi Global Holdco, Inc. Delaware AlTi Global Holdings, LLC Delaware AlTi Global Services, UNIPESSOAL LDA Portugal AlTi Global TopCo Limited Isle of Man AlTi Global Wealth Management Holdings Limited England AlTi International Operations Limited England AlTi Strategic Advisory (UK) Limited – in administration England AlTi Pradera Holdings Limited England AlTi RE Limited – in administration England AlTi RE Public Markets Limited – in administration England AlTi Strategic Advisory (US) BD, LLC Delaware AlTi Wealth &amp; Capital Solutions Holdings, LLC Delaware AlTi Wealth &amp; Capital Solutions Corporate, LLC Delaware AlTi Wealth Management (France) S.A.S France AlTi Wealth Management (Hong Kong) Limited Hong Kong AlTi Wealth Management (Portugal) - EMPRESA DE INVESTIMENTO, S.A Portugal AlTi Wealth Management (Singapore) Pte. Ltd Singapore AlTi Wealth Management (Switzerland) SA Switzerland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 Wealth Management (UK) Limited England AlTi Wealth Management (US International), Inc. Delaware AlTi Wealth Management Holdings (Switzerland) AG Switzerland AlTi Wealth Management (Switzerland – US) AG Switzerland AlTi Wealth Management Holdings (UK) 2 Limited England AlTi Wealth Management Holdings (UK) Limited England AlTi Wealth Management Holdings (Germany) GmbH Germany Alvarium CI (US) LLC Delaware Alvarium Fund Managers (UK) Limited – in administration England Alvarium Investment Management (US) Holdings Corp Delaware Alvarium Investment Managers (UK) LLP – in liquidation England Alvarium Investment Managers (US), LLC Delaware Alvarium Osesam SAS (France) France Alvarium Penge Limited England Alvarium RE (US), LLC Delaware Alvarium RE Global Opportunistic I GP Limited Isle of Man Alvarium RE Global Opportunistic I LP Isle of Man Alvarium Streatham Limited England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Alvarium Willow GP Limited Isle of Man Alvarium Willow LP Isle of Man Arkkan Capital Management Limited Hong Kong CF I Feeder GP Cayman CF I Feeder LP Cayman Cresco Capital Group Fund I GP Limited Guernsey East End Advisors, LLC Delaware Holbein Partners LLP UK HPGL Holdings Limited Hong Kong KF I Feeder GP Limited Cayman KF I Feeder LP Cayman Kontora Family Office GmbH Germany Kontora Kapitalverwaltungs GmbH Germany Kontora Geschäftsführungs GmbH Germany Kontora Mitarbeiterinvest GmbH Germany Kontora Verwaltungs GmbH Germany LJ Capital (IOM) Limited Isle of Man LJ Capital (IOM) T4 Limited Isle of Man LJ Cresco GP Holdings Limited Isle of Man LJ Cresco Holdco Limited Isle of Man LJ Fusion Feeder GP Limited Isle of Man LJ GP Carry Sarl Luxembourg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LJ GP International Limited Isle of Man LJ Luxembourg SA Luxembourg LJ Maple Abbey Limited British Virgin Islands LJ Maple Belgravia Limited British Virgin Islands LJ Maple Chelsea Limited British Virgin Islands LJ Maple Circus Limited British Virgin Islands LJ Maple Duke Limited British Virgin Islands LJ Maple Hamlet Limited British Virgin Islands LJ Maple Hill Limited British Virgin Islands LJ Maple Kensington Limited British Virgin Islands LJ Maple Kew Limited British Virgin Islands LJ Maple Limited Guernsey LJ Maple Nine Elms Limited British Virgin Islands LJ Maple St. Johns Wood Limited British Virgin Islands LJ Maple Tofty Limited British Virgin Islands LJ QG Bow Limited Isle of Man LJ Station 2 GP Limited Isle of Man LJ T4 GP Limited British Virgin Islands Pointwise Partners Limited England Queensgate Bow GP LLP England Queensgate Carry Partner GP Coop SA Luxembourg Queensgate Carry Partner SCS Luxembourg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Queensgate Fusion Co-Invest Carry GP LLP Scotland Queensgate Fusion Co-Invest Carry LP Scotland Queensgate Fusion GP LLP England Queensgate Investments I S.a.r.l Luxembourg Queensgate Investments II AIV GP LLP England Queensgate Investments II Carry GP LLP Scotland Queensgate Investments II Carry LP Scotland Queensgate Investments II GP LLP England Queensgate Investments LLP England Rompsen Investment Corporation Canada Social Housing Income Advisors Limited – in administration England Tiedemann Advisors, LLC Delaware Tiedemann Advisors GP, LLC Delaware Tiedemann International Holdings (UK) 1 Ltd UK Tiedemann International Holdings (UK) 2 Ltd UK Tiedemann Trust Company Delaware Tiedemann Wealth Management GP, LLC Delaware Tiedemann Wealth Management Holdings, Inc. Delaware Tiedemann Wealth Management Holdings, LLC Delaware TFI Partners, LLC Delaware TIG Advisors, LLC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TIG Opportunity Partners, LLC Delaware TIG Trinity GP, LLC Delaware TIG Trinity Management, LLC Delaware TIG Trinity Management, Inc. Delaware TWMH Investments, Inc. Delaware Urban Spaces Carry LP Guernsey Urban Spaces GP Guernsey VO Feeder GP Cayman VO Feeder LP Cayman Zebedee Capital Partners, LLP UK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a2025s-8consent.htm"/>
      <w:bookmarkStart w:id="9" w:name="ksa2025s8consent"/>
      <w:bookmarkEnd w:id="8"/>
      <w:bookmarkEnd w:id="9"/>
      <w:r>
        <w:rPr/>
        <w:drawing>
          <wp:inline distT="0" distB="0" distL="0" distR="0">
            <wp:extent cx="10048875" cy="13001625"/>
            <wp:effectExtent l="0" t="0" r="0" b="0"/>
            <wp:docPr id="19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KPMG LLP Suite 4000 1735 Market Street Philadelphia, PA 19103-7501 KPMG LLP, a Delaware limited liability partnership, and its subsidiaries are part of the KPMG global organization of independent member firms affiliated with KPMG International Limited, a private English company limited by guarantee. Consent of Independent Registered Public Accounting Firm We consent to the incorporation by reference in the registration statement on Form S-8 of our report dated March 31, 2026, with respect to the consolidated financial statements of AlTi Global, Inc.. /s/ KPMG LLP Philadelphia, Pennsylvania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Nancy Curtin, certify that:</w:t>
      </w:r>
    </w:p>
    <w:tbl>
      <w:tblPr>
        <w:tblW w:w="6086" w:type="dxa"/>
        <w:jc w:val="left"/>
        <w:tblInd w:w="0" w:type="dxa"/>
        <w:tblLayout w:type="fixed"/>
        <w:tblCellMar>
          <w:top w:w="28" w:type="dxa"/>
          <w:left w:w="28" w:type="dxa"/>
          <w:bottom w:w="28" w:type="dxa"/>
          <w:right w:w="28" w:type="dxa"/>
        </w:tblCellMar>
      </w:tblPr>
      <w:tblGrid>
        <w:gridCol w:w="124"/>
        <w:gridCol w:w="109"/>
        <w:gridCol w:w="109"/>
        <w:gridCol w:w="1679"/>
        <w:gridCol w:w="1679"/>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March 31, 2026</w:t>
      </w:r>
    </w:p>
    <w:tbl>
      <w:tblPr>
        <w:tblW w:w="2715" w:type="dxa"/>
        <w:jc w:val="left"/>
        <w:tblInd w:w="0" w:type="dxa"/>
        <w:tblLayout w:type="fixed"/>
        <w:tblCellMar>
          <w:top w:w="28" w:type="dxa"/>
          <w:left w:w="28" w:type="dxa"/>
          <w:bottom w:w="28" w:type="dxa"/>
          <w:right w:w="28" w:type="dxa"/>
        </w:tblCellMar>
      </w:tblPr>
      <w:tblGrid>
        <w:gridCol w:w="869"/>
        <w:gridCol w:w="762"/>
        <w:gridCol w:w="108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Nancy Curtin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Michael W. Harrington, certify that:</w:t>
      </w:r>
    </w:p>
    <w:tbl>
      <w:tblPr>
        <w:tblW w:w="6086" w:type="dxa"/>
        <w:jc w:val="left"/>
        <w:tblInd w:w="0" w:type="dxa"/>
        <w:tblLayout w:type="fixed"/>
        <w:tblCellMar>
          <w:top w:w="28" w:type="dxa"/>
          <w:left w:w="28" w:type="dxa"/>
          <w:bottom w:w="28" w:type="dxa"/>
          <w:right w:w="28" w:type="dxa"/>
        </w:tblCellMar>
      </w:tblPr>
      <w:tblGrid>
        <w:gridCol w:w="124"/>
        <w:gridCol w:w="109"/>
        <w:gridCol w:w="109"/>
        <w:gridCol w:w="1679"/>
        <w:gridCol w:w="1679"/>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March 31, 2026</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Annual Report of AlTi Global, Inc. (the “Company”) on Form 10-K for the annual period ended December 31, 2025, as filed with the Securities and Exchange Commission (the “Report”), I, Nancy Curtin, Interim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March 31, 2026</w:t>
      </w:r>
    </w:p>
    <w:tbl>
      <w:tblPr>
        <w:tblW w:w="2715" w:type="dxa"/>
        <w:jc w:val="left"/>
        <w:tblInd w:w="0" w:type="dxa"/>
        <w:tblLayout w:type="fixed"/>
        <w:tblCellMar>
          <w:top w:w="28" w:type="dxa"/>
          <w:left w:w="28" w:type="dxa"/>
          <w:bottom w:w="28" w:type="dxa"/>
          <w:right w:w="28" w:type="dxa"/>
        </w:tblCellMar>
      </w:tblPr>
      <w:tblGrid>
        <w:gridCol w:w="869"/>
        <w:gridCol w:w="762"/>
        <w:gridCol w:w="108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Nancy Curtin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Annual Report of AlTi Global, Inc. (the “Company”) on Form 10-K for the annual period ended December 31, 2025, as filed with the Securities and Exchange Commission (the “Report”), I, Michael W. Harrington,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March 31, 2026</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38615/000119312522268793/d514195dex21.htm" TargetMode="External"/><Relationship Id="rId6" Type="http://schemas.openxmlformats.org/officeDocument/2006/relationships/hyperlink" Target="https://www.sec.gov/Archives/edgar/data/1838615/000119312523004775/d431644dex31.htm" TargetMode="External"/><Relationship Id="rId7" Type="http://schemas.openxmlformats.org/officeDocument/2006/relationships/hyperlink" Target="https://www.sec.gov/Archives/edgar/data/1838615/000162828024033750/exhibit32-amendmenttocer.htm" TargetMode="External"/><Relationship Id="rId8" Type="http://schemas.openxmlformats.org/officeDocument/2006/relationships/hyperlink" Target="https://www.sec.gov/Archives/edgar/data/1838615/000119312523106428/d190022dex31.htm" TargetMode="External"/><Relationship Id="rId9" Type="http://schemas.openxmlformats.org/officeDocument/2006/relationships/hyperlink" Target="https://www.sec.gov/ix?doc=/Archives/edgar/data/0001838615/000162828024015033/alti-20231231.htm" TargetMode="External"/><Relationship Id="rId10" Type="http://schemas.openxmlformats.org/officeDocument/2006/relationships/hyperlink" Target="https://www.sec.gov/Archives/edgar/data/1838615/000119312523004775/d431644dex101.htm" TargetMode="External"/><Relationship Id="rId11" Type="http://schemas.openxmlformats.org/officeDocument/2006/relationships/hyperlink" Target="https://www.sec.gov/Archives/edgar/data/1838615/000119312523004775/d431644dex102.htm" TargetMode="External"/><Relationship Id="rId12" Type="http://schemas.openxmlformats.org/officeDocument/2006/relationships/hyperlink" Target="https://www.sec.gov/Archives/edgar/data/1838615/000119312523004775/d431644dex103.htm" TargetMode="External"/><Relationship Id="rId13" Type="http://schemas.openxmlformats.org/officeDocument/2006/relationships/hyperlink" Target="https://www.sec.gov/Archives/edgar/data/1838615/000162828025031817/alti-amendmentno1to2023p.htm" TargetMode="External"/><Relationship Id="rId14" Type="http://schemas.openxmlformats.org/officeDocument/2006/relationships/hyperlink" Target="https://www.sec.gov/Archives/edgar/data/1838615/000119312523004775/d431644dex104.htm" TargetMode="External"/><Relationship Id="rId15" Type="http://schemas.openxmlformats.org/officeDocument/2006/relationships/hyperlink" Target="https://www.sec.gov/Archives/edgar/data/1838615/000121390021049588/ea147796ex10-5_cartesian.htm" TargetMode="External"/><Relationship Id="rId16" Type="http://schemas.openxmlformats.org/officeDocument/2006/relationships/hyperlink" Target="https://www.sec.gov/Archives/edgar/data/1838615/000119312522268793/d514195dex102.htm" TargetMode="External"/><Relationship Id="rId17" Type="http://schemas.openxmlformats.org/officeDocument/2006/relationships/hyperlink" Target="https://www.sec.gov/Archives/edgar/data/1838615/000119312523004775/d431644dex106.htm" TargetMode="External"/><Relationship Id="rId18" Type="http://schemas.openxmlformats.org/officeDocument/2006/relationships/hyperlink" Target="https://www.sec.gov/Archives/edgar/data/1838615/000121390021049588/ea147796ex10-7_cartesian.htm" TargetMode="External"/><Relationship Id="rId19" Type="http://schemas.openxmlformats.org/officeDocument/2006/relationships/hyperlink" Target="https://www.sec.gov/Archives/edgar/data/1838615/000119312522268793/d514195dex103.htm" TargetMode="External"/><Relationship Id="rId20" Type="http://schemas.openxmlformats.org/officeDocument/2006/relationships/hyperlink" Target="https://www.sec.gov/Archives/edgar/data/1838615/000121390021049588/ea147796ex10-8_cartesian.htm" TargetMode="External"/><Relationship Id="rId21" Type="http://schemas.openxmlformats.org/officeDocument/2006/relationships/hyperlink" Target="https://www.sec.gov/Archives/edgar/data/1838615/000121390021049588/ea147796ex10-9_cartesian.htm" TargetMode="External"/><Relationship Id="rId22" Type="http://schemas.openxmlformats.org/officeDocument/2006/relationships/hyperlink" Target="https://www.sec.gov/Archives/edgar/data/1838615/000119312523004775/d431644dex1010.htm" TargetMode="External"/><Relationship Id="rId23" Type="http://schemas.openxmlformats.org/officeDocument/2006/relationships/hyperlink" Target="https://www.sec.gov/ix?doc=/Archives/edgar/data/0001838615/000119312523004775/d431644d8k.htm" TargetMode="External"/><Relationship Id="rId24" Type="http://schemas.openxmlformats.org/officeDocument/2006/relationships/hyperlink" Target="https://www.sec.gov/Archives/edgar/data/1838615/000162828023038993/bmo_alti-firstamendmentt.htm" TargetMode="External"/><Relationship Id="rId25" Type="http://schemas.openxmlformats.org/officeDocument/2006/relationships/hyperlink" Target="https://www.sec.gov/Archives/edgar/data/1838615/000162828023038993/bmoalti-secondamendmentt.htm" TargetMode="External"/><Relationship Id="rId26" Type="http://schemas.openxmlformats.org/officeDocument/2006/relationships/hyperlink" Target="https://www.sec.gov/ix?doc=/Archives/edgar/data/0001838615/000162828024006447/alti-20240222.htm" TargetMode="External"/><Relationship Id="rId27" Type="http://schemas.openxmlformats.org/officeDocument/2006/relationships/hyperlink" Target="https://www.sec.gov/Archives/edgar/data/1838615/000162828024036413/exhibit104-bmoaltixfourt.htm" TargetMode="External"/><Relationship Id="rId28" Type="http://schemas.openxmlformats.org/officeDocument/2006/relationships/hyperlink" Target="https://www.sec.gov/Archives/edgar/data/1838615/000162828024046969/bmoalti-fifthamendmentto.htm" TargetMode="External"/><Relationship Id="rId29" Type="http://schemas.openxmlformats.org/officeDocument/2006/relationships/hyperlink" Target="https://www.sec.gov/Archives/edgar/data/1838615/000119312523004775/d431644dex1012.htm" TargetMode="External"/><Relationship Id="rId30" Type="http://schemas.openxmlformats.org/officeDocument/2006/relationships/hyperlink" Target="https://www.sec.gov/Archives/edgar/data/1838615/000119312523004775/d431644dex1013.htm" TargetMode="External"/><Relationship Id="rId31" Type="http://schemas.openxmlformats.org/officeDocument/2006/relationships/hyperlink" Target="https://www.sec.gov/Archives/edgar/data/1838615/000119312523017724/d443189dex1014.htm" TargetMode="External"/><Relationship Id="rId32" Type="http://schemas.openxmlformats.org/officeDocument/2006/relationships/hyperlink" Target="https://www.sec.gov/Archives/edgar/data/1838615/000119312523078054/d322938dex1011.htm" TargetMode="External"/><Relationship Id="rId33" Type="http://schemas.openxmlformats.org/officeDocument/2006/relationships/hyperlink" Target="https://www.sec.gov/ix?doc=/Archives/edgar/data/0001838615/000162828024012642/alti-20231231.htm" TargetMode="External"/><Relationship Id="rId34" Type="http://schemas.openxmlformats.org/officeDocument/2006/relationships/hyperlink" Target="https://www.sec.gov/Archives/edgar/data/1838615/000162828024006447/a101-investmentagreemental.htm" TargetMode="External"/><Relationship Id="rId35" Type="http://schemas.openxmlformats.org/officeDocument/2006/relationships/hyperlink" Target="https://www.sec.gov/Archives/edgar/data/1838615/000162828024006447/a102-supplementalseriesapr.htm" TargetMode="External"/><Relationship Id="rId36" Type="http://schemas.openxmlformats.org/officeDocument/2006/relationships/hyperlink" Target="https://www.sec.gov/Archives/edgar/data/1838615/000162828024006447/a103-allianzinvestorrights.htm" TargetMode="External"/><Relationship Id="rId37" Type="http://schemas.openxmlformats.org/officeDocument/2006/relationships/hyperlink" Target="https://www.sec.gov/Archives/edgar/data/1838615/000162828024006447/a104-formofvotingagreement.htm" TargetMode="External"/><Relationship Id="rId38" Type="http://schemas.openxmlformats.org/officeDocument/2006/relationships/hyperlink" Target="https://www.sec.gov/Archives/edgar/data/1838615/000162828024006447/a105-investmentagreementco.htm" TargetMode="External"/><Relationship Id="rId39" Type="http://schemas.openxmlformats.org/officeDocument/2006/relationships/hyperlink" Target="https://www.sec.gov/Archives/edgar/data/1838615/000162828024006447/a106-formofconstellationin.htm" TargetMode="External"/><Relationship Id="rId40" Type="http://schemas.openxmlformats.org/officeDocument/2006/relationships/hyperlink" Target="https://www.sec.gov/Archives/edgar/data/1838615/000162828025028673/colleengrahamexecutiveem.htm" TargetMode="External"/><Relationship Id="rId41" Type="http://schemas.openxmlformats.org/officeDocument/2006/relationships/hyperlink" Target="https://www.sec.gov/Archives/edgar/data/1838615/000162828025028673/colleengrahamexecutiveem.htm" TargetMode="External"/><Relationship Id="rId42" Type="http://schemas.openxmlformats.org/officeDocument/2006/relationships/hyperlink" Target="https://www.sec.gov/Archives/edgar/data/1838615/000162828025028673/colleengrahamexecutiveem.htm" TargetMode="External"/><Relationship Id="rId43" Type="http://schemas.openxmlformats.org/officeDocument/2006/relationships/hyperlink" Target="https://www.sec.gov/Archives/edgar/data/1838615/000162828025013180/alti-revisedinsidertradi.htm" TargetMode="External"/><Relationship Id="rId44" Type="http://schemas.openxmlformats.org/officeDocument/2006/relationships/hyperlink" Target="https://www.sec.gov/Archives/edgar/data/1838615/000162828025013180/alti-clawbackpolicy2.htm" TargetMode="External"/><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6.jpeg"/><Relationship Id="rId48" Type="http://schemas.openxmlformats.org/officeDocument/2006/relationships/image" Target="media/image7.jpeg"/><Relationship Id="rId49" Type="http://schemas.openxmlformats.org/officeDocument/2006/relationships/image" Target="media/image8.jpeg"/><Relationship Id="rId50" Type="http://schemas.openxmlformats.org/officeDocument/2006/relationships/image" Target="media/image9.jpeg"/><Relationship Id="rId51" Type="http://schemas.openxmlformats.org/officeDocument/2006/relationships/image" Target="media/image10.jpeg"/><Relationship Id="rId52" Type="http://schemas.openxmlformats.org/officeDocument/2006/relationships/image" Target="media/image11.jpeg"/><Relationship Id="rId53" Type="http://schemas.openxmlformats.org/officeDocument/2006/relationships/image" Target="media/image12.jpeg"/><Relationship Id="rId54" Type="http://schemas.openxmlformats.org/officeDocument/2006/relationships/image" Target="media/image13.jpeg"/><Relationship Id="rId55" Type="http://schemas.openxmlformats.org/officeDocument/2006/relationships/image" Target="media/image14.jpeg"/><Relationship Id="rId56" Type="http://schemas.openxmlformats.org/officeDocument/2006/relationships/image" Target="media/image1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97719</Words>
  <Characters>547626</Characters>
  <CharactersWithSpaces>642146</CharactersWithSpaces>
  <Paragraphs>6578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a2025s-8consent</dc:title>
</cp:coreProperties>
</file>