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-596900</wp:posOffset>
            </wp:positionV>
            <wp:extent cx="56515" cy="610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23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-596900</wp:posOffset>
            </wp:positionV>
            <wp:extent cx="56515" cy="610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23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633095</wp:posOffset>
            </wp:positionV>
            <wp:extent cx="6999605" cy="4121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4121150"/>
                    </a:xfrm>
                    <a:prstGeom prst="rect">
                      <a:avLst/>
                    </a:prstGeom>
                    <a:noFill/>
                  </pic:spPr>
                </pic:pic>
              </a:graphicData>
            </a:graphic>
          </wp:anchor>
        </w:drawing>
      </w:r>
    </w:p>
    <w:p>
      <w:pPr>
        <w:spacing w:after="0" w:line="1007" w:lineRule="exact"/>
        <w:rPr>
          <w:sz w:val="24"/>
          <w:szCs w:val="24"/>
          <w:color w:val="auto"/>
        </w:rPr>
      </w:pPr>
    </w:p>
    <w:p>
      <w:pPr>
        <w:sectPr>
          <w:pgSz w:w="11900" w:h="16838" w:orient="portrait"/>
          <w:cols w:equalWidth="0" w:num="2">
            <w:col w:w="2280" w:space="440"/>
            <w:col w:w="836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spacing w:after="0" w:line="226" w:lineRule="exact"/>
              <w:rPr>
                <w:rFonts w:ascii="Times New Roman" w:cs="Times New Roman" w:eastAsia="Times New Roman" w:hAnsi="Times New Roman"/>
                <w:sz w:val="20"/>
                <w:szCs w:val="20"/>
                <w:color w:val="0000EE"/>
                <w:w w:val="95"/>
              </w:rPr>
            </w:pPr>
            <w:hyperlink r:id="rId13">
              <w:r>
                <w:rPr>
                  <w:rFonts w:ascii="Times New Roman" w:cs="Times New Roman" w:eastAsia="Times New Roman" w:hAnsi="Times New Roman"/>
                  <w:sz w:val="20"/>
                  <w:szCs w:val="20"/>
                  <w:color w:val="0000EE"/>
                  <w:w w:val="95"/>
                </w:rPr>
                <w:t>Connell Brooke</w:t>
              </w:r>
            </w:hyperlink>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6"/>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AlTi Global,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ALTI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40" w:type="dxa"/>
            <w:vAlign w:val="bottom"/>
            <w:tcBorders>
              <w:bottom w:val="single" w:sz="8" w:color="0000EE"/>
            </w:tcBorders>
            <w:gridSpan w:val="3"/>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40" w:type="dxa"/>
            <w:vAlign w:val="bottom"/>
            <w:gridSpan w:val="3"/>
          </w:tcPr>
          <w:p>
            <w:pPr>
              <w:spacing w:after="0"/>
              <w:rPr>
                <w:sz w:val="3"/>
                <w:szCs w:val="3"/>
                <w:color w:val="auto"/>
              </w:rPr>
            </w:pPr>
          </w:p>
        </w:tc>
        <w:tc>
          <w:tcPr>
            <w:tcW w:w="10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11"/>
                <w:szCs w:val="11"/>
                <w:color w:val="auto"/>
              </w:rPr>
            </w:pPr>
          </w:p>
        </w:tc>
        <w:tc>
          <w:tcPr>
            <w:tcW w:w="1420" w:type="dxa"/>
            <w:vAlign w:val="bottom"/>
            <w:gridSpan w:val="4"/>
          </w:tcPr>
          <w:p>
            <w:pPr>
              <w:ind w:left="18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2"/>
                <w:szCs w:val="12"/>
                <w:color w:val="auto"/>
              </w:rPr>
              <w:t>(Last)</w:t>
            </w:r>
          </w:p>
        </w:tc>
        <w:tc>
          <w:tcPr>
            <w:tcW w:w="600" w:type="dxa"/>
            <w:vAlign w:val="bottom"/>
            <w:tcBorders>
              <w:top w:val="single" w:sz="8" w:color="EEEEEE"/>
            </w:tcBorders>
          </w:tcPr>
          <w:p>
            <w:pPr>
              <w:spacing w:after="0"/>
              <w:rPr>
                <w:sz w:val="11"/>
                <w:szCs w:val="11"/>
                <w:color w:val="auto"/>
              </w:rPr>
            </w:pPr>
          </w:p>
        </w:tc>
        <w:tc>
          <w:tcPr>
            <w:tcW w:w="1120" w:type="dxa"/>
            <w:vAlign w:val="bottom"/>
            <w:tcBorders>
              <w:top w:val="single" w:sz="8" w:color="EEEEEE"/>
              <w:bottom w:val="single" w:sz="8" w:color="EEEEEE"/>
            </w:tcBorders>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24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40"/>
              <w:spacing w:after="0" w:line="112" w:lineRule="exact"/>
              <w:rPr>
                <w:sz w:val="20"/>
                <w:szCs w:val="20"/>
                <w:color w:val="auto"/>
              </w:rPr>
            </w:pPr>
            <w:r>
              <w:rPr>
                <w:rFonts w:ascii="Arial" w:cs="Arial" w:eastAsia="Arial" w:hAnsi="Arial"/>
                <w:sz w:val="12"/>
                <w:szCs w:val="12"/>
                <w:color w:val="auto"/>
              </w:rPr>
              <w:t>below)</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ind w:left="180"/>
              <w:spacing w:after="0" w:line="112"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4"/>
            <w:vMerge w:val="restart"/>
          </w:tcPr>
          <w:p>
            <w:pPr>
              <w:jc w:val="right"/>
              <w:ind w:right="142"/>
              <w:spacing w:after="0" w:line="178" w:lineRule="exact"/>
              <w:rPr>
                <w:sz w:val="20"/>
                <w:szCs w:val="20"/>
                <w:color w:val="auto"/>
              </w:rPr>
            </w:pPr>
            <w:r>
              <w:rPr>
                <w:rFonts w:ascii="Times New Roman" w:cs="Times New Roman" w:eastAsia="Times New Roman" w:hAnsi="Times New Roman"/>
                <w:sz w:val="16"/>
                <w:szCs w:val="16"/>
                <w:color w:val="0000FF"/>
              </w:rPr>
              <w:t>Pres, US Wealth Mgmt</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C/O ALTI GLOBAL, INC.</w:t>
            </w: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gridSpan w:val="7"/>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vMerge w:val="continue"/>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05/22/2025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22 VANDERBILT AVE, 27TH FLOOR</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gridSpan w:val="3"/>
          </w:tcPr>
          <w:p>
            <w:pPr>
              <w:spacing w:after="0"/>
              <w:rPr>
                <w:sz w:val="17"/>
                <w:szCs w:val="17"/>
                <w:color w:val="auto"/>
              </w:rPr>
            </w:pPr>
          </w:p>
        </w:tc>
        <w:tc>
          <w:tcPr>
            <w:tcW w:w="160" w:type="dxa"/>
            <w:vAlign w:val="bottom"/>
            <w:tcBorders>
              <w:bottom w:val="single" w:sz="8" w:color="808080"/>
            </w:tcBorders>
            <w:gridSpan w:val="2"/>
          </w:tcPr>
          <w:p>
            <w:pPr>
              <w:spacing w:after="0"/>
              <w:rPr>
                <w:sz w:val="17"/>
                <w:szCs w:val="17"/>
                <w:color w:val="auto"/>
              </w:rPr>
            </w:pPr>
          </w:p>
        </w:tc>
        <w:tc>
          <w:tcPr>
            <w:tcW w:w="1840" w:type="dxa"/>
            <w:vAlign w:val="bottom"/>
            <w:tcBorders>
              <w:bottom w:val="single" w:sz="8" w:color="808080"/>
            </w:tcBorders>
            <w:gridSpan w:val="3"/>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gridSpan w:val="2"/>
          </w:tcPr>
          <w:p>
            <w:pPr>
              <w:spacing w:after="0"/>
              <w:rPr>
                <w:sz w:val="17"/>
                <w:szCs w:val="17"/>
                <w:color w:val="auto"/>
              </w:rPr>
            </w:pPr>
          </w:p>
        </w:tc>
        <w:tc>
          <w:tcPr>
            <w:tcW w:w="2840" w:type="dxa"/>
            <w:vAlign w:val="bottom"/>
            <w:tcBorders>
              <w:bottom w:val="single" w:sz="8" w:color="808080"/>
            </w:tcBorders>
            <w:gridSpan w:val="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360" w:type="dxa"/>
            <w:vAlign w:val="bottom"/>
            <w:tcBorders>
              <w:top w:val="single" w:sz="8" w:color="2C2C2C"/>
            </w:tcBorders>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10017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tcPr>
          <w:p>
            <w:pPr>
              <w:ind w:left="12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6400" w:type="dxa"/>
            <w:vAlign w:val="bottom"/>
            <w:tcBorders>
              <w:top w:val="single" w:sz="8" w:color="2C2C2C"/>
            </w:tcBorders>
            <w:gridSpan w:val="17"/>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5"/>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jc w:val="center"/>
              <w:ind w:right="119"/>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00" w:type="dxa"/>
            <w:vAlign w:val="bottom"/>
            <w:gridSpan w:val="5"/>
          </w:tcPr>
          <w:p>
            <w:pPr>
              <w:ind w:left="980"/>
              <w:spacing w:after="0" w:line="123"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8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00" w:type="dxa"/>
            <w:vAlign w:val="bottom"/>
            <w:gridSpan w:val="5"/>
          </w:tcPr>
          <w:p>
            <w:pPr>
              <w:ind w:left="9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7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line="123"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136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700" w:type="dxa"/>
            <w:vAlign w:val="bottom"/>
            <w:tcBorders>
              <w:bottom w:val="single" w:sz="8" w:color="2C2C2C"/>
            </w:tcBorders>
            <w:gridSpan w:val="7"/>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40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60" w:type="dxa"/>
            <w:vAlign w:val="bottom"/>
            <w:gridSpan w:val="15"/>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Number of</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Derivative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5)</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Peformance</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30,851.064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23"/>
              <w:spacing w:after="0" w:line="136" w:lineRule="exact"/>
              <w:rPr>
                <w:sz w:val="20"/>
                <w:szCs w:val="20"/>
                <w:color w:val="auto"/>
              </w:rPr>
            </w:pPr>
            <w:r>
              <w:rPr>
                <w:rFonts w:ascii="Times New Roman" w:cs="Times New Roman" w:eastAsia="Times New Roman" w:hAnsi="Times New Roman"/>
                <w:sz w:val="12"/>
                <w:szCs w:val="12"/>
                <w:color w:val="0000FF"/>
              </w:rPr>
              <w:t>05/22/2025</w:t>
            </w:r>
          </w:p>
        </w:tc>
        <w:tc>
          <w:tcPr>
            <w:tcW w:w="1080" w:type="dxa"/>
            <w:vAlign w:val="bottom"/>
          </w:tcPr>
          <w:p>
            <w:pPr>
              <w:spacing w:after="0"/>
              <w:rPr>
                <w:sz w:val="11"/>
                <w:szCs w:val="11"/>
                <w:color w:val="auto"/>
              </w:rPr>
            </w:pPr>
          </w:p>
        </w:tc>
        <w:tc>
          <w:tcPr>
            <w:tcW w:w="82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0000FF"/>
              </w:rPr>
              <w:t>30,851.064</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ind w:left="4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11"/>
                <w:szCs w:val="11"/>
                <w:color w:val="auto"/>
              </w:rPr>
            </w:pPr>
          </w:p>
        </w:tc>
        <w:tc>
          <w:tcPr>
            <w:tcW w:w="740" w:type="dxa"/>
            <w:vAlign w:val="bottom"/>
            <w:gridSpan w:val="2"/>
          </w:tcPr>
          <w:p>
            <w:pPr>
              <w:jc w:val="right"/>
              <w:ind w:right="261"/>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0000FF"/>
              </w:rPr>
              <w:t>30,851.064</w:t>
            </w:r>
          </w:p>
        </w:tc>
        <w:tc>
          <w:tcPr>
            <w:tcW w:w="600" w:type="dxa"/>
            <w:vAlign w:val="bottom"/>
          </w:tcPr>
          <w:p>
            <w:pPr>
              <w:jc w:val="right"/>
              <w:ind w:right="142"/>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-1603375</wp:posOffset>
            </wp:positionV>
            <wp:extent cx="28575" cy="1609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0909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 restricted stock unit ("PRSU") represents a contingent right to receive one share of the Company's Class A Common Stock.</w:t>
      </w:r>
    </w:p>
    <w:p>
      <w:pPr>
        <w:spacing w:after="0" w:line="46" w:lineRule="exact"/>
        <w:rPr>
          <w:rFonts w:ascii="Times New Roman" w:cs="Times New Roman" w:eastAsia="Times New Roman" w:hAnsi="Times New Roman"/>
          <w:sz w:val="12"/>
          <w:szCs w:val="12"/>
          <w:color w:val="008000"/>
        </w:rPr>
      </w:pPr>
    </w:p>
    <w:p>
      <w:pPr>
        <w:ind w:left="40" w:right="360" w:hanging="5"/>
        <w:spacing w:after="0" w:line="253"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33.33% of the PRSUs shall be eligible to vest at the end of each of three annual performance periods beginning on March 31, 2026, subject to the reporting person's continued service with the Company through the applicable performance period, based on the total shareholder return of the Company's Class A Common Stock exceeding certain thresholds. The maximum number of units that may vest over three years is 61,702.128 (200% of the target number).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Colleen Graham, Attorney-in- </w:t>
      </w:r>
      <w:r>
        <w:rPr>
          <w:rFonts w:ascii="Times New Roman" w:cs="Times New Roman" w:eastAsia="Times New Roman" w:hAnsi="Times New Roman"/>
          <w:sz w:val="31"/>
          <w:szCs w:val="31"/>
          <w:color w:val="0000FF"/>
          <w:vertAlign w:val="subscript"/>
        </w:rPr>
        <w:t>10/15/2025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3462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2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-17780</wp:posOffset>
            </wp:positionV>
            <wp:extent cx="1517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1765" cy="762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-80645</wp:posOffset>
            </wp:positionV>
            <wp:extent cx="4622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60" w:hanging="5"/>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6517" TargetMode="External"/><Relationship Id="rId14" Type="http://schemas.openxmlformats.org/officeDocument/2006/relationships/hyperlink" Target="http://www.sec.gov/cgi-bin/browse-edgar?action=getcompany&amp;CIK=0001838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2025-10-15T15:12:28Z</dcterms:created>
  <dcterms:modified xsi:type="dcterms:W3CDTF">2025-10-15T15:12:28Z</dcterms:modified>
</cp:coreProperties>
</file>