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2" w:lineRule="exact"/>
        <w:rPr>
          <w:sz w:val="24"/>
          <w:szCs w:val="24"/>
          <w:color w:val="auto"/>
        </w:rPr>
      </w:pPr>
    </w:p>
    <w:p>
      <w:pPr>
        <w:ind w:left="360" w:hanging="341"/>
        <w:spacing w:after="0"/>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41" w:lineRule="exact"/>
        <w:rPr>
          <w:sz w:val="24"/>
          <w:szCs w:val="24"/>
          <w:color w:val="auto"/>
        </w:rPr>
      </w:pPr>
    </w:p>
    <w:p>
      <w:pPr>
        <w:ind w:left="360" w:hanging="341"/>
        <w:spacing w:after="0"/>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 to _________</w:t>
      </w:r>
    </w:p>
    <w:p>
      <w:pPr>
        <w:spacing w:after="0" w:line="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001-40103</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AlTi Global, Inc.</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ectPr>
          <w:pgSz w:w="11900" w:h="16838" w:orient="portrait"/>
          <w:cols w:equalWidth="0" w:num="1">
            <w:col w:w="11300"/>
          </w:cols>
          <w:pgMar w:left="300" w:top="206" w:right="299" w:bottom="1440" w:gutter="0" w:footer="0" w:header="0"/>
        </w:sectPr>
      </w:pPr>
    </w:p>
    <w:p>
      <w:pPr>
        <w:spacing w:after="0" w:line="14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92-1552220</w:t>
      </w:r>
    </w:p>
    <w:p>
      <w:pPr>
        <w:spacing w:after="0" w:line="53" w:lineRule="exact"/>
        <w:rPr>
          <w:sz w:val="24"/>
          <w:szCs w:val="24"/>
          <w:color w:val="auto"/>
        </w:rPr>
      </w:pPr>
    </w:p>
    <w:p>
      <w:pPr>
        <w:sectPr>
          <w:pgSz w:w="11900" w:h="16838" w:orient="portrait"/>
          <w:cols w:equalWidth="0" w:num="2">
            <w:col w:w="7400" w:space="720"/>
            <w:col w:w="3180"/>
          </w:cols>
          <w:pgMar w:left="300" w:top="206" w:right="29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8" w:lineRule="exact"/>
        <w:rPr>
          <w:sz w:val="24"/>
          <w:szCs w:val="24"/>
          <w:color w:val="auto"/>
        </w:rPr>
      </w:pPr>
    </w:p>
    <w:p>
      <w:pPr>
        <w:sectPr>
          <w:pgSz w:w="11900" w:h="16838" w:orient="portrait"/>
          <w:cols w:equalWidth="0" w:num="2">
            <w:col w:w="6740" w:space="720"/>
            <w:col w:w="3840"/>
          </w:cols>
          <w:pgMar w:left="300" w:top="206" w:right="299" w:bottom="1440" w:gutter="0" w:footer="0" w:header="0"/>
          <w:type w:val="continuous"/>
        </w:sectPr>
      </w:pPr>
    </w:p>
    <w:tbl>
      <w:tblPr>
        <w:tblLayout w:type="fixed"/>
        <w:tblInd w:w="1040" w:type="dxa"/>
        <w:tblCellMar>
          <w:top w:w="0" w:type="dxa"/>
          <w:left w:w="0" w:type="dxa"/>
          <w:bottom w:w="0" w:type="dxa"/>
          <w:right w:w="0" w:type="dxa"/>
        </w:tblCellMar>
      </w:tblPr>
      <w:tr>
        <w:trPr>
          <w:trHeight w:val="205"/>
        </w:trPr>
        <w:tc>
          <w:tcPr>
            <w:tcW w:w="6620" w:type="dxa"/>
            <w:vAlign w:val="bottom"/>
          </w:tcPr>
          <w:p>
            <w:pPr>
              <w:jc w:val="center"/>
              <w:ind w:right="2968"/>
              <w:spacing w:after="0"/>
              <w:rPr>
                <w:sz w:val="20"/>
                <w:szCs w:val="20"/>
                <w:color w:val="auto"/>
              </w:rPr>
            </w:pPr>
            <w:r>
              <w:rPr>
                <w:rFonts w:ascii="Times New Roman" w:cs="Times New Roman" w:eastAsia="Times New Roman" w:hAnsi="Times New Roman"/>
                <w:sz w:val="16"/>
                <w:szCs w:val="16"/>
                <w:b w:val="1"/>
                <w:bCs w:val="1"/>
                <w:color w:val="auto"/>
                <w:w w:val="95"/>
              </w:rPr>
              <w:t>520 Madison Avenue, 26th Floor New York</w:t>
            </w: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6"/>
                <w:szCs w:val="16"/>
                <w:b w:val="1"/>
                <w:bCs w:val="1"/>
                <w:color w:val="auto"/>
                <w:w w:val="95"/>
              </w:rPr>
              <w:t xml:space="preserve"> New York</w:t>
            </w: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10022</w:t>
            </w:r>
          </w:p>
        </w:tc>
      </w:tr>
      <w:tr>
        <w:trPr>
          <w:trHeight w:val="219"/>
        </w:trPr>
        <w:tc>
          <w:tcPr>
            <w:tcW w:w="6620" w:type="dxa"/>
            <w:vAlign w:val="bottom"/>
          </w:tcPr>
          <w:p>
            <w:pPr>
              <w:jc w:val="center"/>
              <w:ind w:right="29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rPr>
              <w:t>(Zip Code)</w:t>
            </w:r>
          </w:p>
        </w:tc>
      </w:tr>
      <w:tr>
        <w:trPr>
          <w:trHeight w:val="297"/>
        </w:trPr>
        <w:tc>
          <w:tcPr>
            <w:tcW w:w="662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(212) 396-5900</w:t>
            </w:r>
          </w:p>
        </w:tc>
        <w:tc>
          <w:tcPr>
            <w:tcW w:w="1140" w:type="dxa"/>
            <w:vAlign w:val="bottom"/>
          </w:tcPr>
          <w:p>
            <w:pPr>
              <w:spacing w:after="0"/>
              <w:rPr>
                <w:sz w:val="24"/>
                <w:szCs w:val="24"/>
                <w:color w:val="auto"/>
              </w:rPr>
            </w:pPr>
          </w:p>
        </w:tc>
      </w:tr>
      <w:tr>
        <w:trPr>
          <w:trHeight w:val="212"/>
        </w:trPr>
        <w:tc>
          <w:tcPr>
            <w:tcW w:w="6620" w:type="dxa"/>
            <w:vAlign w:val="bottom"/>
          </w:tcPr>
          <w:p>
            <w:pPr>
              <w:jc w:val="center"/>
              <w:ind w:left="25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140" w:type="dxa"/>
            <w:vAlign w:val="bottom"/>
          </w:tcPr>
          <w:p>
            <w:pPr>
              <w:spacing w:after="0"/>
              <w:rPr>
                <w:sz w:val="18"/>
                <w:szCs w:val="18"/>
                <w:color w:val="auto"/>
              </w:rPr>
            </w:pPr>
          </w:p>
        </w:tc>
      </w:tr>
      <w:tr>
        <w:trPr>
          <w:trHeight w:val="212"/>
        </w:trPr>
        <w:tc>
          <w:tcPr>
            <w:tcW w:w="6620" w:type="dxa"/>
            <w:vAlign w:val="bottom"/>
          </w:tcPr>
          <w:p>
            <w:pPr>
              <w:jc w:val="center"/>
              <w:ind w:left="2528"/>
              <w:spacing w:after="0"/>
              <w:rPr>
                <w:sz w:val="20"/>
                <w:szCs w:val="20"/>
                <w:color w:val="auto"/>
              </w:rPr>
            </w:pPr>
            <w:r>
              <w:rPr>
                <w:rFonts w:ascii="Times New Roman" w:cs="Times New Roman" w:eastAsia="Times New Roman" w:hAnsi="Times New Roman"/>
                <w:sz w:val="14"/>
                <w:szCs w:val="14"/>
                <w:color w:val="auto"/>
              </w:rPr>
              <w:t>Not Applicable</w:t>
            </w:r>
          </w:p>
        </w:tc>
        <w:tc>
          <w:tcPr>
            <w:tcW w:w="1140" w:type="dxa"/>
            <w:vAlign w:val="bottom"/>
          </w:tcPr>
          <w:p>
            <w:pPr>
              <w:spacing w:after="0"/>
              <w:rPr>
                <w:sz w:val="18"/>
                <w:szCs w:val="18"/>
                <w:color w:val="auto"/>
              </w:rPr>
            </w:pPr>
          </w:p>
        </w:tc>
      </w:tr>
    </w:tbl>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50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5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ALTI</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bl>
    <w:p>
      <w:pPr>
        <w:spacing w:after="0" w:line="134" w:lineRule="exact"/>
        <w:rPr>
          <w:sz w:val="24"/>
          <w:szCs w:val="24"/>
          <w:color w:val="auto"/>
        </w:rPr>
      </w:pPr>
    </w:p>
    <w:p>
      <w:pPr>
        <w:ind w:right="1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right="34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9" w:lineRule="exact"/>
        <w:rPr>
          <w:sz w:val="24"/>
          <w:szCs w:val="24"/>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4" w:lineRule="exact"/>
        <w:rPr>
          <w:sz w:val="24"/>
          <w:szCs w:val="24"/>
          <w:color w:val="auto"/>
        </w:rPr>
      </w:pPr>
    </w:p>
    <w:p>
      <w:pPr>
        <w:ind w:right="24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outstanding 91,846,903 shares of Class A Common Stock (as defined herein) and 47,978,953 shares of Class B Common Stock (as defined herein) as of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615315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0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300" w:type="dxa"/>
            <w:vAlign w:val="bottom"/>
          </w:tcPr>
          <w:p>
            <w:pPr>
              <w:spacing w:after="0"/>
              <w:rPr>
                <w:sz w:val="16"/>
                <w:szCs w:val="16"/>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790"/>
        </w:trPr>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300" w:type="dxa"/>
            <w:vAlign w:val="bottom"/>
          </w:tcPr>
          <w:p>
            <w:pPr>
              <w:spacing w:after="0"/>
              <w:rPr>
                <w:sz w:val="24"/>
                <w:szCs w:val="24"/>
                <w:color w:val="auto"/>
              </w:rPr>
            </w:pPr>
          </w:p>
        </w:tc>
      </w:tr>
      <w:tr>
        <w:trPr>
          <w:trHeight w:val="371"/>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 Financial Information</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8</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1. Financial Statements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8</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Condensed Consolidated Statement of Financial Position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8</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Condensed Consolidated Statement of Operations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9</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Condensed Consolidated Statement of Comprehensive Income (Loss)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Condensed Consolidated Statement of Changes in Mezzanine Equity and Shareholders’ Equity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Condensed Consolidated Statement of Cash Flows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14</w:t>
            </w:r>
          </w:p>
        </w:tc>
      </w:tr>
      <w:tr>
        <w:trPr>
          <w:trHeight w:val="308"/>
        </w:trPr>
        <w:tc>
          <w:tcPr>
            <w:tcW w:w="89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Notes to Condensed Consolidated Financial Statements (Unaudited)</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16</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2. Management’s Discussion and Analysis of Financial Condition and Results of Operations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83</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3. Quantitative and Qualitative Disclosures about Market Risk</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107</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4. Controls and Procedures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108</w:t>
            </w:r>
          </w:p>
        </w:tc>
      </w:tr>
      <w:tr>
        <w:trPr>
          <w:trHeight w:val="30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 II Other Information</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110</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1. Legal Proceedings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110</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1A. Risk Factors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110</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2. Unregistered Sales of Equity Securities and Use of Proceeds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111</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3. Defaults Upon Senior Securities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111</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4. Mine Safety Disclosures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111</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5. Other Information</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111</w:t>
            </w:r>
          </w:p>
        </w:tc>
      </w:tr>
      <w:tr>
        <w:trPr>
          <w:trHeight w:val="308"/>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Item 6. Exhibits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112</w:t>
            </w:r>
          </w:p>
        </w:tc>
      </w:tr>
      <w:tr>
        <w:trPr>
          <w:trHeight w:val="308"/>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Signatures</w:t>
            </w:r>
          </w:p>
        </w:tc>
        <w:tc>
          <w:tcPr>
            <w:tcW w:w="230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114</w:t>
            </w:r>
          </w:p>
        </w:tc>
      </w:tr>
      <w:tr>
        <w:trPr>
          <w:trHeight w:val="732"/>
        </w:trPr>
        <w:tc>
          <w:tcPr>
            <w:tcW w:w="8980" w:type="dxa"/>
            <w:vAlign w:val="bottom"/>
            <w:gridSpan w:val="2"/>
          </w:tcPr>
          <w:p>
            <w:pPr>
              <w:ind w:left="5600"/>
              <w:spacing w:after="0"/>
              <w:rPr>
                <w:sz w:val="20"/>
                <w:szCs w:val="20"/>
                <w:color w:val="auto"/>
              </w:rPr>
            </w:pPr>
            <w:r>
              <w:rPr>
                <w:rFonts w:ascii="Times New Roman" w:cs="Times New Roman" w:eastAsia="Times New Roman" w:hAnsi="Times New Roman"/>
                <w:sz w:val="16"/>
                <w:szCs w:val="16"/>
                <w:color w:val="auto"/>
              </w:rPr>
              <w:t>2</w:t>
            </w:r>
          </w:p>
        </w:tc>
        <w:tc>
          <w:tcPr>
            <w:tcW w:w="2300" w:type="dxa"/>
            <w:vAlign w:val="bottom"/>
          </w:tcPr>
          <w:p>
            <w:pPr>
              <w:spacing w:after="0"/>
              <w:rPr>
                <w:sz w:val="24"/>
                <w:szCs w:val="24"/>
                <w:color w:val="auto"/>
              </w:rPr>
            </w:pPr>
          </w:p>
        </w:tc>
      </w:tr>
      <w:tr>
        <w:trPr>
          <w:trHeight w:val="93"/>
        </w:trPr>
        <w:tc>
          <w:tcPr>
            <w:tcW w:w="1100" w:type="dxa"/>
            <w:vAlign w:val="bottom"/>
            <w:tcBorders>
              <w:bottom w:val="single" w:sz="8" w:color="9A9A9A"/>
            </w:tcBorders>
          </w:tcPr>
          <w:p>
            <w:pPr>
              <w:spacing w:after="0"/>
              <w:rPr>
                <w:sz w:val="8"/>
                <w:szCs w:val="8"/>
                <w:color w:val="auto"/>
              </w:rPr>
            </w:pPr>
          </w:p>
        </w:tc>
        <w:tc>
          <w:tcPr>
            <w:tcW w:w="78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Defined Terms</w:t>
      </w:r>
    </w:p>
    <w:p>
      <w:pPr>
        <w:spacing w:after="0" w:line="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Capitalized terms used herein but not otherwise defined herein shall have the respective meanings ascribed to them in the Amended and Restated Business Combination Agreement, a copy of which is attached as Exhibit 2.1 to our Current Report on Form 8-K filed October 26, 2022.</w:t>
      </w:r>
    </w:p>
    <w:p>
      <w:pPr>
        <w:spacing w:after="0" w:line="155"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“AFM UK” means Alvarium Fund Managers (UK) Limited, an English private limited company.</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“AHRA” means “Alvarium Home REIT Advisors Limited,” an English private limited company.</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means AlTi Asset Management Holdings 2 Limited, formerly known as Alvarium Investments Limited, an English private limited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means AlTi Global, Inc., together with its consolidated subsidiaries.</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Shareholders” means the shareholders of Alvarium.</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“Alvarium Tiedemann” means the Company, prior to being renamed “AlTi Global, Inc.”</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“AlTi Global Topco” means AlTi Global Topco Limited, formerly known as Alvarium Topco, an Isle of Man entity which was established by Alvarium and owned by the Alvarium Shareholders.</w:t>
      </w:r>
    </w:p>
    <w:p>
      <w:pPr>
        <w:spacing w:after="0" w:line="14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means AlTi RE Limited, formerly known as Alvarium RE Limited, an English private limited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“AUA” means assets under advisement.</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means assets under management.</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means the transactions contemplated by the Business Combination Agreement.</w:t>
      </w:r>
    </w:p>
    <w:p>
      <w:pPr>
        <w:spacing w:after="0" w:line="144"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Agreement” means the Amended and Restated Business Combination Agreement, dated as of October 25, 2022, by and among Cartesian, Umbrella Merger Sub, TWMH, TIG GP, TIG MGMT, Alvarium and Umbrella.</w:t>
      </w:r>
    </w:p>
    <w:p>
      <w:pPr>
        <w:spacing w:after="0" w:line="165" w:lineRule="exact"/>
        <w:rPr>
          <w:rFonts w:ascii="Times New Roman" w:cs="Times New Roman" w:eastAsia="Times New Roman" w:hAnsi="Times New Roman"/>
          <w:sz w:val="16"/>
          <w:szCs w:val="16"/>
          <w:color w:val="auto"/>
        </w:rPr>
      </w:pPr>
    </w:p>
    <w:p>
      <w:pPr>
        <w:ind w:left="520" w:right="160" w:hanging="260"/>
        <w:spacing w:after="0" w:line="245"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w:t>
      </w:r>
    </w:p>
    <w:p>
      <w:pPr>
        <w:spacing w:after="0" w:line="112"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means Cartesian Growth Corporation, a Cayman Islands exempted company, prior to the Business Combination.</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Act” means the Cayman Islands Companies Act (as revised) of the Cayman Islands, as the same may be amended from time to time.</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means the Class A Common Stock, par value $0.0001 per share, of the Company, including any shares of such Class A Common Stock issuable upon the exercise of any warrant or other right to acquire shares of such Class A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3" w:lineRule="exact"/>
        <w:rPr>
          <w:sz w:val="20"/>
          <w:szCs w:val="20"/>
          <w:color w:val="auto"/>
        </w:rPr>
      </w:pPr>
    </w:p>
    <w:p>
      <w:pPr>
        <w:ind w:left="520" w:hanging="260"/>
        <w:spacing w:after="0" w:line="258" w:lineRule="auto"/>
        <w:tabs>
          <w:tab w:leader="none" w:pos="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“Class B Common Stock” means the Class B Common Stock, par value $0.0001 per share, of the Company, including any shares of such Class B Common Stock issuable upon the exercise of any warrant or other right to acquire shares of such Class B Common Stock.</w:t>
      </w:r>
    </w:p>
    <w:p>
      <w:pPr>
        <w:spacing w:after="0" w:line="17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“Class B Paired Interest” means a Class B Unit together with a share of Class B Common Stock.</w:t>
      </w:r>
    </w:p>
    <w:p>
      <w:pPr>
        <w:spacing w:after="0" w:line="133" w:lineRule="exact"/>
        <w:rPr>
          <w:rFonts w:ascii="Arial" w:cs="Arial" w:eastAsia="Arial" w:hAnsi="Arial"/>
          <w:sz w:val="17"/>
          <w:szCs w:val="17"/>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means the limited liability company interests in Umbrella designated as Class B Common Units in the Umbrella LLC Agreement.</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means the closing of the Business Combination.</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Date” means January 3, 2023, the date on which the Closing occurred.</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refers to shares of the Class A Common Stock and the Class B Common Stock, collectively.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“our,” “we” or “us” means, prior to the Business Combination, Cartesian, as the context suggests, and, following the Business Combination, AlTi.</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“Condensed Consolidated Statement of Financial Position” refers to the consolidated balance sheet of AlTi Global, Inc.</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“Condensed Consolidated Statement of Operations” refers to the consolidated income statement of AlTi Global, Inc.</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“DGCL” refers to the Delaware General Corporation Law, as amended.</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“dollars” or “$” refers to U.S. dollars.</w:t>
      </w:r>
    </w:p>
    <w:p>
      <w:pPr>
        <w:spacing w:after="0" w:line="197"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spacing w:after="0" w:line="11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Act” means the U.S. Securities Exchange Act of 1934, as amended.</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spacing w:after="0" w:line="143"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“FOS” means the European-based trust and private office service businesses, or European Family Office Services business.</w:t>
      </w:r>
    </w:p>
    <w:p>
      <w:pPr>
        <w:spacing w:after="0" w:line="20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“HLIF” means “Home Long Income Fund,” a private fund regulated by the UK FCA.</w:t>
      </w:r>
    </w:p>
    <w:p>
      <w:pPr>
        <w:spacing w:after="0" w:line="133" w:lineRule="exact"/>
        <w:rPr>
          <w:rFonts w:ascii="Arial" w:cs="Arial" w:eastAsia="Arial" w:hAnsi="Arial"/>
          <w:sz w:val="17"/>
          <w:szCs w:val="17"/>
          <w:color w:val="auto"/>
        </w:rPr>
      </w:pPr>
    </w:p>
    <w:p>
      <w:pPr>
        <w:ind w:left="520" w:hanging="260"/>
        <w:spacing w:after="0" w:line="259" w:lineRule="auto"/>
        <w:tabs>
          <w:tab w:leader="none" w:pos="51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“HNWI” means-high-net-worth individual, being an individual having investable assets of $1 million or more, excluding primary residence, collectibles, consumables, and consumer durables.</w:t>
      </w:r>
    </w:p>
    <w:p>
      <w:pPr>
        <w:spacing w:after="0" w:line="165"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“Holbein” means Holbein Partners, LLP.</w:t>
      </w:r>
    </w:p>
    <w:p>
      <w:pPr>
        <w:spacing w:after="0" w:line="20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6"/>
          <w:szCs w:val="16"/>
          <w:color w:val="auto"/>
        </w:rPr>
        <w:t>“Home REIT” means “Home REIT plc,” a real estate investment trust listed on the London Stock Exchange.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520" w:hanging="260"/>
        <w:spacing w:after="0" w:line="27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Investing” means investment practices seeking to generate various levels of financial performance together with the generation of positive measurable environmental and social impacts.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means the Nasdaq Capital Market.</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“NAV” means net asset value.</w:t>
      </w:r>
    </w:p>
    <w:p>
      <w:pPr>
        <w:spacing w:after="0" w:line="197" w:lineRule="exact"/>
        <w:rPr>
          <w:rFonts w:ascii="Times New Roman" w:cs="Times New Roman" w:eastAsia="Times New Roman" w:hAnsi="Times New Roman"/>
          <w:sz w:val="16"/>
          <w:szCs w:val="16"/>
          <w:color w:val="auto"/>
        </w:rPr>
      </w:pPr>
    </w:p>
    <w:p>
      <w:pPr>
        <w:ind w:left="520" w:right="440" w:hanging="260"/>
        <w:spacing w:after="0" w:line="27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means the United States Securities and Exchange Commission.</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“SHIA” means Social Housing Income Advisors Limited, an English private limited company.</w:t>
      </w:r>
    </w:p>
    <w:p>
      <w:pPr>
        <w:spacing w:after="0" w:line="122"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means CGC Sponsor LLC, a Cayman Islands limited liability company.</w:t>
      </w:r>
    </w:p>
    <w:p>
      <w:pPr>
        <w:spacing w:after="0" w:line="197" w:lineRule="exact"/>
        <w:rPr>
          <w:rFonts w:ascii="Times New Roman" w:cs="Times New Roman" w:eastAsia="Times New Roman" w:hAnsi="Times New Roman"/>
          <w:sz w:val="16"/>
          <w:szCs w:val="16"/>
          <w:color w:val="auto"/>
        </w:rPr>
      </w:pPr>
    </w:p>
    <w:p>
      <w:pPr>
        <w:ind w:left="520" w:hanging="260"/>
        <w:spacing w:after="0" w:line="244" w:lineRule="auto"/>
        <w:tabs>
          <w:tab w:leader="none" w:pos="516" w:val="left"/>
        </w:tabs>
        <w:numPr>
          <w:ilvl w:val="0"/>
          <w:numId w:val="5"/>
        </w:numPr>
        <w:rPr>
          <w:rFonts w:ascii="Arial" w:cs="Arial" w:eastAsia="Arial" w:hAnsi="Arial"/>
          <w:sz w:val="17"/>
          <w:szCs w:val="17"/>
          <w:color w:val="auto"/>
        </w:rPr>
      </w:pPr>
      <w:r>
        <w:rPr>
          <w:rFonts w:ascii="Times New Roman" w:cs="Times New Roman" w:eastAsia="Times New Roman" w:hAnsi="Times New Roman"/>
          <w:sz w:val="16"/>
          <w:szCs w:val="16"/>
          <w:color w:val="auto"/>
        </w:rPr>
        <w:t>“Strategic Alternatives” means the segment that includes the Company’s alternatives platform, public and private real estate, and co-investment business, formerly known as Asset Management.</w:t>
      </w:r>
    </w:p>
    <w:p>
      <w:pPr>
        <w:spacing w:after="0" w:line="102" w:lineRule="exact"/>
        <w:rPr>
          <w:rFonts w:ascii="Arial" w:cs="Arial" w:eastAsia="Arial" w:hAnsi="Arial"/>
          <w:sz w:val="17"/>
          <w:szCs w:val="17"/>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Companies” means, collectively, TWMH, TIG GP, TIG MGMT, and Alvarium.</w:t>
      </w:r>
    </w:p>
    <w:p>
      <w:pPr>
        <w:spacing w:after="0" w:line="144"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Receivable Agreement” or “TRA” means that certain Tax Receivable Agreement, dated as of January 3, 2023, by and among the Company and the TWMH Members, the TIG GP Members, and the TIG MGMT Members.</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means, collectively, the TIG Entities and their subsidiaries and their predecessor entities where applicable.</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Entities” means, collectively, TIG GP and TIG MGMT and their predecessor entities where applicable.</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means TIG Trinity GP, LLC, a Delaware limited liability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GP Members” means the former members of TIG GP.</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means TIG Trinity Management, LLC, a Delaware limited liability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“TIG MGMT Members” means the former members of TIG MGMT.</w:t>
      </w:r>
    </w:p>
    <w:p>
      <w:pPr>
        <w:spacing w:after="0" w:line="18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“TIH” means Tiedemann International Holdings, AG.</w:t>
      </w:r>
    </w:p>
    <w:p>
      <w:pPr>
        <w:spacing w:after="0" w:line="197"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 Exchange” means the series of transactions in which certain holders of Class B Units and Class B Common Stock have exchanged, or may in the future exchange, a portion of such interests to the Company, in exchange for Class A Common Stock.</w:t>
      </w:r>
    </w:p>
    <w:p>
      <w:pPr>
        <w:spacing w:after="0" w:line="112"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means, collectively, Tiedemann Wealth Management Holdings, LLC, a Delaware limited liability company, and its subsidiaries, and their predecessor entities where applicable.</w:t>
      </w:r>
    </w:p>
    <w:p>
      <w:pPr>
        <w:spacing w:after="0" w:line="10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“TWMH Members” means the former members of TWMH.</w:t>
      </w:r>
    </w:p>
    <w:p>
      <w:pPr>
        <w:spacing w:after="0" w:line="187" w:lineRule="exact"/>
        <w:rPr>
          <w:rFonts w:ascii="Times New Roman" w:cs="Times New Roman" w:eastAsia="Times New Roman" w:hAnsi="Times New Roman"/>
          <w:sz w:val="16"/>
          <w:szCs w:val="16"/>
          <w:color w:val="auto"/>
        </w:rPr>
      </w:pPr>
    </w:p>
    <w:p>
      <w:pPr>
        <w:ind w:left="520" w:hanging="260"/>
        <w:spacing w:after="0" w:line="273" w:lineRule="auto"/>
        <w:tabs>
          <w:tab w:leader="none" w:pos="51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“UHNW” means ultra high net worth individual, being an individual having investable assets of $30 million or more, excluding primary residence, collectibles, consumables, and consumer durables.</w:t>
      </w:r>
    </w:p>
    <w:p>
      <w:pPr>
        <w:spacing w:after="0" w:line="15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“UK FCA” means the United Kingdom’s Financial Conduct Authority.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means AlTi Global Capital, LLC (formerly known as Alvarium Tiedemann Capital, LLC), a Delaware limited liability company.</w:t>
      </w:r>
    </w:p>
    <w:p>
      <w:pPr>
        <w:spacing w:after="0" w:line="13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“Umbrella LLC Agreement” means the Fourth Amended and Restated Limited Liability Company Agreement of AlTi Global Capital, LLC, effective as of July 31, 2024.</w:t>
      </w:r>
    </w:p>
    <w:p>
      <w:pPr>
        <w:spacing w:after="0" w:line="16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means Rook MS, LLC, a Delaware limited liability company.</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GAAP” means United States generally accepted accounting principles, consistently applied.</w:t>
      </w:r>
    </w:p>
    <w:p>
      <w:pPr>
        <w:spacing w:after="0" w:line="144" w:lineRule="exact"/>
        <w:rPr>
          <w:rFonts w:ascii="Times New Roman" w:cs="Times New Roman" w:eastAsia="Times New Roman" w:hAnsi="Times New Roman"/>
          <w:sz w:val="16"/>
          <w:szCs w:val="16"/>
          <w:color w:val="auto"/>
        </w:rPr>
      </w:pPr>
    </w:p>
    <w:p>
      <w:pPr>
        <w:jc w:val="both"/>
        <w:ind w:left="520" w:hanging="260"/>
        <w:spacing w:after="0" w:line="254" w:lineRule="auto"/>
        <w:tabs>
          <w:tab w:leader="none" w:pos="51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spacing w:after="0" w:line="158" w:lineRule="exact"/>
        <w:rPr>
          <w:rFonts w:ascii="Times New Roman" w:cs="Times New Roman" w:eastAsia="Times New Roman" w:hAnsi="Times New Roman"/>
          <w:sz w:val="16"/>
          <w:szCs w:val="16"/>
          <w:color w:val="auto"/>
        </w:rPr>
      </w:pPr>
    </w:p>
    <w:p>
      <w:pPr>
        <w:ind w:left="520" w:right="360" w:hanging="260"/>
        <w:spacing w:after="0" w:line="259" w:lineRule="auto"/>
        <w:tabs>
          <w:tab w:leader="none" w:pos="51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“Wealth Management” means the segment that consists of the Company’s investment management and advisory services, trusts and administrative services, and family office services.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spacing w:after="0" w:line="1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Also posted on our website in the “Investor Relations” section are the charters for our Audit, Finance and Risk Committee, Environmental, Social, Governance and Nominating Committee, and Human Capital and Compensation Committee, as well as our Corporate Governance Guidelines and Code of Business Conduct governing our directors, officers, and employees. Information on or accessible through our website is not a part of or incorporated into this Quarterly Report on Form 10-Q for the period ended June 30, 2024 (the “Quarterly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spacing w:after="0" w:line="16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No statements herein, available on our website, or in any of the materials we file with the SEC constitute or should be viewed as constituting an offer to sell, or a solicitation of an offer to buy, securities in any jurisdiction.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I.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(Unaudited)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AlTi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Financial Position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As of June 30,</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49"/>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data)</w:t>
            </w:r>
          </w:p>
        </w:tc>
        <w:tc>
          <w:tcPr>
            <w:tcW w:w="120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7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
        </w:trPr>
        <w:tc>
          <w:tcPr>
            <w:tcW w:w="7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0" w:type="dxa"/>
            <w:vAlign w:val="bottom"/>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59,984</w:t>
            </w:r>
          </w:p>
        </w:tc>
        <w:tc>
          <w:tcPr>
            <w:tcW w:w="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15,348</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Fees receivable, net (includes $830 and $16,069 of related party receivables, respectively)</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32,381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70,421</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at fair value</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162,234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165,894</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method investments</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7,504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 of accumulated amortization</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505,233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435,677</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440,997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411,634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53,854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48,313</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 net</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58,709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48,182</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receivable</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 held for sale</w:t>
            </w:r>
          </w:p>
        </w:tc>
        <w:tc>
          <w:tcPr>
            <w:tcW w:w="1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56,634</w:t>
            </w:r>
          </w:p>
        </w:tc>
      </w:tr>
      <w:tr>
        <w:trPr>
          <w:trHeight w:val="167"/>
        </w:trPr>
        <w:tc>
          <w:tcPr>
            <w:tcW w:w="7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assets</w:t>
            </w:r>
          </w:p>
        </w:tc>
        <w:tc>
          <w:tcPr>
            <w:tcW w:w="1200" w:type="dxa"/>
            <w:vAlign w:val="bottom"/>
            <w:tcBorders>
              <w:top w:val="single" w:sz="8" w:color="auto"/>
              <w:bottom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1,322,730</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1,266,297</w:t>
            </w:r>
          </w:p>
        </w:tc>
      </w:tr>
      <w:tr>
        <w:trPr>
          <w:trHeight w:val="28"/>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20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25,350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37,156</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compensation and profit sharing</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61,768</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member distributions payable</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7,271</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 liabilities, at fair value</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Earn-out liability, at fair value</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49,124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63,444</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 liability (includes $6,911 and $13,233 at fair value, respectively)</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17,607</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Delayed share purchase agreement</w:t>
            </w:r>
          </w:p>
        </w:tc>
        <w:tc>
          <w:tcPr>
            <w:tcW w:w="1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1,818</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 consideration payable</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1,830</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64,281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56,123</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 net of unamortized deferred financing cost</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163,986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186,353</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12,897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14,109</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income</w:t>
            </w:r>
          </w:p>
        </w:tc>
        <w:tc>
          <w:tcPr>
            <w:tcW w:w="120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 net</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21,101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22,467</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 held for sale</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13,792</w:t>
            </w:r>
          </w:p>
        </w:tc>
      </w:tr>
      <w:tr>
        <w:trPr>
          <w:trHeight w:val="30"/>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w:t>
            </w:r>
          </w:p>
        </w:tc>
        <w:tc>
          <w:tcPr>
            <w:tcW w:w="1200" w:type="dxa"/>
            <w:vAlign w:val="bottom"/>
            <w:tcBorders>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399,209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483,804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19)</w:t>
            </w:r>
          </w:p>
        </w:tc>
        <w:tc>
          <w:tcPr>
            <w:tcW w:w="12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480" w:type="dxa"/>
            <w:vAlign w:val="bottom"/>
            <w:tcBorders>
              <w:bottom w:val="single" w:sz="8" w:color="CCEEFF"/>
            </w:tcBorders>
            <w:shd w:val="clear" w:color="auto" w:fill="CCEEFF"/>
          </w:tcPr>
          <w:p>
            <w:pPr>
              <w:spacing w:after="0"/>
              <w:rPr>
                <w:sz w:val="12"/>
                <w:szCs w:val="12"/>
                <w:color w:val="auto"/>
              </w:rPr>
            </w:pPr>
          </w:p>
        </w:tc>
      </w:tr>
      <w:tr>
        <w:trPr>
          <w:trHeight w:val="42"/>
        </w:trPr>
        <w:tc>
          <w:tcPr>
            <w:tcW w:w="7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42"/>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Series C Redeemable Cumulative Convertible Preferred stock, $0.0001 par value, 150,000 authorized, 150,000 shares issued and outstanding at June 30, 2024, and 0</w:t>
            </w: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7"/>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shares authorized, 0 issued and outstanding at December 31, 2023</w:t>
            </w:r>
          </w:p>
        </w:tc>
        <w:tc>
          <w:tcPr>
            <w:tcW w:w="12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153,442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52"/>
        </w:trPr>
        <w:tc>
          <w:tcPr>
            <w:tcW w:w="778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 Class A, $0.0001 par value, 875,000,000 authorized, 72,167,195 and 65,110,875 issued and outstanding, respectively</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 Class B, $0.0001 par value, 150,000,000 authorized, 47,978,953 and 53,219,713 issued and outstanding, respectively</w:t>
            </w:r>
          </w:p>
        </w:tc>
        <w:tc>
          <w:tcPr>
            <w:tcW w:w="12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6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549,998</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536,509</w:t>
            </w:r>
          </w:p>
        </w:tc>
      </w:tr>
      <w:tr>
        <w:trPr>
          <w:trHeight w:val="151"/>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earnings (accumulated deficit)</w:t>
            </w:r>
          </w:p>
        </w:tc>
        <w:tc>
          <w:tcPr>
            <w:tcW w:w="1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(170,172)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(193,527)</w:t>
            </w:r>
          </w:p>
        </w:tc>
      </w:tr>
      <w:tr>
        <w:trPr>
          <w:trHeight w:val="30"/>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2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6,942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9,155</w:t>
            </w:r>
          </w:p>
        </w:tc>
      </w:tr>
      <w:tr>
        <w:trPr>
          <w:trHeight w:val="141"/>
        </w:trPr>
        <w:tc>
          <w:tcPr>
            <w:tcW w:w="77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Total AlTi Global, Inc. shareholders' equity</w:t>
            </w:r>
          </w:p>
        </w:tc>
        <w:tc>
          <w:tcPr>
            <w:tcW w:w="1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540,217</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352,144</w:t>
            </w:r>
          </w:p>
        </w:tc>
      </w:tr>
      <w:tr>
        <w:trPr>
          <w:trHeight w:val="30"/>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71"/>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 in subsidiaries</w:t>
            </w:r>
          </w:p>
        </w:tc>
        <w:tc>
          <w:tcPr>
            <w:tcW w:w="12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383,304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430,349</w:t>
            </w:r>
          </w:p>
        </w:tc>
      </w:tr>
      <w:tr>
        <w:trPr>
          <w:trHeight w:val="141"/>
        </w:trPr>
        <w:tc>
          <w:tcPr>
            <w:tcW w:w="7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923,521</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782,493</w:t>
            </w:r>
          </w:p>
        </w:tc>
      </w:tr>
      <w:tr>
        <w:trPr>
          <w:trHeight w:val="30"/>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2"/>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1"/>
                <w:szCs w:val="11"/>
                <w:color w:val="auto"/>
              </w:rPr>
              <w:t>Total liabilities, mezzanine equity, and shareholders' equity</w:t>
            </w:r>
          </w:p>
        </w:tc>
        <w:tc>
          <w:tcPr>
            <w:tcW w:w="1200" w:type="dxa"/>
            <w:vAlign w:val="bottom"/>
            <w:tcBorders>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1,322,730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1,266,297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r>
      <w:tr>
        <w:trPr>
          <w:trHeight w:val="182"/>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8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4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240" w:type="dxa"/>
            <w:vAlign w:val="bottom"/>
          </w:tcPr>
          <w:p>
            <w:pPr>
              <w:spacing w:after="0"/>
              <w:rPr>
                <w:sz w:val="15"/>
                <w:szCs w:val="15"/>
                <w:color w:val="auto"/>
              </w:rPr>
            </w:pPr>
          </w:p>
        </w:tc>
        <w:tc>
          <w:tcPr>
            <w:tcW w:w="13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7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Management/advisory fees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47,029</w:t>
            </w:r>
          </w:p>
        </w:tc>
        <w:tc>
          <w:tcPr>
            <w:tcW w:w="8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46,844</w:t>
            </w:r>
          </w:p>
        </w:tc>
        <w:tc>
          <w:tcPr>
            <w:tcW w:w="8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93,253</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93,314</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from investments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12,233</w:t>
            </w:r>
          </w:p>
        </w:tc>
      </w:tr>
      <w:tr>
        <w:trPr>
          <w:trHeight w:val="19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income/fees</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w:t>
            </w:r>
          </w:p>
        </w:tc>
      </w:tr>
      <w:tr>
        <w:trPr>
          <w:trHeight w:val="182"/>
        </w:trPr>
        <w:tc>
          <w:tcPr>
            <w:tcW w:w="4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income</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49,453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51,285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100,265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109,332</w:t>
            </w:r>
          </w:p>
        </w:tc>
      </w:tr>
      <w:tr>
        <w:trPr>
          <w:trHeight w:val="17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and employee benefits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33,952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97,124</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Systems, technology and telephone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distribution and marketing</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costs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6,532</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37,747</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Travel and entertainment</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8,172</w:t>
            </w:r>
          </w:p>
        </w:tc>
      </w:tr>
      <w:tr>
        <w:trPr>
          <w:trHeight w:val="19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w:t>
            </w:r>
          </w:p>
        </w:tc>
      </w:tr>
      <w:tr>
        <w:trPr>
          <w:trHeight w:val="182"/>
        </w:trPr>
        <w:tc>
          <w:tcPr>
            <w:tcW w:w="4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64,408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64,344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129,888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165,831</w:t>
            </w:r>
          </w:p>
        </w:tc>
      </w:tr>
      <w:tr>
        <w:trPr>
          <w:trHeight w:val="18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operating income (loss)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(56,499)</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loss on intangible 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(29,393)</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investments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TRA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warrant liability</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(12,866)</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earnout liability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36,877</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(6,632)</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w:t>
            </w:r>
          </w:p>
        </w:tc>
      </w:tr>
      <w:tr>
        <w:trPr>
          <w:trHeight w:val="18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Income (loss) before taxes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(72,956)</w:t>
            </w:r>
          </w:p>
        </w:tc>
      </w:tr>
      <w:tr>
        <w:trPr>
          <w:trHeight w:val="18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15,446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10,796</w:t>
            </w:r>
          </w:p>
        </w:tc>
      </w:tr>
      <w:tr>
        <w:trPr>
          <w:trHeight w:val="18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income (loss)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(62,160)</w:t>
            </w:r>
          </w:p>
        </w:tc>
      </w:tr>
      <w:tr>
        <w:trPr>
          <w:trHeight w:val="18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(income) attributed to non-controlling interests in subsidiaries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(36,160)</w:t>
            </w:r>
          </w:p>
        </w:tc>
      </w:tr>
      <w:tr>
        <w:trPr>
          <w:trHeight w:val="214"/>
        </w:trPr>
        <w:tc>
          <w:tcPr>
            <w:tcW w:w="46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Net income (loss) attributable to AlTi Global, Inc.</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(26,000)</w:t>
            </w:r>
          </w:p>
        </w:tc>
      </w:tr>
      <w:tr>
        <w:trPr>
          <w:trHeight w:val="28"/>
        </w:trPr>
        <w:tc>
          <w:tcPr>
            <w:tcW w:w="464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3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80" w:type="dxa"/>
            <w:vAlign w:val="bottom"/>
            <w:tcBorders>
              <w:top w:val="single" w:sz="8" w:color="CCEEFF"/>
              <w:bottom w:val="single" w:sz="8" w:color="auto"/>
            </w:tcBorders>
          </w:tcPr>
          <w:p>
            <w:pPr>
              <w:spacing w:after="0"/>
              <w:rPr>
                <w:sz w:val="2"/>
                <w:szCs w:val="2"/>
                <w:color w:val="auto"/>
              </w:rPr>
            </w:pPr>
          </w:p>
        </w:tc>
        <w:tc>
          <w:tcPr>
            <w:tcW w:w="144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3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300" w:type="dxa"/>
            <w:vAlign w:val="bottom"/>
            <w:tcBorders>
              <w:top w:val="single" w:sz="8" w:color="CCEEFF"/>
              <w:bottom w:val="single" w:sz="8" w:color="auto"/>
            </w:tcBorders>
          </w:tcPr>
          <w:p>
            <w:pPr>
              <w:spacing w:after="0"/>
              <w:rPr>
                <w:sz w:val="2"/>
                <w:szCs w:val="2"/>
                <w:color w:val="auto"/>
              </w:rPr>
            </w:pPr>
          </w:p>
        </w:tc>
      </w:tr>
      <w:tr>
        <w:trPr>
          <w:trHeight w:val="82"/>
        </w:trPr>
        <w:tc>
          <w:tcPr>
            <w:tcW w:w="4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5"/>
                <w:szCs w:val="15"/>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5"/>
                <w:szCs w:val="15"/>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(0.44)</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of Class A Common Stock Outstanding</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3"/>
        </w:trPr>
        <w:tc>
          <w:tcPr>
            <w:tcW w:w="4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71,738,190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59,286,346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69,228,309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58,425,916</w:t>
            </w:r>
          </w:p>
        </w:tc>
      </w:tr>
      <w:tr>
        <w:trPr>
          <w:trHeight w:val="19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71,738,190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114,319,307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119,355,038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58,454,342</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Comprehensive Income (Loss) (Unaudited)</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0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0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51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4"/>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5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5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28,130</w:t>
            </w: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12,786</w:t>
            </w:r>
          </w:p>
        </w:tc>
        <w:tc>
          <w:tcPr>
            <w:tcW w:w="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(62,160)</w:t>
            </w:r>
          </w:p>
        </w:tc>
      </w:tr>
      <w:tr>
        <w:trPr>
          <w:trHeight w:val="183"/>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9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8,237</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w:t>
            </w:r>
          </w:p>
        </w:tc>
      </w:tr>
      <w:tr>
        <w:trPr>
          <w:trHeight w:val="183"/>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w:t>
            </w:r>
          </w:p>
        </w:tc>
      </w:tr>
      <w:tr>
        <w:trPr>
          <w:trHeight w:val="182"/>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comprehensive income (loss)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w:t>
            </w:r>
          </w:p>
        </w:tc>
        <w:tc>
          <w:tcPr>
            <w:tcW w:w="8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35,685</w:t>
            </w:r>
          </w:p>
        </w:tc>
        <w:tc>
          <w:tcPr>
            <w:tcW w:w="8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10,068</w:t>
            </w:r>
          </w:p>
        </w:tc>
        <w:tc>
          <w:tcPr>
            <w:tcW w:w="8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(44,934)</w:t>
            </w:r>
          </w:p>
        </w:tc>
      </w:tr>
      <w:tr>
        <w:trPr>
          <w:trHeight w:val="182"/>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loss attributed to non-controlling interests in subsidiaries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(11,295)</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(12,202)</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(28,115)</w:t>
            </w:r>
          </w:p>
        </w:tc>
      </w:tr>
      <w:tr>
        <w:trPr>
          <w:trHeight w:val="214"/>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Comprehensive income (loss) attributable to AlTi Global, Inc.</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(5,038)</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46,980</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22,270</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data)</w:t>
            </w:r>
          </w:p>
        </w:tc>
        <w:tc>
          <w:tcPr>
            <w:tcW w:w="1400" w:type="dxa"/>
            <w:vAlign w:val="bottom"/>
            <w:gridSpan w:val="4"/>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vMerge w:val="restart"/>
          </w:tcPr>
          <w:p>
            <w:pPr>
              <w:spacing w:after="0"/>
              <w:rPr>
                <w:sz w:val="11"/>
                <w:szCs w:val="11"/>
                <w:color w:val="auto"/>
              </w:rPr>
            </w:pPr>
          </w:p>
        </w:tc>
        <w:tc>
          <w:tcPr>
            <w:tcW w:w="1360" w:type="dxa"/>
            <w:vAlign w:val="bottom"/>
            <w:gridSpan w:val="4"/>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vMerge w:val="restart"/>
          </w:tcPr>
          <w:p>
            <w:pPr>
              <w:spacing w:after="0"/>
              <w:rPr>
                <w:sz w:val="11"/>
                <w:szCs w:val="11"/>
                <w:color w:val="auto"/>
              </w:rPr>
            </w:pPr>
          </w:p>
        </w:tc>
        <w:tc>
          <w:tcPr>
            <w:tcW w:w="15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 in</w:t>
            </w:r>
          </w:p>
        </w:tc>
        <w:tc>
          <w:tcPr>
            <w:tcW w:w="100" w:type="dxa"/>
            <w:vAlign w:val="bottom"/>
          </w:tcPr>
          <w:p>
            <w:pPr>
              <w:spacing w:after="0"/>
              <w:rPr>
                <w:sz w:val="11"/>
                <w:szCs w:val="11"/>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58"/>
        </w:trPr>
        <w:tc>
          <w:tcPr>
            <w:tcW w:w="210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2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115,000</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115,093</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71,064,411</w:t>
            </w: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48,265,195</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553,717</w:t>
            </w:r>
          </w:p>
        </w:tc>
        <w:tc>
          <w:tcPr>
            <w:tcW w:w="6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(164,178)</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6,299</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387,405</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898,343</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(8,959)</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partner's tax</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preferred shares, net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costs</w:t>
            </w: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35,000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31,642</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31,642</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share dividend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6,707</w:t>
            </w:r>
          </w:p>
        </w:tc>
        <w:tc>
          <w:tcPr>
            <w:tcW w:w="6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shares for business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combination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Share based compensation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6,450</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Shares issued to employees on vesting</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of equity awards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816,542</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 Exchange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286,242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auto"/>
              </w:rPr>
              <w:t>(286,242) —</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(4,586)</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FOS deconsolidation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LXi deconsolidation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153,442</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72,167,195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47,978,953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549,998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(170,172)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383,304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923,521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1"/>
                <w:szCs w:val="11"/>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8"/>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 except share data)</w:t>
            </w:r>
          </w:p>
        </w:tc>
        <w:tc>
          <w:tcPr>
            <w:tcW w:w="1400" w:type="dxa"/>
            <w:vAlign w:val="bottom"/>
            <w:gridSpan w:val="4"/>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60" w:type="dxa"/>
            <w:vAlign w:val="bottom"/>
            <w:vMerge w:val="restart"/>
          </w:tcPr>
          <w:p>
            <w:pPr>
              <w:spacing w:after="0"/>
              <w:rPr>
                <w:sz w:val="11"/>
                <w:szCs w:val="11"/>
                <w:color w:val="auto"/>
              </w:rPr>
            </w:pPr>
          </w:p>
        </w:tc>
        <w:tc>
          <w:tcPr>
            <w:tcW w:w="1360" w:type="dxa"/>
            <w:vAlign w:val="bottom"/>
            <w:gridSpan w:val="4"/>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vMerge w:val="restart"/>
          </w:tcPr>
          <w:p>
            <w:pPr>
              <w:spacing w:after="0"/>
              <w:rPr>
                <w:sz w:val="11"/>
                <w:szCs w:val="11"/>
                <w:color w:val="auto"/>
              </w:rPr>
            </w:pPr>
          </w:p>
        </w:tc>
        <w:tc>
          <w:tcPr>
            <w:tcW w:w="15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interest in</w:t>
            </w:r>
          </w:p>
        </w:tc>
        <w:tc>
          <w:tcPr>
            <w:tcW w:w="100" w:type="dxa"/>
            <w:vAlign w:val="bottom"/>
          </w:tcPr>
          <w:p>
            <w:pPr>
              <w:spacing w:after="0"/>
              <w:rPr>
                <w:sz w:val="11"/>
                <w:szCs w:val="11"/>
                <w:color w:val="auto"/>
              </w:rPr>
            </w:pPr>
          </w:p>
        </w:tc>
        <w:tc>
          <w:tcPr>
            <w:tcW w:w="84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158"/>
        </w:trPr>
        <w:tc>
          <w:tcPr>
            <w:tcW w:w="210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36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80"/>
        </w:trPr>
        <w:tc>
          <w:tcPr>
            <w:tcW w:w="2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6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65,110,875</w:t>
            </w: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53,219,713</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536,509</w:t>
            </w:r>
          </w:p>
        </w:tc>
        <w:tc>
          <w:tcPr>
            <w:tcW w:w="6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(193,527)</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9,155</w:t>
            </w: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430,349</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782,493</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23,355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(10,569)</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12,786</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partner's tax</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(1,882)</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preferred shares, net of</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costs</w:t>
            </w:r>
          </w:p>
        </w:tc>
        <w:tc>
          <w:tcPr>
            <w:tcW w:w="6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150,000</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142,800</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142,800</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share dividend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10,642</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Issuance of shares for business</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combination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948</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Share based compensation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9,074</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Shares issued to employees on vesting</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of equity awards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1,815,560</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(4,037)</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 Exchange</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5,240,760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(5,240,760) —</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(14,064)</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FOS deconsolidation</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0" w:type="dxa"/>
            <w:vAlign w:val="bottom"/>
          </w:tcPr>
          <w:p>
            <w:pPr>
              <w:spacing w:after="0"/>
              <w:rPr>
                <w:sz w:val="1"/>
                <w:szCs w:val="1"/>
                <w:color w:val="auto"/>
              </w:rPr>
            </w:pPr>
          </w:p>
        </w:tc>
      </w:tr>
      <w:tr>
        <w:trPr>
          <w:trHeight w:val="151"/>
        </w:trPr>
        <w:tc>
          <w:tcPr>
            <w:tcW w:w="2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LXi deconsolidation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0" w:type="dxa"/>
            <w:vAlign w:val="bottom"/>
          </w:tcPr>
          <w:p>
            <w:pPr>
              <w:spacing w:after="0"/>
              <w:rPr>
                <w:sz w:val="1"/>
                <w:szCs w:val="1"/>
                <w:color w:val="auto"/>
              </w:rPr>
            </w:pPr>
          </w:p>
        </w:tc>
      </w:tr>
      <w:tr>
        <w:trPr>
          <w:trHeight w:val="30"/>
        </w:trPr>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June 30, 2024</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153,442</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72,167,195</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47,978,953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549,998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(170,172)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383,304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923,521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0"/>
        </w:trPr>
        <w:tc>
          <w:tcPr>
            <w:tcW w:w="2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48"/>
        </w:trPr>
        <w:tc>
          <w:tcPr>
            <w:tcW w:w="2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8"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2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(accumulated</w:t>
            </w:r>
          </w:p>
        </w:tc>
        <w:tc>
          <w:tcPr>
            <w:tcW w:w="14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interest in</w:t>
            </w:r>
          </w:p>
        </w:tc>
        <w:tc>
          <w:tcPr>
            <w:tcW w:w="100" w:type="dxa"/>
            <w:vAlign w:val="bottom"/>
          </w:tcPr>
          <w:p>
            <w:pPr>
              <w:spacing w:after="0"/>
              <w:rPr>
                <w:sz w:val="12"/>
                <w:szCs w:val="12"/>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r>
      <w:tr>
        <w:trPr>
          <w:trHeight w:val="186"/>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data)</w:t>
            </w:r>
          </w:p>
        </w:tc>
        <w:tc>
          <w:tcPr>
            <w:tcW w:w="17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in-capital</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89"/>
        </w:trPr>
        <w:tc>
          <w:tcPr>
            <w:tcW w:w="21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4"/>
        </w:trPr>
        <w:tc>
          <w:tcPr>
            <w:tcW w:w="2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57,916,649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55,032,961</w:t>
            </w:r>
          </w:p>
        </w:tc>
        <w:tc>
          <w:tcPr>
            <w:tcW w:w="6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462,275</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(96,686)</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w:t>
            </w:r>
          </w:p>
        </w:tc>
        <w:tc>
          <w:tcPr>
            <w:tcW w:w="6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590,169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960,705</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28,130</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8,237</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Cancellation of AHRA call option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 for partner’s tax</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AHRA deconsolidation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 based compensation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w:t>
            </w:r>
          </w:p>
        </w:tc>
      </w:tr>
      <w:tr>
        <w:trPr>
          <w:trHeight w:val="159"/>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shares - exercise of</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2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warrants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5,041,022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24,063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24,063</w:t>
            </w:r>
          </w:p>
        </w:tc>
      </w:tr>
      <w:tr>
        <w:trPr>
          <w:trHeight w:val="209"/>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62,957,671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55,032,961</w:t>
            </w: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516,262</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(53,946)</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550,236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1,021,740</w:t>
            </w:r>
          </w:p>
        </w:tc>
      </w:tr>
      <w:tr>
        <w:trPr>
          <w:trHeight w:val="20"/>
        </w:trPr>
        <w:tc>
          <w:tcPr>
            <w:tcW w:w="2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0"/>
        </w:trPr>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
        </w:trPr>
        <w:tc>
          <w:tcPr>
            <w:tcW w:w="2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48"/>
        </w:trPr>
        <w:tc>
          <w:tcPr>
            <w:tcW w:w="2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8"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2"/>
                <w:szCs w:val="12"/>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9"/>
        </w:trPr>
        <w:tc>
          <w:tcPr>
            <w:tcW w:w="21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(accumulated</w:t>
            </w:r>
          </w:p>
        </w:tc>
        <w:tc>
          <w:tcPr>
            <w:tcW w:w="14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2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interest in</w:t>
            </w:r>
          </w:p>
        </w:tc>
        <w:tc>
          <w:tcPr>
            <w:tcW w:w="100" w:type="dxa"/>
            <w:vAlign w:val="bottom"/>
          </w:tcPr>
          <w:p>
            <w:pPr>
              <w:spacing w:after="0"/>
              <w:rPr>
                <w:sz w:val="13"/>
                <w:szCs w:val="13"/>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Shareholders'</w:t>
            </w:r>
          </w:p>
        </w:tc>
      </w:tr>
      <w:tr>
        <w:trPr>
          <w:trHeight w:val="186"/>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data)</w:t>
            </w:r>
          </w:p>
        </w:tc>
        <w:tc>
          <w:tcPr>
            <w:tcW w:w="17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in-capital</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89"/>
        </w:trPr>
        <w:tc>
          <w:tcPr>
            <w:tcW w:w="218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r>
      <w:tr>
        <w:trPr>
          <w:trHeight w:val="174"/>
        </w:trPr>
        <w:tc>
          <w:tcPr>
            <w:tcW w:w="2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55,388,023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55,032,961</w:t>
            </w:r>
          </w:p>
        </w:tc>
        <w:tc>
          <w:tcPr>
            <w:tcW w:w="60" w:type="dxa"/>
            <w:vAlign w:val="bottom"/>
          </w:tcPr>
          <w:p>
            <w:pPr>
              <w:spacing w:after="0"/>
              <w:rPr>
                <w:sz w:val="15"/>
                <w:szCs w:val="15"/>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435,859</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(27,946)</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606,989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1,014,908</w:t>
            </w:r>
          </w:p>
        </w:tc>
      </w:tr>
      <w:tr>
        <w:trPr>
          <w:trHeight w:val="16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shares to Alvarium</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91"/>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Benefit Trust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(62,160)</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17,908</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Cancellation of AHRA call option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for partner's tax</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r>
      <w:tr>
        <w:trPr>
          <w:trHeight w:val="19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AHRA Deconsolidation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2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based compensation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5"/>
                <w:szCs w:val="15"/>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2,131</w:t>
            </w:r>
          </w:p>
        </w:tc>
      </w:tr>
      <w:tr>
        <w:trPr>
          <w:trHeight w:val="167"/>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shares - exercise of</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4"/>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5,469,648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29,479</w:t>
            </w: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29,479</w:t>
            </w:r>
          </w:p>
        </w:tc>
      </w:tr>
      <w:tr>
        <w:trPr>
          <w:trHeight w:val="189"/>
        </w:trPr>
        <w:tc>
          <w:tcPr>
            <w:tcW w:w="2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62,957,671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55,032,961</w:t>
            </w:r>
          </w:p>
        </w:tc>
        <w:tc>
          <w:tcPr>
            <w:tcW w:w="60" w:type="dxa"/>
            <w:vAlign w:val="bottom"/>
          </w:tcPr>
          <w:p>
            <w:pPr>
              <w:spacing w:after="0"/>
              <w:rPr>
                <w:sz w:val="16"/>
                <w:szCs w:val="16"/>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516,262</w:t>
            </w:r>
          </w:p>
        </w:tc>
        <w:tc>
          <w:tcPr>
            <w:tcW w:w="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(53,946)</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9,182</w:t>
            </w:r>
          </w:p>
        </w:tc>
        <w:tc>
          <w:tcPr>
            <w:tcW w:w="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550,236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1,021,740</w:t>
            </w:r>
          </w:p>
        </w:tc>
      </w:tr>
      <w:tr>
        <w:trPr>
          <w:trHeight w:val="20"/>
        </w:trPr>
        <w:tc>
          <w:tcPr>
            <w:tcW w:w="2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80" w:type="dxa"/>
            <w:vAlign w:val="bottom"/>
            <w:gridSpan w:val="4"/>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2"/>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5"/>
                <w:szCs w:val="15"/>
                <w:color w:val="auto"/>
              </w:rPr>
            </w:pPr>
          </w:p>
        </w:tc>
        <w:tc>
          <w:tcPr>
            <w:tcW w:w="17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(62,160)</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debt discounts and deferred financing costs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loss on investments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Realized (gain) loss on investments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loss on goodwill and intangible assets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29,393</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(loss) on TRA</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loss on equity method investments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Fair value of warrant liability</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Fair value of earn-out liability</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(36,877)</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(16,392)</w:t>
            </w: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Equity-settled share-based payments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33,100</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(gains)/losses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91"/>
        </w:trPr>
        <w:tc>
          <w:tcPr>
            <w:tcW w:w="7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loss from retirement of debt</w:t>
            </w:r>
          </w:p>
        </w:tc>
        <w:tc>
          <w:tcPr>
            <w:tcW w:w="360" w:type="dxa"/>
            <w:vAlign w:val="bottom"/>
          </w:tcPr>
          <w:p>
            <w:pPr>
              <w:spacing w:after="0"/>
              <w:rPr>
                <w:sz w:val="16"/>
                <w:szCs w:val="16"/>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Forgiveness of debt shareholder loan</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Fair value of interest rate swap</w:t>
            </w:r>
          </w:p>
        </w:tc>
        <w:tc>
          <w:tcPr>
            <w:tcW w:w="360" w:type="dxa"/>
            <w:vAlign w:val="bottom"/>
          </w:tcPr>
          <w:p>
            <w:pPr>
              <w:spacing w:after="0"/>
              <w:rPr>
                <w:sz w:val="16"/>
                <w:szCs w:val="16"/>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flows due to changes in operating assets and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Fees receivable</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cash flow from operating leases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(22,485)</w:t>
            </w: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compensation and profit sharing</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0" w:type="dxa"/>
            <w:vAlign w:val="bottom"/>
          </w:tcPr>
          <w:p>
            <w:pPr>
              <w:spacing w:after="0"/>
              <w:rPr>
                <w:sz w:val="1"/>
                <w:szCs w:val="1"/>
                <w:color w:val="auto"/>
              </w:rPr>
            </w:pPr>
          </w:p>
        </w:tc>
      </w:tr>
      <w:tr>
        <w:trPr>
          <w:trHeight w:val="22"/>
        </w:trPr>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0" w:type="dxa"/>
            <w:vAlign w:val="bottom"/>
          </w:tcPr>
          <w:p>
            <w:pPr>
              <w:spacing w:after="0"/>
              <w:rPr>
                <w:sz w:val="1"/>
                <w:szCs w:val="1"/>
                <w:color w:val="auto"/>
              </w:rPr>
            </w:pPr>
          </w:p>
        </w:tc>
      </w:tr>
      <w:tr>
        <w:trPr>
          <w:trHeight w:val="191"/>
        </w:trPr>
        <w:tc>
          <w:tcPr>
            <w:tcW w:w="7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
        </w:trPr>
        <w:tc>
          <w:tcPr>
            <w:tcW w:w="7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(Continued from the previous page)</w:t>
            </w:r>
          </w:p>
        </w:tc>
        <w:tc>
          <w:tcPr>
            <w:tcW w:w="360" w:type="dxa"/>
            <w:vAlign w:val="bottom"/>
          </w:tcPr>
          <w:p>
            <w:pPr>
              <w:spacing w:after="0"/>
              <w:rPr>
                <w:sz w:val="16"/>
                <w:szCs w:val="16"/>
                <w:color w:val="auto"/>
              </w:rPr>
            </w:pPr>
          </w:p>
        </w:tc>
        <w:tc>
          <w:tcPr>
            <w:tcW w:w="3820" w:type="dxa"/>
            <w:vAlign w:val="bottom"/>
            <w:gridSpan w:val="4"/>
          </w:tcPr>
          <w:p>
            <w:pPr>
              <w:jc w:val="right"/>
              <w:ind w:right="120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2"/>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40" w:type="dxa"/>
            <w:vAlign w:val="bottom"/>
          </w:tcPr>
          <w:p>
            <w:pPr>
              <w:spacing w:after="0"/>
              <w:rPr>
                <w:sz w:val="15"/>
                <w:szCs w:val="15"/>
                <w:color w:val="auto"/>
              </w:rPr>
            </w:pPr>
          </w:p>
        </w:tc>
        <w:tc>
          <w:tcPr>
            <w:tcW w:w="170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payment for acquisition of TWMH and TIG historical equity</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Receipt of payments of notes receivable from members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receipts from the repayment of advances and loans</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(15,435)</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payment for delayed share purchase agreement</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Payout Right</w:t>
            </w:r>
          </w:p>
        </w:tc>
        <w:tc>
          <w:tcPr>
            <w:tcW w:w="3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of ALWP, net of cash acquired</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(14,430)</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East End Advisors, LLC, net of cash acquired</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of Pointwise Holdings Limited, net of cash acquired</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of investments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FOS</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LXi REIT Advisors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(128,548)</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preferred stock and warrants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Member contribution (distribution)</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on term notes and lines of credit</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(141,950)</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Borrowings on term notes and lines of credit</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188,660</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 payments related to vesting of RSUs</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payments on behalf of umbrella partners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Increase (decrease) in distributions due to former TIG members</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payment for purchase of shares to be transferred as part of Alvarium share compensation</w:t>
            </w:r>
          </w:p>
        </w:tc>
        <w:tc>
          <w:tcPr>
            <w:tcW w:w="3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receipts from exercise of Warrants</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preferred stock issuance costs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payment of earn-in liability</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112,225</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29,672</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0" w:type="dxa"/>
            <w:vAlign w:val="bottom"/>
          </w:tcPr>
          <w:p>
            <w:pPr>
              <w:spacing w:after="0"/>
              <w:rPr>
                <w:sz w:val="1"/>
                <w:szCs w:val="1"/>
                <w:color w:val="auto"/>
              </w:rPr>
            </w:pPr>
          </w:p>
        </w:tc>
      </w:tr>
      <w:tr>
        <w:trPr>
          <w:trHeight w:val="18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3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41,738</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(166,932)</w:t>
            </w:r>
          </w:p>
        </w:tc>
        <w:tc>
          <w:tcPr>
            <w:tcW w:w="0" w:type="dxa"/>
            <w:vAlign w:val="bottom"/>
          </w:tcPr>
          <w:p>
            <w:pPr>
              <w:spacing w:after="0"/>
              <w:rPr>
                <w:sz w:val="1"/>
                <w:szCs w:val="1"/>
                <w:color w:val="auto"/>
              </w:rPr>
            </w:pPr>
          </w:p>
        </w:tc>
      </w:tr>
      <w:tr>
        <w:trPr>
          <w:trHeight w:val="22"/>
        </w:trPr>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3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194,037</w:t>
            </w: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59,984</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balance sheet cash and cash equivalents to cash flows:</w:t>
            </w: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on balance sheet</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24,106</w:t>
            </w: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included in Assets held for sale (Note 3)</w:t>
            </w:r>
          </w:p>
        </w:tc>
        <w:tc>
          <w:tcPr>
            <w:tcW w:w="360" w:type="dxa"/>
            <w:vAlign w:val="bottom"/>
          </w:tcPr>
          <w:p>
            <w:pPr>
              <w:spacing w:after="0"/>
              <w:rPr>
                <w:sz w:val="16"/>
                <w:szCs w:val="16"/>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including cash in Assets held for sale</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w:t>
            </w:r>
          </w:p>
        </w:tc>
        <w:tc>
          <w:tcPr>
            <w:tcW w:w="0" w:type="dxa"/>
            <w:vAlign w:val="bottom"/>
          </w:tcPr>
          <w:p>
            <w:pPr>
              <w:spacing w:after="0"/>
              <w:rPr>
                <w:sz w:val="1"/>
                <w:szCs w:val="1"/>
                <w:color w:val="auto"/>
              </w:rPr>
            </w:pPr>
          </w:p>
        </w:tc>
      </w:tr>
      <w:tr>
        <w:trPr>
          <w:trHeight w:val="170"/>
        </w:trPr>
        <w:tc>
          <w:tcPr>
            <w:tcW w:w="7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w:t>
            </w:r>
          </w:p>
        </w:tc>
        <w:tc>
          <w:tcPr>
            <w:tcW w:w="3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191"/>
        </w:trPr>
        <w:tc>
          <w:tcPr>
            <w:tcW w:w="71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payments on term notes and lines of credit</w:t>
            </w:r>
          </w:p>
        </w:tc>
        <w:tc>
          <w:tcPr>
            <w:tcW w:w="3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4,086</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hanging="375"/>
        <w:spacing w:after="0"/>
        <w:tabs>
          <w:tab w:leader="none" w:pos="3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the Business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AlTi Global, Inc. is a global wealth management firm, with a diverse array of investment, advisory, and administrative capabilities. The Company manages or advises approximately $71.9 billion in combined assets as of June 30, 2024.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was initially incorporated in the Cayman Islands as Cartesian Growth Capital, a special purpose acquisition company. In anticipation of the Business Combination:</w:t>
      </w:r>
    </w:p>
    <w:p>
      <w:pPr>
        <w:spacing w:after="0" w:line="221"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the equity of the TIG Entities contributed their TWMH and TIG equity to Umbrella making TWMH and the TIG wholly owned subsidiaries of Umbrella.</w:t>
      </w:r>
    </w:p>
    <w:p>
      <w:pPr>
        <w:spacing w:after="0" w:line="23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Alvarium reorganized such that it became the wholly owned indirect subsidiary of AlTi Global Topco.</w:t>
      </w:r>
    </w:p>
    <w:p>
      <w:pPr>
        <w:spacing w:after="0" w:line="18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Cartesian SPAC formed Umbrella Merger Sub.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Business Combination on January 3, 2023:</w:t>
      </w:r>
    </w:p>
    <w:p>
      <w:pPr>
        <w:spacing w:after="0" w:line="187" w:lineRule="exact"/>
        <w:rPr>
          <w:sz w:val="20"/>
          <w:szCs w:val="20"/>
          <w:color w:val="auto"/>
        </w:rPr>
      </w:pPr>
    </w:p>
    <w:p>
      <w:pPr>
        <w:ind w:left="520" w:hanging="260"/>
        <w:spacing w:after="0" w:line="259" w:lineRule="auto"/>
        <w:tabs>
          <w:tab w:leader="none" w:pos="5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was redomiciled as a Delaware corporation and changed its name to Alvarium Tiedemann Holdings, Inc. Effective April 19, 2023, Alvarium Tiedemann Holdings, Inc. changed its name to AlTi Global, Inc.</w:t>
      </w:r>
    </w:p>
    <w:p>
      <w:pPr>
        <w:spacing w:after="0" w:line="9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acquired all the outstanding share capital of AlTi Global Topco.</w:t>
      </w:r>
    </w:p>
    <w:p>
      <w:pPr>
        <w:spacing w:after="0" w:line="197"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Umbrella Merger Sub, LLC merged into Umbrella with AlTi Global Capital, LLC, formerly known as Alvarium Tiedemann Capital, LLC, as the surviving entity.</w:t>
      </w:r>
    </w:p>
    <w:p>
      <w:pPr>
        <w:spacing w:after="0" w:line="197" w:lineRule="exact"/>
        <w:rPr>
          <w:rFonts w:ascii="Times New Roman" w:cs="Times New Roman" w:eastAsia="Times New Roman" w:hAnsi="Times New Roman"/>
          <w:sz w:val="16"/>
          <w:szCs w:val="16"/>
          <w:color w:val="auto"/>
        </w:rPr>
      </w:pPr>
    </w:p>
    <w:p>
      <w:pPr>
        <w:ind w:left="520" w:hanging="260"/>
        <w:spacing w:after="0" w:line="259" w:lineRule="auto"/>
        <w:tabs>
          <w:tab w:leader="none" w:pos="51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acquired 51% of the equity interests of Umbrella, while the existing TWMH and TIG rollover shareholders hold a 49% economic interest in Umbrella. Umbrella holds 100% of the equity interests of TWMH, TIG, and Alvarium.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series of intercompany transactions, AlTi was restructured to reflect the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4608195" cy="3456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0819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i w:val="1"/>
          <w:iCs w:val="1"/>
          <w:color w:val="auto"/>
        </w:rPr>
        <w:t>Capital Structure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has the following classes of shares and other instruments outstanding:</w:t>
      </w:r>
    </w:p>
    <w:p>
      <w:pPr>
        <w:spacing w:after="0" w:line="145" w:lineRule="exact"/>
        <w:rPr>
          <w:sz w:val="20"/>
          <w:szCs w:val="20"/>
          <w:color w:val="auto"/>
        </w:rPr>
      </w:pPr>
    </w:p>
    <w:p>
      <w:pPr>
        <w:jc w:val="both"/>
        <w:ind w:left="520" w:hanging="260"/>
        <w:spacing w:after="0" w:line="254" w:lineRule="auto"/>
        <w:tabs>
          <w:tab w:leader="none" w:pos="5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 Shares of Class A Common Stock that are publicly traded. Class A shareholders are entitled to dividends on shares of Class A Common Stock declared by the Company’s board of directors. As of June 30, 2024, the shares of Class A Common Stock represent 55.6% of the total voting power of all shares of Common Stock.</w:t>
      </w:r>
    </w:p>
    <w:p>
      <w:pPr>
        <w:spacing w:after="0" w:line="116" w:lineRule="exact"/>
        <w:rPr>
          <w:rFonts w:ascii="Times New Roman" w:cs="Times New Roman" w:eastAsia="Times New Roman" w:hAnsi="Times New Roman"/>
          <w:sz w:val="16"/>
          <w:szCs w:val="16"/>
          <w:color w:val="auto"/>
        </w:rPr>
      </w:pPr>
    </w:p>
    <w:p>
      <w:pPr>
        <w:jc w:val="both"/>
        <w:ind w:left="520" w:hanging="260"/>
        <w:spacing w:after="0" w:line="254" w:lineRule="auto"/>
        <w:tabs>
          <w:tab w:leader="none" w:pos="5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Common Stock – Shares of Class B Common Stock that are not publicly traded. Class B shareholders are entitled to distributions declared by the Company’s board of directors. The distributions are paid by Umbrella. As of June 30, 2024, the shares of Class B Common Stock represent 36.9% of the total voting power of all shares of Common Stock.</w:t>
      </w:r>
    </w:p>
    <w:p>
      <w:pPr>
        <w:spacing w:after="0" w:line="169" w:lineRule="exact"/>
        <w:rPr>
          <w:rFonts w:ascii="Times New Roman" w:cs="Times New Roman" w:eastAsia="Times New Roman" w:hAnsi="Times New Roman"/>
          <w:sz w:val="16"/>
          <w:szCs w:val="16"/>
          <w:color w:val="auto"/>
        </w:rPr>
      </w:pPr>
    </w:p>
    <w:p>
      <w:pPr>
        <w:jc w:val="both"/>
        <w:ind w:left="520" w:hanging="260"/>
        <w:spacing w:after="0" w:line="235" w:lineRule="auto"/>
        <w:tabs>
          <w:tab w:leader="none" w:pos="51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2023 to June 30, 2023 resulted in an increase in Additional paid-in-capital amount of $29.5 million. As of June 30, 2024, none of such Warrants were outstanding.</w:t>
      </w:r>
    </w:p>
    <w:p>
      <w:pPr>
        <w:spacing w:after="0" w:line="177" w:lineRule="exact"/>
        <w:rPr>
          <w:sz w:val="20"/>
          <w:szCs w:val="20"/>
          <w:color w:val="auto"/>
        </w:rPr>
      </w:pPr>
    </w:p>
    <w:p>
      <w:pPr>
        <w:jc w:val="both"/>
        <w:ind w:left="520" w:hanging="260"/>
        <w:spacing w:after="0" w:line="248" w:lineRule="auto"/>
        <w:tabs>
          <w:tab w:leader="none" w:pos="5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C Cumulative Convertible Preferred Stock (the “Series C Preferred Stock”) – Shares of Series C Preferred Stock that are not publicly traded and issued in connection with the sale (the “Transaction”) to CWC AlTi Investor LLC, an affiliate of Constellation Wealth Capital, LLC (“Constellation”) (combined with the Transaction, the “Constellation Transaction”). The Series C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a payment in kind increase in the stated value of the issued shares of Series C Preferred Stock or in cash. The Series C Preferred Stock will also participate with any dividends or distributions declared on the Class A Common Stock. As of June 30, 2024, the shares of Series C Preferred Stock represent 7.5% of the total voting power of all shares.</w:t>
      </w:r>
    </w:p>
    <w:p>
      <w:pPr>
        <w:spacing w:after="0" w:line="166" w:lineRule="exact"/>
        <w:rPr>
          <w:rFonts w:ascii="Times New Roman" w:cs="Times New Roman" w:eastAsia="Times New Roman" w:hAnsi="Times New Roman"/>
          <w:sz w:val="16"/>
          <w:szCs w:val="16"/>
          <w:color w:val="auto"/>
        </w:rPr>
      </w:pPr>
    </w:p>
    <w:p>
      <w:pPr>
        <w:jc w:val="both"/>
        <w:ind w:left="520" w:hanging="260"/>
        <w:spacing w:after="0" w:line="254" w:lineRule="auto"/>
        <w:tabs>
          <w:tab w:leader="none" w:pos="51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Constellation Transaction, the Company issued warrants (the “Constellation Warrants”) to purchase 2,000,000 shares of the Company’s Class A Common Stock at an exercise price of $7.40 per share. These warrants have been classified as a liability as of June 30, 2024. No Constellation Warrants were exercised during the current reporting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number of shares of the Registrant that were outstanding as of June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1560" w:type="dxa"/>
            <w:vAlign w:val="bottom"/>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82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67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72,167,195</w:t>
            </w:r>
          </w:p>
        </w:tc>
        <w:tc>
          <w:tcPr>
            <w:tcW w:w="8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65,110,875</w:t>
            </w:r>
          </w:p>
        </w:tc>
      </w:tr>
      <w:tr>
        <w:trPr>
          <w:trHeight w:val="191"/>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47,978,953</w:t>
            </w:r>
          </w:p>
        </w:tc>
        <w:tc>
          <w:tcPr>
            <w:tcW w:w="80" w:type="dxa"/>
            <w:vAlign w:val="bottom"/>
          </w:tcPr>
          <w:p>
            <w:pPr>
              <w:spacing w:after="0"/>
              <w:rPr>
                <w:sz w:val="16"/>
                <w:szCs w:val="16"/>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53,219,713</w:t>
            </w:r>
          </w:p>
        </w:tc>
      </w:tr>
      <w:tr>
        <w:trPr>
          <w:trHeight w:val="22"/>
        </w:trPr>
        <w:tc>
          <w:tcPr>
            <w:tcW w:w="6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1"/>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shd w:val="clear" w:color="auto" w:fill="CCEEFF"/>
          </w:tcPr>
          <w:p>
            <w:pPr>
              <w:spacing w:after="0"/>
              <w:rPr>
                <w:sz w:val="16"/>
                <w:szCs w:val="16"/>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7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Our business is organized into two operating segments: Wealth Management and Strategic Alternatives. Described below are the segments and the revenue generated by each, which broadly fall into three categories: recurring management, advisory, or administration fees; performance or incentive fees; and transaction fees. Subsequent to June 30, 2024, management has commenced a strategic review of certain businesses within the currently defined Strategic Alternatives segment. This review, which is expected to be completed by the end of the third quarter of 2024, will consider, among other things, potential changes to our legal entity structure as well as the components included within the operating segments outlined below. Refer to Note 21 (Subsequent Events) for further details.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Wealth Management</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Within our Wealth Management segment, services provided principally consist of investment management and advisory services, trusts and administrative services, and family office services. The wealth management client base includes high-net-worth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AUM or AUA (as applicable). As of June 30, 2024 and December 31, 2023, this segment had $55.9 billion and $51.0 billion, respectively, in AUA.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Management and Advisory Services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our investment management and advisory services teams, we diversify our clients’ portfolios across risk factors, geographies, traditional asset classes such as money markets, equities and fixed income, and alternative asset classes including private equity, private debt, hedge funds, real estate, and other assets through highly experienced third-party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Trusts and Administration Services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trust and administration services that we provide include entity formation and management, creating or modifying trust instruments and/or administrative practices to meet beneficiary needs, full corporate, trustee-executor, and fiduciary services. We also offer a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Strategic Alternatives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Strategic alternatives services include the alternatives platform and public and private real estate (including co-investment) businesses.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The alternatives platform embodies our legacy TIG business, which is an alternative asset manager and includes our TIG Arbitrage strategy and funds managed by our External Strategic Managers, predominantly for institutional investors. The TIG Arbitrage strategy is an event-driven strategy fund that earns management fees and incentive fees based on the performance of its underlying funds and accounts. </w:t>
      </w:r>
      <w:r>
        <w:rPr>
          <w:rFonts w:ascii="Times New Roman" w:cs="Times New Roman" w:eastAsia="Times New Roman" w:hAnsi="Times New Roman"/>
          <w:sz w:val="16"/>
          <w:szCs w:val="16"/>
          <w:color w:val="231F20"/>
        </w:rPr>
        <w:t>The investment strategies of the External Strategic Managers include Real Estate Bridge Lending, European Equities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Asian Credit and Special Situations. Distributions are received from the External Strategic Managers through profit or revenue sharing arrangements that are generated through management and incentive fees based on the performance of the underlying investments. </w:t>
      </w:r>
      <w:r>
        <w:rPr>
          <w:rFonts w:ascii="Times New Roman" w:cs="Times New Roman" w:eastAsia="Times New Roman" w:hAnsi="Times New Roman"/>
          <w:sz w:val="16"/>
          <w:szCs w:val="16"/>
          <w:color w:val="000000"/>
        </w:rPr>
        <w:t>As of June 30, 2024 and December 31, 2023, this platform had $7.3 billion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$7.6 billion, respectively, in AUA.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 Management</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Fees from our real estate fund management business are earned from management and advisory services. As of June 30, 2024 and December 31, 2023, this business had approximately $8.6 billion and $12.7 billion, respectively, in AUA.</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Prior to the first quarter of 2024, our real estate fund management business managed two funds based in the United Kingdom, LXi, a publicly traded real estate investment trust, and HLIF, a private fund. As described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further below, during 2024 we exited the management of the publicly traded real estate fund and we are in the process of exiting the management of the private real estate fund.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January 9, 2024, AlTi RE Public Markets Limited entered into heads of terms to sell 100% of the equity of LXi REIT Advisors Limited (“LRA”), the advisor to the publicly-traded fund LXi REIT plc (“LXi”), to LondonMetric Property Plc (“LondonMetric”) for fixed consideration of approximately $33.1 million and up to an estimated $5.1 million of</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June 30, 2024. This contingent consideration will be remeasured at fair</w:t>
      </w:r>
    </w:p>
    <w:p>
      <w:pPr>
        <w:jc w:val="both"/>
        <w:spacing w:after="0" w:line="231" w:lineRule="auto"/>
        <w:rPr>
          <w:sz w:val="20"/>
          <w:szCs w:val="20"/>
          <w:color w:val="auto"/>
        </w:rPr>
      </w:pPr>
      <w:r>
        <w:rPr>
          <w:rFonts w:ascii="Times New Roman" w:cs="Times New Roman" w:eastAsia="Times New Roman" w:hAnsi="Times New Roman"/>
          <w:sz w:val="16"/>
          <w:szCs w:val="16"/>
          <w:color w:val="auto"/>
        </w:rPr>
        <w:t xml:space="preserve">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the Condensed Consolidated Statement of Operations in the period of change.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disposal was completed on March 6, 2024. As a result, the Company recognized an intangible asset impairment charge of $23.5 million, which is recorded in Impairment loss on goodwill and intangible assets in the Consolidated Statement of Operations during the year ended December 31, 2023. In addition, as of December 31, 2023, the major classes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of LRA were presented as held for sale in the Consolidated Statement of Financial Position. As of the six months ended June 30, 2024, there was no gain on</w:t>
      </w:r>
    </w:p>
    <w:p>
      <w:pPr>
        <w:spacing w:after="0" w:line="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disposal recognized in Gain (loss) on investments in the Condensed Consolidated Statement of Operations. See Note 3 (Business Combinations and Divestitures) for further information.</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February 26, 2024, AFM UK and SHIA served notice to terminate their contracts with HLIF. We are in discussions with a third-party manager to take over the management of HLIF and termination of these contracts will become effective once the transition process has been completed.</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Subsequent to the end of the second quarter of 2024, management has commenced a strategic review of the business plan for Real Estate Co-investment and Fund Management activities. This review will consider, among other things, potential changes to our legal entity structure as well as the components included within our operating segments. Refer to Note 21 (Subsequent Events) for further details.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Alvarium Home REIT Advisors Limited</w:t>
      </w:r>
    </w:p>
    <w:p>
      <w:pPr>
        <w:spacing w:after="0" w:line="1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Prior to the Business Combination, ARE, an indirect wholly owned subsidiary of Alvarium, entered into an agreement to sell 100% of the equity of AHRA, the investment advisor to the publicly-traded fund Home REIT, to a newly formed entity (“NewCo”) owned by the management of AHRA, for aggregate consideration approximately equal to $29 million. Consequently, AHRA has never been part of AlTi. The consideration was comprised of a promissory note that matured on December 31, 2023. Additionally, ARE was granted a call option pursuant to which ARE had the right to repurchase AHRA prior to the repayment of the note for a purchase price equal to the note balance then outstanding thereunder.</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Subsidiaries are companies over which a company has the power indirectly and/or directly to control the financial and operating policies so as to obtain benefits. In assessing control for accounting purposes, potential voting rights that are presently exercisable or convertible (including rights that may arise on the exercise of an option) are taken into account. With respect to the AHRA, the above arrangements resulted in AHRA continuing to be consolidated by AlTi after its legal disposal to NewCo. Due to this consolidation, after the Business Combination, an intangible asset was recognized related to the investment advisory agreement between AHRA and Home REIT.</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AlTi was formed on January 3, 2023, through a business combination transaction that included certain legacy Alvarium companies. While the sale of AHRA occurred prior to the Business Combination, under GAAP, its results were required to be consolidated in our financial statements until June 30, 2023, when it was deconsolidated. 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1, 2023 to June 30, 2023, and it was removed from the Consolidated Statement of Financial Position as of June 30, 2023. The deconsolidation resulted in an intangible asset impairment charge of $29.4 million, which was recorded in Impairment loss on goodwill and intangible assets in the Condensed Consolidated Statement of Operations during the year ended December 31, 2023. Assets managed by AHRA, however, have been excluded from the Company’s AUM/AUA metrics since January 1, 2023.</w:t>
      </w:r>
    </w:p>
    <w:p>
      <w:pPr>
        <w:spacing w:after="0" w:line="200" w:lineRule="exact"/>
        <w:rPr>
          <w:sz w:val="20"/>
          <w:szCs w:val="20"/>
          <w:color w:val="auto"/>
        </w:rPr>
      </w:pPr>
    </w:p>
    <w:p>
      <w:pPr>
        <w:spacing w:after="0" w:line="213" w:lineRule="exact"/>
        <w:rPr>
          <w:sz w:val="20"/>
          <w:szCs w:val="20"/>
          <w:color w:val="auto"/>
        </w:rPr>
      </w:pPr>
    </w:p>
    <w:p>
      <w:pPr>
        <w:ind w:left="380" w:hanging="375"/>
        <w:spacing w:after="0"/>
        <w:tabs>
          <w:tab w:leader="none" w:pos="3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44" w:lineRule="exact"/>
        <w:rPr>
          <w:rFonts w:ascii="Times New Roman" w:cs="Times New Roman" w:eastAsia="Times New Roman" w:hAnsi="Times New Roman"/>
          <w:sz w:val="16"/>
          <w:szCs w:val="16"/>
          <w:b w:val="1"/>
          <w:bCs w:val="1"/>
          <w:color w:val="auto"/>
        </w:rPr>
      </w:pPr>
    </w:p>
    <w:p>
      <w:pPr>
        <w:ind w:left="760" w:hanging="373"/>
        <w:spacing w:after="0"/>
        <w:tabs>
          <w:tab w:leader="none" w:pos="760" w:val="left"/>
        </w:tabs>
        <w:numPr>
          <w:ilvl w:val="1"/>
          <w:numId w:val="1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200"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comprise the financial statements of the Company and its subsidiaries. These condensed consolidated financial statements have been prepared under the accrual basis of accounting in accordance with U.S. GAAP and conform to prevailing practices within the financial services industry, as applicable to the Company, and should be read in conjunction with the annual financial statements included in the Annual Report on Form 10-K filed by the Company on March 22, 2024 (as amended by the Company on Form 10-K/A filed with the SEC on April 5, 2024, the “Annual Report”).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spacing w:after="0" w:line="159"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16"/>
          <w:szCs w:val="16"/>
          <w:color w:val="auto"/>
        </w:rPr>
        <w:t>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w:t>
      </w:r>
    </w:p>
    <w:p>
      <w:pPr>
        <w:spacing w:after="0" w:line="114" w:lineRule="exact"/>
        <w:rPr>
          <w:sz w:val="20"/>
          <w:szCs w:val="20"/>
          <w:color w:val="auto"/>
        </w:rPr>
      </w:pPr>
    </w:p>
    <w:p>
      <w:pPr>
        <w:ind w:left="760" w:hanging="373"/>
        <w:spacing w:after="0"/>
        <w:tabs>
          <w:tab w:leader="none" w:pos="760" w:val="left"/>
        </w:tabs>
        <w:numPr>
          <w:ilvl w:val="0"/>
          <w:numId w:val="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Prior Period Immaterial Corrections</w:t>
      </w:r>
    </w:p>
    <w:p>
      <w:pPr>
        <w:spacing w:after="0" w:line="187"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16"/>
          <w:szCs w:val="16"/>
          <w:color w:val="auto"/>
        </w:rPr>
        <w:t xml:space="preserve">Following an analysis of quantitative and qualitative factors in accordance with SEC Staff Accounting Bulletin 99, </w:t>
      </w:r>
      <w:r>
        <w:rPr>
          <w:rFonts w:ascii="Times New Roman" w:cs="Times New Roman" w:eastAsia="Times New Roman" w:hAnsi="Times New Roman"/>
          <w:sz w:val="16"/>
          <w:szCs w:val="16"/>
          <w:i w:val="1"/>
          <w:iCs w:val="1"/>
          <w:color w:val="auto"/>
        </w:rPr>
        <w:t>Materiality</w:t>
      </w:r>
      <w:r>
        <w:rPr>
          <w:rFonts w:ascii="Times New Roman" w:cs="Times New Roman" w:eastAsia="Times New Roman" w:hAnsi="Times New Roman"/>
          <w:sz w:val="16"/>
          <w:szCs w:val="16"/>
          <w:color w:val="auto"/>
        </w:rPr>
        <w:t>, the Company concluded that the errors below were immaterial to the previously issued consolidated financial statements, and thus, no restatement of any of the Company’s previously issued financial statements is necessary. The Company revised the reported balances to correct for the immaterial errors accordingly.</w:t>
      </w:r>
    </w:p>
    <w:p>
      <w:pPr>
        <w:spacing w:after="0" w:line="169" w:lineRule="exact"/>
        <w:rPr>
          <w:sz w:val="20"/>
          <w:szCs w:val="20"/>
          <w:color w:val="auto"/>
        </w:rPr>
      </w:pPr>
    </w:p>
    <w:p>
      <w:pPr>
        <w:jc w:val="both"/>
        <w:ind w:left="380"/>
        <w:spacing w:after="0" w:line="226" w:lineRule="auto"/>
        <w:rPr>
          <w:sz w:val="20"/>
          <w:szCs w:val="20"/>
          <w:color w:val="auto"/>
        </w:rPr>
      </w:pPr>
      <w:r>
        <w:rPr>
          <w:rFonts w:ascii="Times New Roman" w:cs="Times New Roman" w:eastAsia="Times New Roman" w:hAnsi="Times New Roman"/>
          <w:sz w:val="16"/>
          <w:szCs w:val="16"/>
          <w:color w:val="auto"/>
        </w:rPr>
        <w:t>During the first quarter of 2024, the Company identified and corrected immaterial errors impacting the December 31, 2023 balances previously reported related to Accrued compensation and profit sharing, Goodwill, Accounts payable and accrued expenses and certain other balances reported within Other liabilities. These revisions resulted in an adjustment to the opening retained earnings balance for the current reporting period of $(3.0) million, a $4.2 million increase in Accrued compensation and profit sharing, a $0.3 million decrease in Goodwill, a $0.6 million increase in Other liabilities, and a $0.3 million increase in Accounts payable and accrued expenses. In conjunction with the prior period immaterial error correction, certain reclassifications have been made to prior period amounts between our Non-controlling interest in subsidiaries and Additional paid-in capital which relate to the TRA Exchange of our Class B Units for shares of Class A Common Stock. These reclassifications resulted in an adjustment of $13.3 million and are reflected in our Condensed Consolidated Statement of Changes in Mezzanine Equity and Shareholders’ Equity. These prior period reclassifications have no impact on the Company’s cash flows, net income, or total shareholders’ equity.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21" w:name="page22"/>
    <w:bookmarkEnd w:id="21"/>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Additionally, in the current reporting period, the Company reclassified the balances in its Condensed Consolidated Statement of Operations as of June 30, 2023 of the previously reported amounts for the line items Management/advisory fees and Professional fees, decreasing both balances by $0.6 million.</w:t>
      </w:r>
    </w:p>
    <w:p>
      <w:pPr>
        <w:spacing w:after="0" w:line="153" w:lineRule="exact"/>
        <w:rPr>
          <w:sz w:val="20"/>
          <w:szCs w:val="20"/>
          <w:color w:val="auto"/>
        </w:rPr>
      </w:pPr>
    </w:p>
    <w:p>
      <w:pPr>
        <w:ind w:left="380" w:hanging="373"/>
        <w:spacing w:after="0"/>
        <w:tabs>
          <w:tab w:leader="none" w:pos="380" w:val="left"/>
        </w:tabs>
        <w:numPr>
          <w:ilvl w:val="0"/>
          <w:numId w:val="1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Reclassifications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Certain amounts as of June 30, 2024 have been reclassified in our Condensed Consolidated Financial Position due to presentation changes that occurred during the current period and are not comparable to the year ended December 31, 2023. The impact of these reclassifications includes a $4.8 million reclass from Accounts payable and accrued expenses to Accrued compensation and profit sharing and a $3.2 million reclass from Other liabilities to Accrued compensation and profit sharing.</w:t>
      </w:r>
    </w:p>
    <w:p>
      <w:pPr>
        <w:spacing w:after="0" w:line="158" w:lineRule="exact"/>
        <w:rPr>
          <w:sz w:val="20"/>
          <w:szCs w:val="20"/>
          <w:color w:val="auto"/>
        </w:rPr>
      </w:pPr>
    </w:p>
    <w:p>
      <w:pPr>
        <w:ind w:left="380" w:hanging="373"/>
        <w:spacing w:after="0"/>
        <w:tabs>
          <w:tab w:leader="none" w:pos="380" w:val="left"/>
        </w:tabs>
        <w:numPr>
          <w:ilvl w:val="0"/>
          <w:numId w:val="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 of Estimates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spacing w:after="0" w:line="278" w:lineRule="exact"/>
        <w:rPr>
          <w:sz w:val="20"/>
          <w:szCs w:val="20"/>
          <w:color w:val="auto"/>
        </w:rPr>
      </w:pPr>
    </w:p>
    <w:p>
      <w:pPr>
        <w:ind w:left="380" w:hanging="373"/>
        <w:spacing w:after="0"/>
        <w:tabs>
          <w:tab w:leader="none" w:pos="380" w:val="left"/>
        </w:tabs>
        <w:numPr>
          <w:ilvl w:val="0"/>
          <w:numId w:val="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Consolidation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Fees that are customary and commensurate with the level of services provided by the Company, and where the Company does not hold other economic interests in the entity that would absorb more than an</w:t>
      </w: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2" w:name="page23"/>
    <w:bookmarkEnd w:id="22"/>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25"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spacing w:after="0" w:line="65" w:lineRule="exact"/>
        <w:rPr>
          <w:sz w:val="20"/>
          <w:szCs w:val="20"/>
          <w:color w:val="auto"/>
        </w:rPr>
      </w:pPr>
    </w:p>
    <w:p>
      <w:pPr>
        <w:ind w:left="380" w:hanging="373"/>
        <w:spacing w:after="0"/>
        <w:tabs>
          <w:tab w:leader="none" w:pos="380" w:val="left"/>
        </w:tabs>
        <w:numPr>
          <w:ilvl w:val="0"/>
          <w:numId w:val="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36"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6"/>
          <w:szCs w:val="16"/>
          <w:color w:val="auto"/>
        </w:rPr>
        <w:t>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w:t>
      </w:r>
    </w:p>
    <w:p>
      <w:pPr>
        <w:spacing w:after="0" w:line="200" w:lineRule="exact"/>
        <w:rPr>
          <w:sz w:val="20"/>
          <w:szCs w:val="20"/>
          <w:color w:val="auto"/>
        </w:rPr>
      </w:pPr>
    </w:p>
    <w:p>
      <w:pPr>
        <w:spacing w:after="0" w:line="2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3" w:name="page24"/>
    <w:bookmarkEnd w:id="23"/>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control is transferred to the customer, and when collection of the revenue is assessed as probable.</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w:t>
      </w:r>
    </w:p>
    <w:p>
      <w:pPr>
        <w:spacing w:after="0" w:line="11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w:t>
      </w:r>
    </w:p>
    <w:p>
      <w:pPr>
        <w:spacing w:after="0" w:line="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Fees/Income</w:t>
      </w:r>
    </w:p>
    <w:p>
      <w:pPr>
        <w:spacing w:after="0" w:line="1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Company generates arrangement fees in its co-investment division by arranging private debt or equity financing, generally in connection with an acquisition or an investment. Arrangement fees are typically 50 to 100 basis points of equity value contributed to a transaction, and are payable upon closing of the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w:t>
      </w: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57785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1060" w:top="204" w:right="319" w:bottom="1440" w:gutter="0" w:footer="0" w:header="0"/>
        </w:sectPr>
      </w:pPr>
    </w:p>
    <w:bookmarkStart w:id="24" w:name="page25"/>
    <w:bookmarkEnd w:id="24"/>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other entity entitled to fees in respect of each of our co-investments receives such fees either monthly, quarterly or annually.</w:t>
      </w:r>
    </w:p>
    <w:p>
      <w:pPr>
        <w:spacing w:after="0" w:line="132" w:lineRule="exact"/>
        <w:rPr>
          <w:sz w:val="20"/>
          <w:szCs w:val="20"/>
          <w:color w:val="auto"/>
        </w:rPr>
      </w:pPr>
    </w:p>
    <w:p>
      <w:pPr>
        <w:ind w:left="380" w:hanging="373"/>
        <w:spacing w:after="0"/>
        <w:tabs>
          <w:tab w:leader="none" w:pos="380" w:val="left"/>
        </w:tabs>
        <w:numPr>
          <w:ilvl w:val="0"/>
          <w:numId w:val="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Distributions from Investments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spacing w:after="0" w:line="115" w:lineRule="exact"/>
        <w:rPr>
          <w:sz w:val="20"/>
          <w:szCs w:val="20"/>
          <w:color w:val="auto"/>
        </w:rPr>
      </w:pPr>
    </w:p>
    <w:p>
      <w:pPr>
        <w:ind w:left="380" w:hanging="373"/>
        <w:spacing w:after="0"/>
        <w:tabs>
          <w:tab w:leader="none" w:pos="380"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Cash and cash equivalents primarily consist of cash and money market funds. Cash balances maintained by consolidated VIEs are not considered legally restricted and are included in cash and cash equivalents on the Condensed Consolidated Statement of Financial Position.</w:t>
      </w:r>
    </w:p>
    <w:p>
      <w:pPr>
        <w:spacing w:after="0" w:line="1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Cash was held across our U.S. and international markets. A majority of cash in the U.S. was held in checking accounts within the credit facility bank group, including at a major global financial institution which management believes is creditworthy.</w:t>
      </w:r>
    </w:p>
    <w:p>
      <w:pPr>
        <w:spacing w:after="0" w:line="163" w:lineRule="exact"/>
        <w:rPr>
          <w:sz w:val="20"/>
          <w:szCs w:val="20"/>
          <w:color w:val="auto"/>
        </w:rPr>
      </w:pPr>
    </w:p>
    <w:p>
      <w:pPr>
        <w:ind w:left="380" w:hanging="373"/>
        <w:spacing w:after="0"/>
        <w:tabs>
          <w:tab w:leader="none" w:pos="380" w:val="left"/>
        </w:tabs>
        <w:numPr>
          <w:ilvl w:val="0"/>
          <w:numId w:val="2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Restricted Cash and Cash Equivalents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Restricted cash and cash equivalents consist of balances that are restricted as to withdrawal or usage.</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As of June 30, 2024 and December 31, 2023, restricted cash and cash equivalents amounted to $6.8 million and $5.4 million, respectively, and are included in the line item Cash and cash equivalents on the Condensed Consolidated Statement of Financial Position and Consolidated Statement of Financial Position, respectively. These amounts represent the level of liquidity to be maintained by the Company’s certain subsidiaries to meet regulatory requirements. Failing to meet the requirement could lead to censure, fines and ultimately a loss of license.</w:t>
      </w:r>
    </w:p>
    <w:p>
      <w:pPr>
        <w:spacing w:after="0" w:line="103" w:lineRule="exact"/>
        <w:rPr>
          <w:sz w:val="20"/>
          <w:szCs w:val="20"/>
          <w:color w:val="auto"/>
        </w:rPr>
      </w:pPr>
    </w:p>
    <w:p>
      <w:pPr>
        <w:ind w:left="380" w:hanging="373"/>
        <w:spacing w:after="0"/>
        <w:tabs>
          <w:tab w:leader="none" w:pos="38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Compensation and Employee Benefits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Cash-Based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and benefits consist of salaries, bonuses, commissions, benefits and payroll taxes. Compensation is accrued over the related service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Equity-Based Compensation</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benefits or expenses in the Condensed Consolidated Statement of Operations.</w:t>
      </w:r>
    </w:p>
    <w:p>
      <w:pPr>
        <w:spacing w:after="0" w:line="200" w:lineRule="exact"/>
        <w:rPr>
          <w:sz w:val="20"/>
          <w:szCs w:val="20"/>
          <w:color w:val="auto"/>
        </w:rPr>
      </w:pPr>
    </w:p>
    <w:p>
      <w:pPr>
        <w:spacing w:after="0" w:line="2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5" w:name="page26"/>
    <w:bookmarkEnd w:id="25"/>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0" w:hanging="373"/>
        <w:spacing w:after="0"/>
        <w:tabs>
          <w:tab w:leader="none" w:pos="380" w:val="left"/>
        </w:tabs>
        <w:numPr>
          <w:ilvl w:val="0"/>
          <w:numId w:val="2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Foreign Currency and Transactions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that the Company intends to repay in the foreseeable future are recorded in net income.</w:t>
      </w:r>
    </w:p>
    <w:p>
      <w:pPr>
        <w:spacing w:after="0" w:line="120" w:lineRule="exact"/>
        <w:rPr>
          <w:sz w:val="20"/>
          <w:szCs w:val="20"/>
          <w:color w:val="auto"/>
        </w:rPr>
      </w:pPr>
    </w:p>
    <w:p>
      <w:pPr>
        <w:ind w:left="380" w:hanging="373"/>
        <w:spacing w:after="0"/>
        <w:tabs>
          <w:tab w:leader="none" w:pos="38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Company accounts for income taxes under the asset and liability method in accordance with ASC 740.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8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(m)</w:t>
      </w:r>
      <w:r>
        <w:rPr>
          <w:sz w:val="20"/>
          <w:szCs w:val="20"/>
          <w:color w:val="auto"/>
        </w:rPr>
        <w:tab/>
      </w:r>
      <w:r>
        <w:rPr>
          <w:rFonts w:ascii="Times New Roman" w:cs="Times New Roman" w:eastAsia="Times New Roman" w:hAnsi="Times New Roman"/>
          <w:sz w:val="14"/>
          <w:szCs w:val="14"/>
          <w:b w:val="1"/>
          <w:bCs w:val="1"/>
          <w:i w:val="1"/>
          <w:iCs w:val="1"/>
          <w:color w:val="auto"/>
        </w:rPr>
        <w:t>Other Assets, Net and Other Liabilities, Net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Other assets, net include prepaid expenses, miscellaneous receivables, current income taxes receivable, fixed assets, and software licenses. The Company amortizes assets over their respective useful lives, as applicable.</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Other liabilities, net include the AlTi Wealth Management (Switzerland) SA, formerly known as Alvarium Investment Managers (Suisse) SA, (“AWMS”) deferred cash consideration (see Note 3 (Business Combinations and Divestitures)), accrued payroll and payroll related taxes, accrued legal fees, and corporate taxes payable, among other miscellaneous payables.</w:t>
      </w:r>
    </w:p>
    <w:p>
      <w:pPr>
        <w:spacing w:after="0" w:line="114" w:lineRule="exact"/>
        <w:rPr>
          <w:sz w:val="20"/>
          <w:szCs w:val="20"/>
          <w:color w:val="auto"/>
        </w:rPr>
      </w:pPr>
    </w:p>
    <w:p>
      <w:pPr>
        <w:ind w:left="380" w:hanging="373"/>
        <w:spacing w:after="0"/>
        <w:tabs>
          <w:tab w:leader="none" w:pos="380" w:val="left"/>
        </w:tabs>
        <w:numPr>
          <w:ilvl w:val="0"/>
          <w:numId w:val="2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Investments</w:t>
      </w:r>
    </w:p>
    <w:p>
      <w:pPr>
        <w:spacing w:after="0" w:line="18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Investments in Debt Securities. </w:t>
      </w:r>
      <w:r>
        <w:rPr>
          <w:rFonts w:ascii="Times New Roman" w:cs="Times New Roman" w:eastAsia="Times New Roman" w:hAnsi="Times New Roman"/>
          <w:sz w:val="16"/>
          <w:szCs w:val="16"/>
          <w:color w:val="auto"/>
        </w:rPr>
        <w:t>The Company classifies debt investments as held-to-maturity or trading based on the Company’s intent and ability to hold the debt security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maturity or its intent to sell the security. The Company does not have any held-to-maturity debt investments.</w:t>
      </w:r>
    </w:p>
    <w:p>
      <w:pPr>
        <w:spacing w:after="0" w:line="100"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Trading securities are those investments that are purchased principally for the purpose of selling them in the near term. Trading securities are carried at fair value on the Condensed Consolidated Statement of Financial Position with changes in fair value recorded in Loss on investments on the Condensed Consolidated Statement of Operations.</w:t>
      </w:r>
    </w:p>
    <w:p>
      <w:pPr>
        <w:spacing w:after="0" w:line="37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6" w:name="page27"/>
    <w:bookmarkEnd w:id="26"/>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Investments in Equity Securities</w:t>
      </w:r>
      <w:r>
        <w:rPr>
          <w:rFonts w:ascii="Times New Roman" w:cs="Times New Roman" w:eastAsia="Times New Roman" w:hAnsi="Times New Roman"/>
          <w:sz w:val="16"/>
          <w:szCs w:val="16"/>
          <w:color w:val="auto"/>
        </w:rPr>
        <w:t>. Equity securities are generally carried at fair value on the Condensed Consolidated Statement of Financial Position in accordance with ASC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i w:val="1"/>
          <w:iCs w:val="1"/>
          <w:color w:val="auto"/>
        </w:rPr>
        <w:t>Investments – Equity Securities</w:t>
      </w:r>
      <w:r>
        <w:rPr>
          <w:rFonts w:ascii="Times New Roman" w:cs="Times New Roman" w:eastAsia="Times New Roman" w:hAnsi="Times New Roman"/>
          <w:sz w:val="16"/>
          <w:szCs w:val="16"/>
          <w:color w:val="auto"/>
        </w:rPr>
        <w:t>. Changes in fair value are recorded in Loss on investments on the Condensed Consolidated Statement of Operations.</w:t>
      </w:r>
    </w:p>
    <w:p>
      <w:pPr>
        <w:spacing w:after="0" w:line="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i w:val="1"/>
          <w:iCs w:val="1"/>
          <w:color w:val="auto"/>
        </w:rPr>
        <w:t>Equity Method</w:t>
      </w:r>
      <w:r>
        <w:rPr>
          <w:rFonts w:ascii="Times New Roman" w:cs="Times New Roman" w:eastAsia="Times New Roman" w:hAnsi="Times New Roman"/>
          <w:sz w:val="16"/>
          <w:szCs w:val="16"/>
          <w:color w:val="auto"/>
        </w:rPr>
        <w:t>. The Company applies the equity method of accounting for equity investments where the Company does not consolidate the investee but can exert significant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spacing w:after="0" w:line="114" w:lineRule="exact"/>
        <w:rPr>
          <w:sz w:val="20"/>
          <w:szCs w:val="20"/>
          <w:color w:val="auto"/>
        </w:rPr>
      </w:pPr>
    </w:p>
    <w:p>
      <w:pPr>
        <w:ind w:left="380" w:hanging="373"/>
        <w:spacing w:after="0"/>
        <w:tabs>
          <w:tab w:leader="none" w:pos="380" w:val="left"/>
        </w:tabs>
        <w:numPr>
          <w:ilvl w:val="0"/>
          <w:numId w:val="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Leases</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w:t>
      </w:r>
    </w:p>
    <w:p>
      <w:pPr>
        <w:spacing w:after="0" w:line="200" w:lineRule="exact"/>
        <w:rPr>
          <w:sz w:val="20"/>
          <w:szCs w:val="20"/>
          <w:color w:val="auto"/>
        </w:rPr>
      </w:pPr>
    </w:p>
    <w:p>
      <w:pPr>
        <w:spacing w:after="0" w:line="21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7" w:name="page28"/>
    <w:bookmarkEnd w:id="27"/>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16" w:lineRule="exact"/>
        <w:rPr>
          <w:sz w:val="20"/>
          <w:szCs w:val="20"/>
          <w:color w:val="auto"/>
        </w:rPr>
      </w:pPr>
    </w:p>
    <w:p>
      <w:pPr>
        <w:ind w:left="380" w:hanging="373"/>
        <w:spacing w:after="0"/>
        <w:tabs>
          <w:tab w:leader="none" w:pos="38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Intangible Assets Other Than Goodwill, Net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three and six months ended June 30, 2024, the Company recognized intangible asset impairment charges of $0.7 million. As of December 31, 2023, the Company recognized intangible asset impairment charges of $52.9 million. See Note 10 (Intangible assets, net) for further detail.</w:t>
      </w:r>
    </w:p>
    <w:p>
      <w:pPr>
        <w:spacing w:after="0" w:line="110" w:lineRule="exact"/>
        <w:rPr>
          <w:sz w:val="20"/>
          <w:szCs w:val="20"/>
          <w:color w:val="auto"/>
        </w:rPr>
      </w:pPr>
    </w:p>
    <w:p>
      <w:pPr>
        <w:ind w:left="380" w:hanging="373"/>
        <w:spacing w:after="0"/>
        <w:tabs>
          <w:tab w:leader="none" w:pos="380" w:val="left"/>
        </w:tabs>
        <w:numPr>
          <w:ilvl w:val="0"/>
          <w:numId w:val="2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Goodwill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Goodwill represents the excess of the purchase price in a business combination over the fair value of the tangible and intangible assets acquired and the liabilities assumed.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Under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goodwill is not amortized, but rather is subject to an annual impairment test.</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8" w:name="page29"/>
    <w:bookmarkEnd w:id="28"/>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Goodwill represents the excess of consideration over identifiable net assets of an acquired business. Goodwill is allocated at a reporting unit level. The Company has two reporting units, Strategic Alternatives and Wealth Management, and tests goodwill annually for impairment at each reporting unit.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The Company concluded that the estimated fair value of the Strategic Alternatives and Wealth Management reporting units were greater than their carrying values, and as such, no impairment charges were required for the three and six months ended June 30, 2024. As of December 31, 2023, the Company recognized goodwill impairment charges of $153.9 million for the Strategic Alternatives segment and no goodwill impairment charges for the Wealth Management segment. See Note 13 (Goodwill, net).</w:t>
      </w:r>
    </w:p>
    <w:p>
      <w:pPr>
        <w:spacing w:after="0" w:line="126" w:lineRule="exact"/>
        <w:rPr>
          <w:sz w:val="20"/>
          <w:szCs w:val="20"/>
          <w:color w:val="auto"/>
        </w:rPr>
      </w:pPr>
    </w:p>
    <w:p>
      <w:pPr>
        <w:ind w:left="380" w:hanging="373"/>
        <w:spacing w:after="0"/>
        <w:tabs>
          <w:tab w:leader="none" w:pos="38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Fixed Assets, Net</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spacing w:after="0" w:line="119" w:lineRule="exact"/>
        <w:rPr>
          <w:sz w:val="20"/>
          <w:szCs w:val="20"/>
          <w:color w:val="auto"/>
        </w:rPr>
      </w:pPr>
    </w:p>
    <w:p>
      <w:pPr>
        <w:ind w:left="380" w:hanging="373"/>
        <w:spacing w:after="0"/>
        <w:tabs>
          <w:tab w:leader="none" w:pos="380"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Debt Obligations, Net</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Company’s debt obligations are recorded at amortized cost, net of any debt issuance costs, discounts and premiums. Debt issuances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w:t>
      </w:r>
    </w:p>
    <w:p>
      <w:pPr>
        <w:spacing w:after="0" w:line="116" w:lineRule="exact"/>
        <w:rPr>
          <w:sz w:val="20"/>
          <w:szCs w:val="20"/>
          <w:color w:val="auto"/>
        </w:rPr>
      </w:pPr>
    </w:p>
    <w:p>
      <w:pPr>
        <w:ind w:left="380" w:hanging="373"/>
        <w:spacing w:after="0"/>
        <w:tabs>
          <w:tab w:leader="none" w:pos="380" w:val="left"/>
        </w:tabs>
        <w:numPr>
          <w:ilvl w:val="0"/>
          <w:numId w:val="3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Condensed Consolidated Statement of Operations. Future exchanges of Class B Units for shares of Class A Common Stock may increase the TRA liability. Those increases will be carried at a value equal to the expected future payments due under the TRA. On August 31, 2023, holders of shares of Class B Common Stock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Common Stock exchanged 4,954,518 Class B Paired Interests with the Company, for shares of Class A Common Stock on a 1:1 basis totaling an amount equal to $6.61 multiplied by the total number of shares of Class B Common Stock exchanged at the time of the transaction. On May 14, 2024, holders of Class B Common Stock exchanged 286,242 Class B Paired Interests with the Company, for shares of Class A Common Stock on a 1:1 basis totaling an amount equal to $4.69 multiplied by the total number of shares of Class B Common Stock exchanged at the time of the</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29" w:name="page30"/>
    <w:bookmarkEnd w:id="29"/>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transaction. For future changes in the TRA balance due to exchanges, the Company will record an initial estimate of future payments under the TRA portion as an adjustment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spacing w:after="0" w:line="116" w:lineRule="exact"/>
        <w:rPr>
          <w:sz w:val="20"/>
          <w:szCs w:val="20"/>
          <w:color w:val="auto"/>
        </w:rPr>
      </w:pPr>
    </w:p>
    <w:p>
      <w:pPr>
        <w:ind w:left="380" w:hanging="373"/>
        <w:spacing w:after="0"/>
        <w:tabs>
          <w:tab w:leader="none" w:pos="380" w:val="left"/>
        </w:tabs>
        <w:numPr>
          <w:ilvl w:val="0"/>
          <w:numId w:val="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Warrant Liabilities</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 xml:space="preserve">The Company evaluated the Warrants issued in connection with the Business Combination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Measurement</w:t>
      </w:r>
      <w:r>
        <w:rPr>
          <w:rFonts w:ascii="Times New Roman" w:cs="Times New Roman" w:eastAsia="Times New Roman" w:hAnsi="Times New Roman"/>
          <w:sz w:val="16"/>
          <w:szCs w:val="16"/>
          <w:color w:val="auto"/>
        </w:rPr>
        <w:t>, with changes in fair value recognized in Loss on warrant liability in the Condensed Consolidated Statement of Operations in the period of change. Prior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 Combination the Sponsor held private warrants that were contributed to the Company and legally cancelled. The contribution and cancellation of these warrants resulted in derecognition of the private warrants and accounted for in Additional paid-in capital as of January 1, 2023. The Company subsequently issued new warrants with terms identical to those of the public warrants to the Target Companies’ selling shareholders classified as derivative liabilities. On June 7, 2023, the Company closed an offer and consent solicitation and entered into a warrant amendment, pursuant to which the remaining Warrants were exchanged. In total, the Warrants were exchanged for 4,962,221 shares of Class A Common Stock. See Note 1 (Description of the Business). Following the exchange, none of the Warrants remained outstanding as of December 31, 2023.</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 xml:space="preserve">On March 27, 2024 and May 15, 2024, the Company completed the initial and additional issuances of Constellation Warrants to purchase 1,533,333 shares and 466,667 shares, respectively, of the Company’s Class A Common Stock. The Company evaluated the Constellation Warrants in accordance with ASC 815-40 and determined that a provision in the agreement related to a change of control adjustment would preclude equity classification as the Constellation Warrants would no longer be a fixed-for-fixed option. The Constellation Warrants meet the definition of a derivative and are recorded as a derivative liability on the balance sheet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any changes in fair value to be recognized in the Consolidated Statement of Operations in the period of change. As of June 30, 2024, none of the Constellation Warrants have been exercised.</w:t>
      </w:r>
    </w:p>
    <w:p>
      <w:pPr>
        <w:spacing w:after="0" w:line="114" w:lineRule="exact"/>
        <w:rPr>
          <w:sz w:val="20"/>
          <w:szCs w:val="20"/>
          <w:color w:val="auto"/>
        </w:rPr>
      </w:pPr>
    </w:p>
    <w:p>
      <w:pPr>
        <w:ind w:left="380" w:hanging="373"/>
        <w:spacing w:after="0"/>
        <w:tabs>
          <w:tab w:leader="none" w:pos="38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The Business Combination Earn-out Securities, comprised of 3.3 million Class A Shares, 7.1 million shares of Class B Common Stock, and 7.1 million Class B Units (one Class B share and one Class B Unit comprising a Paired Interest, as described in Note 3 (Business Combinations and Divestitures)),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The</w:t>
      </w:r>
    </w:p>
    <w:p>
      <w:pPr>
        <w:spacing w:after="0" w:line="200" w:lineRule="exact"/>
        <w:rPr>
          <w:sz w:val="20"/>
          <w:szCs w:val="20"/>
          <w:color w:val="auto"/>
        </w:rPr>
      </w:pPr>
    </w:p>
    <w:p>
      <w:pPr>
        <w:spacing w:after="0" w:line="2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30" w:name="page31"/>
    <w:bookmarkEnd w:id="30"/>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0"/>
        <w:spacing w:after="0" w:line="233" w:lineRule="auto"/>
        <w:rPr>
          <w:sz w:val="20"/>
          <w:szCs w:val="20"/>
          <w:color w:val="auto"/>
        </w:rPr>
      </w:pPr>
      <w:r>
        <w:rPr>
          <w:rFonts w:ascii="Times New Roman" w:cs="Times New Roman" w:eastAsia="Times New Roman" w:hAnsi="Times New Roman"/>
          <w:sz w:val="16"/>
          <w:szCs w:val="16"/>
          <w:color w:val="auto"/>
        </w:rPr>
        <w:t xml:space="preserve">Company evaluated the terms of the Business Combination earn-out agreement in accordance with ASC 815-40 and concluded that the Business Combination Earn-out Securities are precluded from being accounted for as a component of equity. Since the Business Combination earn-out agreement meets the definition of a derivative, the Business Combination Earn-out Securities are recorded in Earn-out liability, at fair value, as a derivative liability on the Condensed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Gain (loss) on earn-out liability in the Condensed Consolidated Statement of Operations and in Fair value of earn-out liability in the Condensed Consolidated Statement of Cash Flows in the period of change.</w:t>
      </w:r>
    </w:p>
    <w:p>
      <w:pPr>
        <w:spacing w:after="0" w:line="168" w:lineRule="exact"/>
        <w:rPr>
          <w:sz w:val="20"/>
          <w:szCs w:val="20"/>
          <w:color w:val="auto"/>
        </w:rPr>
      </w:pPr>
    </w:p>
    <w:p>
      <w:pPr>
        <w:ind w:left="500" w:hanging="373"/>
        <w:spacing w:after="0"/>
        <w:tabs>
          <w:tab w:leader="none" w:pos="500" w:val="left"/>
        </w:tabs>
        <w:numPr>
          <w:ilvl w:val="0"/>
          <w:numId w:val="3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79" w:lineRule="exact"/>
        <w:rPr>
          <w:sz w:val="20"/>
          <w:szCs w:val="20"/>
          <w:color w:val="auto"/>
        </w:rPr>
      </w:pPr>
    </w:p>
    <w:p>
      <w:pPr>
        <w:jc w:val="right"/>
        <w:spacing w:after="0" w:line="266" w:lineRule="auto"/>
        <w:rPr>
          <w:sz w:val="20"/>
          <w:szCs w:val="20"/>
          <w:color w:val="auto"/>
        </w:rPr>
      </w:pPr>
      <w:r>
        <w:rPr>
          <w:rFonts w:ascii="Times New Roman" w:cs="Times New Roman" w:eastAsia="Times New Roman" w:hAnsi="Times New Roman"/>
          <w:sz w:val="14"/>
          <w:szCs w:val="14"/>
          <w:color w:val="auto"/>
        </w:rPr>
        <w:t>On August 2, 2023, (the “AWMS Acquisition Date”), the Company acquired the remaining 70% of the issued and outstanding ownership and membership interests of AWMS, increasing its interest from 30% to 100% (the “AWMS Acquisition”). The AWMS Acquisition was accounted for using the acquisition method of accounting and the fair</w:t>
      </w:r>
    </w:p>
    <w:p>
      <w:pPr>
        <w:spacing w:after="0" w:line="1"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4"/>
          <w:szCs w:val="14"/>
          <w:color w:val="auto"/>
        </w:rPr>
        <w:t>value of the total purchase consideration transferred was $16.8 million. The total purchase consideration transferred includes cash consideration, equity consideration, deferred cash consideration, earn-out consideration (“AWMS earn-out liability”), and the payment of assumed liabilities. As of June 30, 2024 and December 31, 2023, the AWMS</w:t>
      </w:r>
    </w:p>
    <w:p>
      <w:pPr>
        <w:ind w:left="120"/>
        <w:spacing w:after="0" w:line="221" w:lineRule="auto"/>
        <w:rPr>
          <w:sz w:val="20"/>
          <w:szCs w:val="20"/>
          <w:color w:val="auto"/>
        </w:rPr>
      </w:pPr>
      <w:r>
        <w:rPr>
          <w:rFonts w:ascii="Times New Roman" w:cs="Times New Roman" w:eastAsia="Times New Roman" w:hAnsi="Times New Roman"/>
          <w:sz w:val="16"/>
          <w:szCs w:val="16"/>
          <w:color w:val="auto"/>
        </w:rPr>
        <w:t>earn-out liability of $1.1 million and $1.1 million, is reported in Earn-out liability, at fair value, in the Condensed Consolidated Statement of Financial Position and</w:t>
      </w:r>
    </w:p>
    <w:p>
      <w:pPr>
        <w:spacing w:after="0" w:line="1"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4"/>
          <w:szCs w:val="14"/>
          <w:color w:val="auto"/>
        </w:rPr>
        <w:t xml:space="preserve">Consolidated Statement of Financial Position, respectively.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 w:cs="Times New Roman" w:eastAsia="Times New Roman" w:hAnsi="Times New Roman"/>
          <w:sz w:val="14"/>
          <w:szCs w:val="14"/>
          <w:i w:val="1"/>
          <w:iCs w:val="1"/>
          <w:color w:val="auto"/>
        </w:rPr>
        <w:t>Fair Value</w:t>
      </w:r>
    </w:p>
    <w:p>
      <w:pPr>
        <w:ind w:left="120"/>
        <w:spacing w:after="0" w:line="288" w:lineRule="auto"/>
        <w:rPr>
          <w:sz w:val="20"/>
          <w:szCs w:val="20"/>
          <w:color w:val="auto"/>
        </w:rPr>
      </w:pPr>
      <w:r>
        <w:rPr>
          <w:rFonts w:ascii="Times New Roman" w:cs="Times New Roman" w:eastAsia="Times New Roman" w:hAnsi="Times New Roman"/>
          <w:sz w:val="14"/>
          <w:szCs w:val="14"/>
          <w:i w:val="1"/>
          <w:iCs w:val="1"/>
          <w:color w:val="auto"/>
        </w:rPr>
        <w:t>Measurement</w:t>
      </w:r>
      <w:r>
        <w:rPr>
          <w:rFonts w:ascii="Times New Roman" w:cs="Times New Roman" w:eastAsia="Times New Roman" w:hAnsi="Times New Roman"/>
          <w:sz w:val="14"/>
          <w:szCs w:val="14"/>
          <w:color w:val="auto"/>
        </w:rPr>
        <w:t>, with changes in fair value to be recognized in Gain (loss) on earn-out liability in the Condensed Consolidated Statement of Operations and in Fair value of earn-out liability in the Condensed Consolidated Statement of Cash Flows in the period of change. See Note 3 (Business Combinations and Divestitures) for further information.</w:t>
      </w:r>
    </w:p>
    <w:p>
      <w:pPr>
        <w:spacing w:after="0" w:line="124" w:lineRule="exact"/>
        <w:rPr>
          <w:sz w:val="20"/>
          <w:szCs w:val="20"/>
          <w:color w:val="auto"/>
        </w:rPr>
      </w:pPr>
    </w:p>
    <w:p>
      <w:pPr>
        <w:ind w:left="500" w:hanging="373"/>
        <w:spacing w:after="0"/>
        <w:tabs>
          <w:tab w:leader="none" w:pos="500" w:val="left"/>
        </w:tabs>
        <w:numPr>
          <w:ilvl w:val="0"/>
          <w:numId w:val="3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East End Advisors Earn-out Liability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On April 1, 2024 (the “EEA Acquisition Date”), the Company acquired all of the issued and outstanding ownership and membership interests of East End Advisors, LLC</w:t>
      </w:r>
    </w:p>
    <w:p>
      <w:pPr>
        <w:spacing w:after="0" w:line="4"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4"/>
          <w:szCs w:val="14"/>
          <w:color w:val="auto"/>
        </w:rPr>
        <w:t>(“EEA”) pursuant to the terms of the purchase agreement between the Company and EEA Holding Company, LLC (the “EEA Acquisition”). The EEA Acquisition was accounted for using the acquisition method of accounting and the fair value of the total purchase consideration transferred was $93.1 million. The total purchase consideration</w:t>
      </w:r>
    </w:p>
    <w:p>
      <w:pPr>
        <w:ind w:left="120"/>
        <w:spacing w:after="0"/>
        <w:rPr>
          <w:sz w:val="20"/>
          <w:szCs w:val="20"/>
          <w:color w:val="auto"/>
        </w:rPr>
      </w:pPr>
      <w:r>
        <w:rPr>
          <w:rFonts w:ascii="Times New Roman" w:cs="Times New Roman" w:eastAsia="Times New Roman" w:hAnsi="Times New Roman"/>
          <w:sz w:val="14"/>
          <w:szCs w:val="14"/>
          <w:color w:val="auto"/>
        </w:rPr>
        <w:t>transferred includes estimated contingent consideration of $23.3 million (“EEA earn-out liability”), for which the Company may be required to make additional cash payments</w:t>
      </w:r>
    </w:p>
    <w:p>
      <w:pPr>
        <w:spacing w:after="0" w:line="9" w:lineRule="exact"/>
        <w:rPr>
          <w:sz w:val="20"/>
          <w:szCs w:val="20"/>
          <w:color w:val="auto"/>
        </w:rPr>
      </w:pPr>
    </w:p>
    <w:p>
      <w:pPr>
        <w:ind w:left="120"/>
        <w:spacing w:after="0" w:line="245" w:lineRule="auto"/>
        <w:rPr>
          <w:sz w:val="20"/>
          <w:szCs w:val="20"/>
          <w:color w:val="auto"/>
        </w:rPr>
      </w:pPr>
      <w:r>
        <w:rPr>
          <w:rFonts w:ascii="Times New Roman" w:cs="Times New Roman" w:eastAsia="Times New Roman" w:hAnsi="Times New Roman"/>
          <w:sz w:val="14"/>
          <w:szCs w:val="14"/>
          <w:color w:val="auto"/>
        </w:rPr>
        <w:t>contingent on the future EBITDA performance targets between the closing date and the fifth anniversary of the closing date. As of June 30, 2024, the EEA earn-out liability’s fair value of $24.0 million is reported in the Earn-out liability line item in the Condensed Consolidated Statement of Financial Position. The fair value will be remeasured at</w:t>
      </w:r>
    </w:p>
    <w:p>
      <w:pPr>
        <w:ind w:left="120"/>
        <w:spacing w:after="0" w:line="221" w:lineRule="auto"/>
        <w:rPr>
          <w:sz w:val="20"/>
          <w:szCs w:val="20"/>
          <w:color w:val="auto"/>
        </w:rPr>
      </w:pPr>
      <w:r>
        <w:rPr>
          <w:rFonts w:ascii="Times New Roman" w:cs="Times New Roman" w:eastAsia="Times New Roman" w:hAnsi="Times New Roman"/>
          <w:sz w:val="16"/>
          <w:szCs w:val="16"/>
          <w:color w:val="auto"/>
        </w:rPr>
        <w:t xml:space="preserve">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Gain (loss) on earn-out liability in the Condensed</w:t>
      </w:r>
    </w:p>
    <w:p>
      <w:pPr>
        <w:spacing w:after="0" w:line="1" w:lineRule="exact"/>
        <w:rPr>
          <w:sz w:val="20"/>
          <w:szCs w:val="20"/>
          <w:color w:val="auto"/>
        </w:rPr>
      </w:pPr>
    </w:p>
    <w:p>
      <w:pPr>
        <w:ind w:left="120"/>
        <w:spacing w:after="0" w:line="224" w:lineRule="auto"/>
        <w:rPr>
          <w:sz w:val="20"/>
          <w:szCs w:val="20"/>
          <w:color w:val="auto"/>
        </w:rPr>
      </w:pPr>
      <w:r>
        <w:rPr>
          <w:rFonts w:ascii="Times New Roman" w:cs="Times New Roman" w:eastAsia="Times New Roman" w:hAnsi="Times New Roman"/>
          <w:sz w:val="16"/>
          <w:szCs w:val="16"/>
          <w:color w:val="auto"/>
        </w:rPr>
        <w:t>Consolidated Statement of Operations and in Fair value of earn-out liability in the Condensed Consolidated Statement of Cash Flows in the period of change. See Note 3 (Business Combinations and Divestitures) for further information.</w:t>
      </w:r>
    </w:p>
    <w:p>
      <w:pPr>
        <w:spacing w:after="0" w:line="167" w:lineRule="exact"/>
        <w:rPr>
          <w:sz w:val="20"/>
          <w:szCs w:val="20"/>
          <w:color w:val="auto"/>
        </w:rPr>
      </w:pPr>
    </w:p>
    <w:p>
      <w:pPr>
        <w:ind w:left="500" w:hanging="373"/>
        <w:spacing w:after="0"/>
        <w:tabs>
          <w:tab w:leader="none" w:pos="500" w:val="left"/>
        </w:tabs>
        <w:numPr>
          <w:ilvl w:val="0"/>
          <w:numId w:val="3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200"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16"/>
          <w:szCs w:val="16"/>
          <w:color w:val="auto"/>
        </w:rPr>
        <w:t>Prior to the Business Combination, TWMH entered into an agreement to purchase a remaining non-controlling interest in its consolidated subsidiary representing 51.1% of shares in TIH. This arrangement was agreed upon for consideration of $2.1 million in cash and $1.2 million in Class A Common Stock. On March 25, 2024, the TIH SPA was fully paid. As of December 31, 2023, the Delayed share purchase agreement liability was $1.8 million and the portion of the Delayed share purchase agreement reported in Accrued compensation and profit sharing was $0.3 million. The stock purchase price was recognized in the Consolidated Statement of Financial Condition as Additional paid-in capital. As of December 31,</w:t>
      </w:r>
    </w:p>
    <w:p>
      <w:pPr>
        <w:spacing w:after="0" w:line="200" w:lineRule="exact"/>
        <w:rPr>
          <w:sz w:val="20"/>
          <w:szCs w:val="20"/>
          <w:color w:val="auto"/>
        </w:rPr>
      </w:pPr>
    </w:p>
    <w:p>
      <w:pPr>
        <w:spacing w:after="0" w:line="22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57785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204" w:right="319" w:bottom="1440" w:gutter="0" w:footer="0" w:header="0"/>
        </w:sectPr>
      </w:pPr>
    </w:p>
    <w:bookmarkStart w:id="31" w:name="page32"/>
    <w:bookmarkEnd w:id="31"/>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 the portion of the delayed share purchase agreement reported in Additional paid-in capital was $1.2 million.</w:t>
      </w:r>
    </w:p>
    <w:p>
      <w:pPr>
        <w:spacing w:after="0" w:line="132" w:lineRule="exact"/>
        <w:rPr>
          <w:sz w:val="20"/>
          <w:szCs w:val="20"/>
          <w:color w:val="auto"/>
        </w:rPr>
      </w:pPr>
    </w:p>
    <w:p>
      <w:pPr>
        <w:ind w:left="380" w:hanging="373"/>
        <w:spacing w:after="0"/>
        <w:tabs>
          <w:tab w:leader="none" w:pos="380" w:val="left"/>
        </w:tabs>
        <w:numPr>
          <w:ilvl w:val="0"/>
          <w:numId w:val="3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3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4"/>
          <w:szCs w:val="14"/>
          <w:color w:val="auto"/>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(aa)  Derivative Financial Instruments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The Company accounts for derivative financial instruments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which requires the Company to recognize all derivative instruments on the Condensed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In connection with the LXi disposal, the Company determined the contingent consideration meets the definition of a derivative and is recorded as Contingent consideration receivable on the Condensed Consolidated Statement of Financial Position as of June 30, 2024. The Contingent consideration receivable will be remeasured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the Condensed Consolidated Statement of Operations in the period of change.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(ab)  Segment Reporting</w:t>
      </w:r>
    </w:p>
    <w:p>
      <w:pPr>
        <w:spacing w:after="0" w:line="1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Our business is organized into two operating segments: Wealth Management and Strategic Alternatives. Segment information is utilized by the Company’s chief operating decision maker, which is our Chief Executive Officer, to assess performance and to allocate resources. Described below are the segments and the revenue generated by each, which broadly fall into three categories: recurring management, advisory, or administration fees; performance or incentive fees; and transaction fees.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Wealth Management</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Wealth Management services principally consist of investment management and advisory services, trusts and administrative services, and family office services. Our wealth management client base includes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June 30, 2024 and December 31, 2023, this segment had $55.9 billion and $51.0 billion, respectively, in AUA.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Management and Advisory Services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32" w:name="page33"/>
    <w:bookmarkEnd w:id="32"/>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Trusts and Administration Services</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Family Office Services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Strategic Alternatives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strategic alternatives services include alternatives platform and public and private real estate (including co-investment) businesses.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alternatives platform represents our legacy TIG business which is an alternative asset manager. This platform includes our TIG Arbitrage strategy and funds managed by our External Strategic Managers. Our alternatives platform client base is predominantly comprised of institutional investors. The TIG Arbitrage strategy is our event-driven</w:t>
      </w:r>
    </w:p>
    <w:p>
      <w:pPr>
        <w:spacing w:after="0" w:line="222" w:lineRule="auto"/>
        <w:rPr>
          <w:sz w:val="20"/>
          <w:szCs w:val="20"/>
          <w:color w:val="auto"/>
        </w:rPr>
      </w:pPr>
      <w:r>
        <w:rPr>
          <w:rFonts w:ascii="Times New Roman" w:cs="Times New Roman" w:eastAsia="Times New Roman" w:hAnsi="Times New Roman"/>
          <w:sz w:val="16"/>
          <w:szCs w:val="16"/>
          <w:color w:val="auto"/>
        </w:rPr>
        <w:t xml:space="preserve">strategy through which management fees and incentive fees based on performance are received from the underlying funds and accounts. </w:t>
      </w:r>
      <w:r>
        <w:rPr>
          <w:rFonts w:ascii="Times New Roman" w:cs="Times New Roman" w:eastAsia="Times New Roman" w:hAnsi="Times New Roman"/>
          <w:sz w:val="16"/>
          <w:szCs w:val="16"/>
          <w:color w:val="231F20"/>
        </w:rPr>
        <w:t>The strategies of our External</w:t>
      </w:r>
    </w:p>
    <w:p>
      <w:pPr>
        <w:jc w:val="both"/>
        <w:spacing w:after="0" w:line="214" w:lineRule="auto"/>
        <w:rPr>
          <w:sz w:val="20"/>
          <w:szCs w:val="20"/>
          <w:color w:val="auto"/>
        </w:rPr>
      </w:pPr>
      <w:r>
        <w:rPr>
          <w:rFonts w:ascii="Times New Roman" w:cs="Times New Roman" w:eastAsia="Times New Roman" w:hAnsi="Times New Roman"/>
          <w:sz w:val="16"/>
          <w:szCs w:val="16"/>
          <w:color w:val="231F20"/>
        </w:rPr>
        <w:t>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 performance of the underlying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investments. </w:t>
      </w:r>
      <w:r>
        <w:rPr>
          <w:rFonts w:ascii="Times New Roman" w:cs="Times New Roman" w:eastAsia="Times New Roman" w:hAnsi="Times New Roman"/>
          <w:sz w:val="16"/>
          <w:szCs w:val="16"/>
          <w:color w:val="000000"/>
        </w:rPr>
        <w:t>As of June 30, 2024 and December 31, 2023, this platform had $7.3 billion and $7.6 billion, respectively, in AUA.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Fund Management</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Fees from our real estate fund management business are earned from management and advisory services. As of June 30, 2024 and December 31, 2023, this business had approximately $8.6 billion and $12.7 billion, respectively, in AUA.</w:t>
      </w:r>
    </w:p>
    <w:p>
      <w:pPr>
        <w:spacing w:after="0" w:line="10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(ac)</w:t>
      </w:r>
      <w:r>
        <w:rPr>
          <w:sz w:val="20"/>
          <w:szCs w:val="20"/>
          <w:color w:val="auto"/>
        </w:rPr>
        <w:tab/>
      </w:r>
      <w:r>
        <w:rPr>
          <w:rFonts w:ascii="Times New Roman" w:cs="Times New Roman" w:eastAsia="Times New Roman" w:hAnsi="Times New Roman"/>
          <w:sz w:val="14"/>
          <w:szCs w:val="14"/>
          <w:b w:val="1"/>
          <w:bCs w:val="1"/>
          <w:i w:val="1"/>
          <w:iCs w:val="1"/>
          <w:color w:val="auto"/>
        </w:rPr>
        <w:t>Interest Income</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Interest income is earned on the Company’s cash balances, money market accounts, or through its investments in exchange-traded notes. These generally include debt securities held on a short- or medium-</w:t>
      </w: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50800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33" w:name="page34"/>
    <w:bookmarkEnd w:id="33"/>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term basis when the Company has excess cash. The Company recognizes and records interest income in Interest income in the Condensed Consolidated Statement of Operations.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Dividend income is earned through investments in common stock, mutual funds, and exchange-traded funds. Dividend income is recorded on the date received and is included in Interest income in the Condensed Consolidated Statement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  Interest Expense</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Condensed Consolidated Statement of Operations.</w:t>
      </w:r>
    </w:p>
    <w:p>
      <w:pPr>
        <w:spacing w:after="0" w:line="1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(ae)</w:t>
      </w:r>
      <w:r>
        <w:rPr>
          <w:sz w:val="20"/>
          <w:szCs w:val="20"/>
          <w:color w:val="auto"/>
        </w:rPr>
        <w:tab/>
      </w:r>
      <w:r>
        <w:rPr>
          <w:rFonts w:ascii="Times New Roman" w:cs="Times New Roman" w:eastAsia="Times New Roman" w:hAnsi="Times New Roman"/>
          <w:sz w:val="14"/>
          <w:szCs w:val="14"/>
          <w:b w:val="1"/>
          <w:bCs w:val="1"/>
          <w:i w:val="1"/>
          <w:iCs w:val="1"/>
          <w:color w:val="auto"/>
        </w:rPr>
        <w:t>Other Income and Expenses</w:t>
      </w:r>
    </w:p>
    <w:p>
      <w:pPr>
        <w:spacing w:after="0" w:line="200" w:lineRule="exact"/>
        <w:rPr>
          <w:sz w:val="20"/>
          <w:szCs w:val="20"/>
          <w:color w:val="auto"/>
        </w:rPr>
      </w:pPr>
    </w:p>
    <w:p>
      <w:pPr>
        <w:jc w:val="both"/>
        <w:ind w:firstLine="66"/>
        <w:spacing w:after="0" w:line="259" w:lineRule="auto"/>
        <w:rPr>
          <w:sz w:val="20"/>
          <w:szCs w:val="20"/>
          <w:color w:val="auto"/>
        </w:rPr>
      </w:pPr>
      <w:r>
        <w:rPr>
          <w:rFonts w:ascii="Times New Roman" w:cs="Times New Roman" w:eastAsia="Times New Roman" w:hAnsi="Times New Roman"/>
          <w:sz w:val="16"/>
          <w:szCs w:val="16"/>
          <w:color w:val="auto"/>
        </w:rPr>
        <w:t>Other than Interest income and Interest expense discussed above, other income and expenses include unrealized gains (losses) on investments, income from equity method investees, and other items.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Loss on investments in the Condensed Consolidated Statement of Operations.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Loss on investments in the Condensed Consolidated Statement of Operations.</w:t>
      </w:r>
    </w:p>
    <w:p>
      <w:pPr>
        <w:spacing w:after="0" w:line="2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i w:val="1"/>
          <w:iCs w:val="1"/>
          <w:color w:val="auto"/>
        </w:rPr>
        <w:t>(af)</w:t>
      </w:r>
      <w:r>
        <w:rPr>
          <w:sz w:val="20"/>
          <w:szCs w:val="20"/>
          <w:color w:val="auto"/>
        </w:rPr>
        <w:tab/>
      </w:r>
      <w:r>
        <w:rPr>
          <w:rFonts w:ascii="Times New Roman" w:cs="Times New Roman" w:eastAsia="Times New Roman" w:hAnsi="Times New Roman"/>
          <w:sz w:val="14"/>
          <w:szCs w:val="14"/>
          <w:b w:val="1"/>
          <w:bCs w:val="1"/>
          <w:i w:val="1"/>
          <w:iCs w:val="1"/>
          <w:color w:val="auto"/>
        </w:rPr>
        <w:t>Held for Sale Accounting</w:t>
      </w:r>
    </w:p>
    <w:p>
      <w:pPr>
        <w:spacing w:after="0" w:line="20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 xml:space="preserve">In circumstances when the Company is evaluating its components, we may establish plans that require us to evaluate whether a component qualifies for held-for-sale accounting under ASC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If a sale is deemed probable within a twelve-month period, the component is classified to either the assets held for sale or liabilities held for sale line items on the Consolidated Statement of Financial Position. The disposal group will be measured at the lower of its carrying amount or fair value less the cost to sell. Any long-lived assets shall not be depreciated or amortized while classified as held for sale. On November 6, 2023, the Company entered into an agreement to sell FOS for a cash consideration of approximately $20.1 million. Subsequently, an adjustment to the cash consideration of $(0.6) million was made, resulting in a final cash consideration of approximately $19.5 million. The agreement to sell was subject to regulatory approval that was granted in April 2024, following which, on May 8, 2024, the transaction was completed. On March 6, 2024, the Company completed the sale of LRA, for fixed consideration of approximately $33.1 million and up to an estimated $5.1 million of contingent consideration. Assets and liabilities of FOS and LRA are presented as held for sale on our Consolidated Statement of Financial 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57785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204"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(ag)  Recent Accounting Pronouncements</w:t>
      </w:r>
    </w:p>
    <w:p>
      <w:pPr>
        <w:spacing w:after="0" w:line="200"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ASU 2023-07, Segment Reporting (Topic 280) - Improvements to Reportable Segment Disclosures. The amendments in this update improve reportable segment disclosure requirements, primarily through enhanced disclosures about significant segment expenses. The amendments are effective for fiscal years beginning after December 15, 2023, and interim periods within fiscal years beginning after December 15, 2024, with early adoption permitted. The Company does not expect the impact of this guidance to be material to its consolidated financial statements.</w:t>
      </w:r>
    </w:p>
    <w:p>
      <w:pPr>
        <w:spacing w:after="0" w:line="160"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 Improvements to Income Tax Disclosures.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are effective for annual periods beginning after December 15, 2024, with early adoption permitted. The Company does not expect the impact of this guidance to be material to its consolidated financial statements.</w:t>
      </w:r>
    </w:p>
    <w:p>
      <w:pPr>
        <w:spacing w:after="0" w:line="105" w:lineRule="exact"/>
        <w:rPr>
          <w:sz w:val="20"/>
          <w:szCs w:val="20"/>
          <w:color w:val="auto"/>
        </w:rPr>
      </w:pPr>
    </w:p>
    <w:p>
      <w:pPr>
        <w:jc w:val="both"/>
        <w:ind w:left="380"/>
        <w:spacing w:after="0" w:line="233" w:lineRule="auto"/>
        <w:rPr>
          <w:sz w:val="20"/>
          <w:szCs w:val="20"/>
          <w:color w:val="auto"/>
        </w:rPr>
      </w:pPr>
      <w:r>
        <w:rPr>
          <w:rFonts w:ascii="Times New Roman" w:cs="Times New Roman" w:eastAsia="Times New Roman" w:hAnsi="Times New Roman"/>
          <w:sz w:val="16"/>
          <w:szCs w:val="16"/>
          <w:color w:val="auto"/>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its overall clarity and operability without changing the guidance. The amendments are effective for annual periods beginning after December 15, 2024, and interim periods within annual periods beginning after December 15, 2025, with early adoption permitted. The Company does not expect the impact of this guidance to be material to its consolidated financial statements.</w:t>
      </w:r>
    </w:p>
    <w:p>
      <w:pPr>
        <w:spacing w:after="0" w:line="170" w:lineRule="exact"/>
        <w:rPr>
          <w:sz w:val="20"/>
          <w:szCs w:val="20"/>
          <w:color w:val="auto"/>
        </w:rPr>
      </w:pPr>
    </w:p>
    <w:p>
      <w:pPr>
        <w:jc w:val="both"/>
        <w:ind w:left="380" w:right="60"/>
        <w:spacing w:after="0" w:line="254" w:lineRule="auto"/>
        <w:rPr>
          <w:sz w:val="20"/>
          <w:szCs w:val="20"/>
          <w:color w:val="auto"/>
        </w:rPr>
      </w:pPr>
      <w:r>
        <w:rPr>
          <w:rFonts w:ascii="Times New Roman" w:cs="Times New Roman" w:eastAsia="Times New Roman" w:hAnsi="Times New Roman"/>
          <w:sz w:val="16"/>
          <w:szCs w:val="16"/>
          <w:color w:val="auto"/>
        </w:rPr>
        <w:t>The Company has considered all newly issued accounting guidance that is applicable to its operations and the preparation of its unaudited condensed consolidated statements, including those it has not yet adopted. ASUs not listed above were assessed and either determined to be not applicable or expected to have minimal impact on the Company's condensed consolidated financial statements.</w:t>
      </w:r>
    </w:p>
    <w:p>
      <w:pPr>
        <w:spacing w:after="0" w:line="231" w:lineRule="exact"/>
        <w:rPr>
          <w:sz w:val="20"/>
          <w:szCs w:val="20"/>
          <w:color w:val="auto"/>
        </w:rPr>
      </w:pPr>
    </w:p>
    <w:p>
      <w:pPr>
        <w:ind w:left="380" w:hanging="375"/>
        <w:spacing w:after="0"/>
        <w:tabs>
          <w:tab w:leader="none" w:pos="38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 and Divestitures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AlTi Global Business Combination</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spacing w:after="0" w:line="1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VIE, and the Company is the primary beneficiary of Umbrella. ASC 805 requires the primary beneficiary of a VIE to be identified as the accounting acquirer. The Company is the primary beneficiary because it controls all activities of Umbrella, and the non-managing members of Umbrella do not have substantive kick-out or participating rights.</w:t>
      </w:r>
    </w:p>
    <w:p>
      <w:pPr>
        <w:spacing w:after="0" w:line="1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Business Combination met the requirements to be considered a business combination under ASC 805. The assets and liabilities acquired from the Target Companies, affected for adjustments to reflect fair market values assigned to assets purchased and liabilities assumed, and results of operations, are included in the Company’s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condensed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Condensed Consolidated Statement of Financial Position.</w:t>
      </w:r>
    </w:p>
    <w:p>
      <w:pPr>
        <w:spacing w:after="0" w:line="1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Condensed Consolidated Statement of Operations.</w:t>
      </w:r>
    </w:p>
    <w:p>
      <w:pPr>
        <w:spacing w:after="0" w:line="12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Each Class B Unit of Umbrella is paired with a share of Class B Common Stock (collectively, the “Paired Interests”). Pursuant to the Umbrella LLC Agreement, a Paired Interest is exchangeable at any time after the lock-up period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Company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Sponsor, in connection with the initial public offering prior to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will be presented “on the line” and is not reflected in the financial statements presented. “On the line” describes those expenses triggered by the consummation of a business combination that are not recognized in the Condensed Consolidated Statement of Operations as they are not directly attributable to either period but instead were contingent on the Business Combination.</w:t>
      </w:r>
    </w:p>
    <w:p>
      <w:pPr>
        <w:spacing w:after="0" w:line="1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 part of the Business Combination, the Company incurred $17.8 million of acquisition-related costs which are included predominantly in the “Professional fees” line in the Condensed Consolidated Statement of Operations.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Condensed Consolidated Statement of Financial Position. $2.8 million of the debt issuance costs related to the undrawn amount of the Revolver were recorded in the “Other assets” line item of the Condensed Consolidated Statement of Financial Position.</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contingent consideration was measured at fair value at the acquisition date and recorded as a liability in the Earn-out liability line of the Condensed Consolidated Statement of Financial Position. See Note 2 (Summary of Significant Accounting Policies) for additional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7"/>
                <w:szCs w:val="17"/>
                <w:color w:val="auto"/>
              </w:rPr>
            </w:pPr>
          </w:p>
        </w:tc>
        <w:tc>
          <w:tcPr>
            <w:tcW w:w="1480" w:type="dxa"/>
            <w:vAlign w:val="bottom"/>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8"/>
        </w:trPr>
        <w:tc>
          <w:tcPr>
            <w:tcW w:w="9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
        </w:trPr>
        <w:tc>
          <w:tcPr>
            <w:tcW w:w="9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294,159</w:t>
            </w:r>
          </w:p>
        </w:tc>
      </w:tr>
      <w:tr>
        <w:trPr>
          <w:trHeight w:val="205"/>
        </w:trPr>
        <w:tc>
          <w:tcPr>
            <w:tcW w:w="9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573,205</w:t>
            </w:r>
          </w:p>
        </w:tc>
      </w:tr>
      <w:tr>
        <w:trPr>
          <w:trHeight w:val="28"/>
        </w:trPr>
        <w:tc>
          <w:tcPr>
            <w:tcW w:w="9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85,097</w:t>
            </w:r>
          </w:p>
        </w:tc>
      </w:tr>
      <w:tr>
        <w:trPr>
          <w:trHeight w:val="28"/>
        </w:trPr>
        <w:tc>
          <w:tcPr>
            <w:tcW w:w="9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 Agreement</w:t>
            </w: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05"/>
        </w:trPr>
        <w:tc>
          <w:tcPr>
            <w:tcW w:w="9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8"/>
        </w:trPr>
        <w:tc>
          <w:tcPr>
            <w:tcW w:w="9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6"/>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1,071,116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Business Combination: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Business</w:t>
            </w:r>
          </w:p>
        </w:tc>
      </w:tr>
      <w:tr>
        <w:trPr>
          <w:trHeight w:val="191"/>
        </w:trPr>
        <w:tc>
          <w:tcPr>
            <w:tcW w:w="9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Combination</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Pr>
          <w:p>
            <w:pPr>
              <w:spacing w:after="0"/>
              <w:rPr>
                <w:sz w:val="17"/>
                <w:szCs w:val="17"/>
                <w:color w:val="auto"/>
              </w:rPr>
            </w:pPr>
          </w:p>
        </w:tc>
        <w:tc>
          <w:tcPr>
            <w:tcW w:w="140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at fair value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148,674</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42,185</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520,161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530,546</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r>
      <w:tr>
        <w:trPr>
          <w:trHeight w:val="196"/>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1,387,704</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 and profit sharing</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member distributions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Delayed share purchase agreement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 consideration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124,533</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34,640</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15,149</w:t>
            </w:r>
          </w:p>
        </w:tc>
      </w:tr>
      <w:tr>
        <w:trPr>
          <w:trHeight w:val="196"/>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316,582</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1,071,122</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 in subsidiaries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97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1,071,116</w:t>
            </w:r>
          </w:p>
        </w:tc>
      </w:tr>
      <w:tr>
        <w:trPr>
          <w:trHeight w:val="28"/>
        </w:trPr>
        <w:tc>
          <w:tcPr>
            <w:tcW w:w="9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With the exception of operating right-of-use assets and operating lease liabilities accounted for under Topic 842, in accordance with Accounting Standards Codification, or ASC 805, the assets and liabilities were recorded at their respective fair values as of January 1,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Strategic Alternatives.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w w:val="99"/>
              </w:rPr>
              <w:t>goodwill allocation between wealth management and strategic alternatives is $298.1 million and $232.4 million, respectively.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2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Business Combination (in thousands):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7"/>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100" w:type="dxa"/>
            <w:vAlign w:val="bottom"/>
          </w:tcPr>
          <w:p>
            <w:pPr>
              <w:spacing w:after="0"/>
              <w:rPr>
                <w:sz w:val="24"/>
                <w:szCs w:val="24"/>
                <w:color w:val="auto"/>
              </w:rPr>
            </w:pPr>
          </w:p>
        </w:tc>
        <w:tc>
          <w:tcPr>
            <w:tcW w:w="15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Estimated Life</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7"/>
                <w:szCs w:val="17"/>
                <w:color w:val="auto"/>
              </w:rPr>
            </w:pPr>
          </w:p>
        </w:tc>
        <w:tc>
          <w:tcPr>
            <w:tcW w:w="142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5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(definite life)</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Management Agreements (indefinite life)</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245,900</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Indefinite</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5"/>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6"/>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acquired</w:t>
            </w: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520,161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intangible assets acquired and subject to amortization have a weighted average useful life of 23.0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AlTi Wealth Management (Singapore) Pte Limited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April 6, 2023, (the “ALWP Acquisition Date”), the Company acquired all of the issued and outstanding ownership and membership interests of AlTi Wealth Management (Singapore) Pte Limited (“ALWP”) pursuant to the terms of the share purchase agreement between the Company and ALWP (the “ALWP Acquisition”). The primary purpose of the ALWP Acquisition is to acquire ALWP’s extensive business within Southeast Asia to further expand the Company’s global operations.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met the requirements to be considered a business combination under ASC 805. The assets and liabilities acquired from ALWP, affected for preliminary adjustments to reflect the fair market values assigned to assets purchased and liabilities assumed, and results of operations, are included in the Company’s condensed consolidated financial statements from the ALWP Acquisition Date. The Company has allocated the purchase price to the tangible and identifiable intangible assets and liabilities assumed based on their estimated fair market values at the ALWP Acquisition Date as required under ASC 805.</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ALWP Acquisition was accounted for using the acquisition method of accounting and the fair value of the total purchase consideration transferred was $15.5 million, with the total amount paid in cash. The Company will make second and third payments to the sellers of ALWP on the third and fifth anniversary of the ALWP Acquisition Date, respectively. Management has determined that these payments will be treated as future compensation expense in the Company’s Condensed Consolidated Statement of Operations. There is no contingent consideration as part of the ALWP Acquisition.</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2023, the Company incurred $0.4 million of direct acquisition-related expenses, which are recognized in the Professional fees line item of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9040" w:type="dxa"/>
            <w:vAlign w:val="bottom"/>
          </w:tcPr>
          <w:p>
            <w:pPr>
              <w:ind w:left="5080"/>
              <w:spacing w:after="0"/>
              <w:rPr>
                <w:sz w:val="20"/>
                <w:szCs w:val="20"/>
                <w:color w:val="auto"/>
              </w:rPr>
            </w:pPr>
            <w:r>
              <w:rPr>
                <w:rFonts w:ascii="Times New Roman" w:cs="Times New Roman" w:eastAsia="Times New Roman" w:hAnsi="Times New Roman"/>
                <w:sz w:val="16"/>
                <w:szCs w:val="16"/>
                <w:b w:val="1"/>
                <w:bCs w:val="1"/>
                <w:color w:val="auto"/>
              </w:rPr>
              <w:t>AlTi Global, Inc.</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23"/>
        </w:trPr>
        <w:tc>
          <w:tcPr>
            <w:tcW w:w="9040" w:type="dxa"/>
            <w:vAlign w:val="bottom"/>
          </w:tcPr>
          <w:p>
            <w:pPr>
              <w:ind w:left="31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98"/>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ALWP Acquisition:</w:t>
            </w: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0"/>
        </w:trPr>
        <w:tc>
          <w:tcPr>
            <w:tcW w:w="9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7"/>
              </w:rPr>
              <w:t>ALWP Acquisition Date Fair</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7"/>
                <w:szCs w:val="17"/>
                <w:color w:val="auto"/>
              </w:rPr>
            </w:pPr>
          </w:p>
        </w:tc>
        <w:tc>
          <w:tcPr>
            <w:tcW w:w="2120" w:type="dxa"/>
            <w:vAlign w:val="bottom"/>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12,300</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21,346</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5,816</w:t>
            </w: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15,530</w:t>
            </w: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including employees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ALWP Acquisition:</w:t>
            </w: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ALWP Acquisition Date Fair</w:t>
            </w:r>
          </w:p>
        </w:tc>
        <w:tc>
          <w:tcPr>
            <w:tcW w:w="100" w:type="dxa"/>
            <w:vAlign w:val="bottom"/>
          </w:tcPr>
          <w:p>
            <w:pPr>
              <w:spacing w:after="0"/>
              <w:rPr>
                <w:sz w:val="24"/>
                <w:szCs w:val="24"/>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40" w:type="dxa"/>
            <w:vAlign w:val="bottom"/>
            <w:tcBorders>
              <w:bottom w:val="single" w:sz="8" w:color="CCEEFF"/>
            </w:tcBorders>
            <w:shd w:val="clear" w:color="auto" w:fill="CCEEFF"/>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12,300</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40" w:type="dxa"/>
            <w:vAlign w:val="bottom"/>
            <w:tcBorders>
              <w:top w:val="single" w:sz="8" w:color="auto"/>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12,300</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10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for the ALWP Acquisition have been included in the Company’s condensed consolidated financial statements from the date of ALWP Acquisition.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AlTi Wealth Management (Switzerland) SA</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AWMS Acquisition met the requirements to be considered a business combination under ASC 805. The assets and liabilities acquired from AWMS, affected for preliminary adjustments to reflect the fair market values assigned to assets purchased and liabilities assumed, and results of operations, are included in the Company’s condensed consolidated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financial statements from the AWMS Acquisition Date. The Company has allocated the purchase price to the tangible and identifiable intangible assets and liabilities assumed based on their estimated fair market values at the AWMS Acquisition Date as required under ASC 805.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5"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AWMS Acquisition was accounted for using the acquisition method of accounting and the fair value of the total purchase consideration transferred was $16.8 million. The total</w:t>
      </w:r>
    </w:p>
    <w:p>
      <w:pPr>
        <w:spacing w:after="0" w:line="2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purchase consideration transferred includes cash consideration, equity consideration, deferred cash consideration, earn-out consideration, and the payment of assumed liabilities. The total purchase consideration includes the following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7"/>
                <w:szCs w:val="17"/>
                <w:color w:val="auto"/>
              </w:rPr>
            </w:pPr>
          </w:p>
        </w:tc>
        <w:tc>
          <w:tcPr>
            <w:tcW w:w="190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AWMS Amount</w:t>
            </w:r>
          </w:p>
        </w:tc>
      </w:tr>
      <w:tr>
        <w:trPr>
          <w:trHeight w:val="28"/>
        </w:trPr>
        <w:tc>
          <w:tcPr>
            <w:tcW w:w="9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Cash consideration</w:t>
            </w:r>
          </w:p>
        </w:tc>
        <w:tc>
          <w:tcPr>
            <w:tcW w:w="3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r>
      <w:tr>
        <w:trPr>
          <w:trHeight w:val="28"/>
        </w:trPr>
        <w:tc>
          <w:tcPr>
            <w:tcW w:w="9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cash consideration</w:t>
            </w:r>
          </w:p>
        </w:tc>
        <w:tc>
          <w:tcPr>
            <w:tcW w:w="34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consideration</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8"/>
        </w:trPr>
        <w:tc>
          <w:tcPr>
            <w:tcW w:w="9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34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16,754</w:t>
            </w:r>
          </w:p>
        </w:tc>
      </w:tr>
      <w:tr>
        <w:trPr>
          <w:trHeight w:val="28"/>
        </w:trPr>
        <w:tc>
          <w:tcPr>
            <w:tcW w:w="9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deferred cash consideration is payable no later than September 30, 2024 and the earn-out consideration is payable no later than December 31, 2024.</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At the AWMS Acquisition Date, as required by ASC 805, the Company’s existing 30% equity interest in AWMS, which was previously recognized as an equity method investment, was revalued to reflect the fair value at this date. The fair value of this existing equity method investment was $7.4 million, which was calculated as 30% of the fair value of AWMS total equity value (determined using the discounted cash flow method of the income approach, less debt), excluding the impact of any synergies or control premium that would be realized by a controlling interest. This change in fair value resulted in a gain of $1.9 million, which was recognized during the year ended December 31, 2023 in the Gain (loss) on investments line of the Consolidated Statement of Operations.</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Company incurred $0.01 million of direct acquisition-related expenses, which are recognized in the Professional fees line item of the Condensed Consolidated 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AWMS business combination: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 w:type="dxa"/>
            <w:vAlign w:val="bottom"/>
          </w:tcPr>
          <w:p>
            <w:pPr>
              <w:spacing w:after="0"/>
              <w:rPr>
                <w:sz w:val="16"/>
                <w:szCs w:val="16"/>
                <w:color w:val="auto"/>
              </w:rPr>
            </w:pPr>
          </w:p>
        </w:tc>
        <w:tc>
          <w:tcPr>
            <w:tcW w:w="212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AWMS Acquisition Date Fair</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27,961</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4,026</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23,935</w:t>
            </w:r>
          </w:p>
        </w:tc>
        <w:tc>
          <w:tcPr>
            <w:tcW w:w="0" w:type="dxa"/>
            <w:vAlign w:val="bottom"/>
          </w:tcPr>
          <w:p>
            <w:pPr>
              <w:spacing w:after="0"/>
              <w:rPr>
                <w:sz w:val="1"/>
                <w:szCs w:val="1"/>
                <w:color w:val="auto"/>
              </w:rPr>
            </w:pPr>
          </w:p>
        </w:tc>
      </w:tr>
      <w:tr>
        <w:trPr>
          <w:trHeight w:val="28"/>
        </w:trPr>
        <w:tc>
          <w:tcPr>
            <w:tcW w:w="9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AWMS Acquisition Date. At this time, the Company does not expect any material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adjustments to the above allocations. When the valuation is final, changes to the valuation of acquired assets and liabilities could result in adjustments to identified intangibles and goodwill.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Goodwill is comprised of expected synergies for the combined operations, including employees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that may indicate impairment.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AIMS business combination:</w:t>
            </w:r>
          </w:p>
        </w:tc>
        <w:tc>
          <w:tcPr>
            <w:tcW w:w="1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00"/>
        </w:trPr>
        <w:tc>
          <w:tcPr>
            <w:tcW w:w="6700" w:type="dxa"/>
            <w:vAlign w:val="bottom"/>
          </w:tcPr>
          <w:p>
            <w:pPr>
              <w:spacing w:after="0"/>
              <w:rPr>
                <w:sz w:val="24"/>
                <w:szCs w:val="24"/>
                <w:color w:val="auto"/>
              </w:rPr>
            </w:pPr>
          </w:p>
        </w:tc>
        <w:tc>
          <w:tcPr>
            <w:tcW w:w="224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AWMS Acquisition Date Fair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58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Estimated Life (Years)</w:t>
            </w:r>
          </w:p>
        </w:tc>
      </w:tr>
      <w:tr>
        <w:trPr>
          <w:trHeight w:val="28"/>
        </w:trPr>
        <w:tc>
          <w:tcPr>
            <w:tcW w:w="6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14</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580" w:type="dxa"/>
            <w:vAlign w:val="bottom"/>
            <w:tcBorders>
              <w:top w:val="single" w:sz="8" w:color="auto"/>
              <w:bottom w:val="single" w:sz="8" w:color="auto"/>
            </w:tcBorders>
          </w:tcPr>
          <w:p>
            <w:pPr>
              <w:jc w:val="right"/>
              <w:ind w:right="14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fair value for customer relationships was determined using the multi-period excess earnings method. The intangible assets are subject to amortization over a useful life of 14 years.</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results of operations for the AWMS Acquisition have been included in the Company’s condensed consolidated financial statements from the AWMS Acquisition Date. Prior to the AWMS Acquisition Date, the results of AWMS were included as a 30% held equity method investment.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East End Advisors, LLC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completed the EEA Acquisition on April 3, 2024.</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EEA Acquisition met the requirements to be considered a business combination under ASC 805. The assets and liabilities acquired from EEA, affected for preliminary adjustments to reflect the fair market values assigned to assets purchased and liabilities assumed, and results of operations, are included in the Company’s condensed consolidated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financial statements from the EEA Acquisition Date. The Company has allocated the purchase price to the tangible and identifiable intangible assets and liabilities assumed based on their estimated fair market values at the EEA Acquisition Date as required under ASC 805.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EEA Acquisition was accounted for using the acquisition method of accounting and the fair value of the total purchase consideration transferred was $93.1 million. Included in</w:t>
      </w:r>
    </w:p>
    <w:p>
      <w:pPr>
        <w:spacing w:after="0" w:line="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w:t>
      </w:r>
    </w:p>
    <w:p>
      <w:pPr>
        <w:spacing w:after="0"/>
        <w:rPr>
          <w:sz w:val="20"/>
          <w:szCs w:val="20"/>
          <w:color w:val="auto"/>
        </w:rPr>
      </w:pPr>
      <w:r>
        <w:rPr>
          <w:rFonts w:ascii="Times New Roman" w:cs="Times New Roman" w:eastAsia="Times New Roman" w:hAnsi="Times New Roman"/>
          <w:sz w:val="16"/>
          <w:szCs w:val="16"/>
          <w:color w:val="auto"/>
        </w:rPr>
        <w:t>date and recorded within the Earn-out liability line item in the Condensed Consolidated Statement of Financial Position.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jc w:val="right"/>
              <w:ind w:right="76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8"/>
        </w:trPr>
        <w:tc>
          <w:tcPr>
            <w:tcW w:w="414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w:t>
            </w:r>
          </w:p>
        </w:tc>
        <w:tc>
          <w:tcPr>
            <w:tcW w:w="5360" w:type="dxa"/>
            <w:vAlign w:val="bottom"/>
            <w:tcBorders>
              <w:bottom w:val="single" w:sz="8" w:color="CCEEFF"/>
            </w:tcBorders>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69,013</w:t>
            </w:r>
          </w:p>
        </w:tc>
        <w:tc>
          <w:tcPr>
            <w:tcW w:w="0" w:type="dxa"/>
            <w:vAlign w:val="bottom"/>
          </w:tcPr>
          <w:p>
            <w:pPr>
              <w:spacing w:after="0"/>
              <w:rPr>
                <w:sz w:val="1"/>
                <w:szCs w:val="1"/>
                <w:color w:val="auto"/>
              </w:rPr>
            </w:pPr>
          </w:p>
        </w:tc>
      </w:tr>
      <w:tr>
        <w:trPr>
          <w:trHeight w:val="205"/>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installments</w:t>
            </w:r>
          </w:p>
        </w:tc>
        <w:tc>
          <w:tcPr>
            <w:tcW w:w="4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0" w:type="dxa"/>
            <w:vAlign w:val="bottom"/>
          </w:tcPr>
          <w:p>
            <w:pPr>
              <w:spacing w:after="0"/>
              <w:rPr>
                <w:sz w:val="1"/>
                <w:szCs w:val="1"/>
                <w:color w:val="auto"/>
              </w:rPr>
            </w:pPr>
          </w:p>
        </w:tc>
      </w:tr>
      <w:tr>
        <w:trPr>
          <w:trHeight w:val="28"/>
        </w:trPr>
        <w:tc>
          <w:tcPr>
            <w:tcW w:w="4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assumed liabilities</w:t>
            </w:r>
          </w:p>
        </w:tc>
        <w:tc>
          <w:tcPr>
            <w:tcW w:w="4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4900" w:type="dxa"/>
            <w:vAlign w:val="bottom"/>
          </w:tcPr>
          <w:p>
            <w:pPr>
              <w:spacing w:after="0"/>
              <w:rPr>
                <w:sz w:val="17"/>
                <w:szCs w:val="17"/>
                <w:color w:val="auto"/>
              </w:rPr>
            </w:pPr>
          </w:p>
        </w:tc>
        <w:tc>
          <w:tcPr>
            <w:tcW w:w="46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93,114</w:t>
            </w:r>
          </w:p>
        </w:tc>
        <w:tc>
          <w:tcPr>
            <w:tcW w:w="0" w:type="dxa"/>
            <w:vAlign w:val="bottom"/>
          </w:tcPr>
          <w:p>
            <w:pPr>
              <w:spacing w:after="0"/>
              <w:rPr>
                <w:sz w:val="1"/>
                <w:szCs w:val="1"/>
                <w:color w:val="auto"/>
              </w:rPr>
            </w:pPr>
          </w:p>
        </w:tc>
      </w:tr>
      <w:tr>
        <w:trPr>
          <w:trHeight w:val="28"/>
        </w:trPr>
        <w:tc>
          <w:tcPr>
            <w:tcW w:w="4140" w:type="dxa"/>
            <w:vAlign w:val="bottom"/>
          </w:tcPr>
          <w:p>
            <w:pPr>
              <w:spacing w:after="0"/>
              <w:rPr>
                <w:sz w:val="2"/>
                <w:szCs w:val="2"/>
                <w:color w:val="auto"/>
              </w:rPr>
            </w:pPr>
          </w:p>
        </w:tc>
        <w:tc>
          <w:tcPr>
            <w:tcW w:w="4900" w:type="dxa"/>
            <w:vAlign w:val="bottom"/>
            <w:vMerge w:val="restart"/>
          </w:tcPr>
          <w:p>
            <w:pPr>
              <w:jc w:val="right"/>
              <w:ind w:right="3242"/>
              <w:spacing w:after="0"/>
              <w:rPr>
                <w:sz w:val="20"/>
                <w:szCs w:val="20"/>
                <w:color w:val="auto"/>
              </w:rPr>
            </w:pPr>
            <w:r>
              <w:rPr>
                <w:rFonts w:ascii="Times New Roman" w:cs="Times New Roman" w:eastAsia="Times New Roman" w:hAnsi="Times New Roman"/>
                <w:sz w:val="16"/>
                <w:szCs w:val="16"/>
                <w:color w:val="auto"/>
              </w:rPr>
              <w:t>42</w:t>
            </w: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1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140" w:type="dxa"/>
            <w:vAlign w:val="bottom"/>
            <w:tcBorders>
              <w:bottom w:val="single" w:sz="8" w:color="9A9A9A"/>
            </w:tcBorders>
          </w:tcPr>
          <w:p>
            <w:pPr>
              <w:spacing w:after="0"/>
              <w:rPr>
                <w:sz w:val="7"/>
                <w:szCs w:val="7"/>
                <w:color w:val="auto"/>
              </w:rPr>
            </w:pPr>
          </w:p>
        </w:tc>
        <w:tc>
          <w:tcPr>
            <w:tcW w:w="49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incurred $1.3 million of direct acquisition-related expenses, which are recognized in the Professional fees line item of the Condensed Consolidated Statement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EEA Acquisition:</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1"/>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EEA Acquisition Date Fair Value</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 receivable</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67,300</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25,494</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9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96,531</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8"/>
        </w:trPr>
        <w:tc>
          <w:tcPr>
            <w:tcW w:w="9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9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r>
      <w:tr>
        <w:trPr>
          <w:trHeight w:val="28"/>
        </w:trPr>
        <w:tc>
          <w:tcPr>
            <w:tcW w:w="9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3,417</w:t>
            </w: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93,114</w:t>
            </w:r>
          </w:p>
        </w:tc>
      </w:tr>
    </w:tbl>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EEA Acquisition Date. When the valuation is final, changes to the valuation of acquired assets and liabilities could result in adjustments to identified intangibles and goodwill.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With the exception of operating right-of-use assets and operating lease liabilities accounted for under ASC 842, in accordance with ASC 805, the assets and liabilities were recorded at their respective fair values as of 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w:t>
      </w:r>
    </w:p>
    <w:p>
      <w:pPr>
        <w:jc w:val="both"/>
        <w:spacing w:after="0" w:line="224" w:lineRule="auto"/>
        <w:rPr>
          <w:sz w:val="20"/>
          <w:szCs w:val="20"/>
          <w:color w:val="auto"/>
        </w:rPr>
      </w:pPr>
      <w:r>
        <w:rPr>
          <w:rFonts w:ascii="Times New Roman" w:cs="Times New Roman" w:eastAsia="Times New Roman" w:hAnsi="Times New Roman"/>
          <w:sz w:val="16"/>
          <w:szCs w:val="16"/>
          <w:color w:val="auto"/>
        </w:rPr>
        <w:t>Company determined that book value approximated fair value. Goodwill is comprised of expected synergies for the combined operations and the assembled workforce acquired in the Business Combination, which does not qualify as a separately recognized intangible asset.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EEA Acquisition:</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0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EEA Acquisition Date Fair Value</w:t>
            </w:r>
          </w:p>
        </w:tc>
        <w:tc>
          <w:tcPr>
            <w:tcW w:w="100" w:type="dxa"/>
            <w:vAlign w:val="bottom"/>
          </w:tcPr>
          <w:p>
            <w:pPr>
              <w:spacing w:after="0"/>
              <w:rPr>
                <w:sz w:val="24"/>
                <w:szCs w:val="24"/>
                <w:color w:val="auto"/>
              </w:rPr>
            </w:pPr>
          </w:p>
        </w:tc>
        <w:tc>
          <w:tcPr>
            <w:tcW w:w="22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Estimated Life (Years)</w:t>
            </w:r>
          </w:p>
        </w:tc>
      </w:tr>
      <w:tr>
        <w:trPr>
          <w:trHeight w:val="28"/>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34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w:t>
            </w:r>
          </w:p>
        </w:tc>
      </w:tr>
      <w:tr>
        <w:trPr>
          <w:trHeight w:val="205"/>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w:t>
            </w:r>
          </w:p>
        </w:tc>
        <w:tc>
          <w:tcPr>
            <w:tcW w:w="23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17</w:t>
            </w:r>
          </w:p>
        </w:tc>
      </w:tr>
      <w:tr>
        <w:trPr>
          <w:trHeight w:val="28"/>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34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w:t>
            </w:r>
          </w:p>
        </w:tc>
      </w:tr>
      <w:tr>
        <w:trPr>
          <w:trHeight w:val="221"/>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67,300</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for EEA have been included in the Company’s condensed consolidated financial statements from the EEA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Pointwise Partners Limited</w:t>
      </w:r>
    </w:p>
    <w:p>
      <w:pPr>
        <w:spacing w:after="0" w:line="1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May 9, 2024 (the “PW Acquisition Date”), the Company acquired the remaining 50% of the issued and outstanding ownership and membership interest of Pointwise Partners Limited (“PW”), increasing its interest from 50% to 100% (the “PW Acquisition”).</w:t>
      </w:r>
    </w:p>
    <w:p>
      <w:pPr>
        <w:spacing w:after="0" w:line="1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PW Acquisition met the requirements to be considered a business combination under ASC 805. The assets and liabilities acquired from PW, affected for preliminary adjustments to reflect the fair market values assigned to assets purchased and liabilities assumed, and results of operations, are included in the Company’s condensed consolidated financial statements from the PW Acquisition Date. The Company has allocated the purchase price to the tangible and identifiable intangible assets and liabilities assumed based on their estimated fair market values at the PW Acquisition Date as required under ASC 805.</w:t>
      </w:r>
    </w:p>
    <w:p>
      <w:pPr>
        <w:spacing w:after="0" w:line="15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4"/>
          <w:szCs w:val="14"/>
          <w:color w:val="auto"/>
        </w:rPr>
        <w:t>The PW Acquisition was accounted for using the acquisition method of accounting and the fair value of the total purchase consideration was $8.0 million. The total purchase consideration transferred includes cash consideration, equity consideration, estimated deferred consideration, and the settlement of pre-existing relationships as summarized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7"/>
                <w:szCs w:val="17"/>
                <w:color w:val="auto"/>
              </w:rPr>
            </w:pPr>
          </w:p>
        </w:tc>
        <w:tc>
          <w:tcPr>
            <w:tcW w:w="1840" w:type="dxa"/>
            <w:vAlign w:val="bottom"/>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PW Amount</w:t>
            </w:r>
          </w:p>
        </w:tc>
      </w:tr>
      <w:tr>
        <w:trPr>
          <w:trHeight w:val="28"/>
        </w:trPr>
        <w:tc>
          <w:tcPr>
            <w:tcW w:w="9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Initial Cash consideration</w:t>
            </w:r>
          </w:p>
        </w:tc>
        <w:tc>
          <w:tcPr>
            <w:tcW w:w="40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r>
      <w:tr>
        <w:trPr>
          <w:trHeight w:val="28"/>
        </w:trPr>
        <w:tc>
          <w:tcPr>
            <w:tcW w:w="9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consideration</w:t>
            </w:r>
          </w:p>
        </w:tc>
        <w:tc>
          <w:tcPr>
            <w:tcW w:w="4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pre-existing relationships</w:t>
            </w:r>
          </w:p>
        </w:tc>
        <w:tc>
          <w:tcPr>
            <w:tcW w:w="40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w:t>
            </w:r>
          </w:p>
        </w:tc>
      </w:tr>
      <w:tr>
        <w:trPr>
          <w:trHeight w:val="28"/>
        </w:trPr>
        <w:tc>
          <w:tcPr>
            <w:tcW w:w="9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purchase consideration transferred</w:t>
            </w:r>
          </w:p>
        </w:tc>
        <w:tc>
          <w:tcPr>
            <w:tcW w:w="400" w:type="dxa"/>
            <w:vAlign w:val="bottom"/>
            <w:tcBorders>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7,954</w:t>
            </w:r>
          </w:p>
        </w:tc>
      </w:tr>
      <w:tr>
        <w:trPr>
          <w:trHeight w:val="20"/>
        </w:trPr>
        <w:tc>
          <w:tcPr>
            <w:tcW w:w="9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deferred consideration is payable in cash and equity and is due for payment no later than March 1, 2025.</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At the PW Acquisition Date, as required by ASC 805, the Company’s existing 50% equity in PW, which was previously recognized as an equity method investment, was revalued to reflect the fair value at this date. The fair value of this existing equity method investment was $6.2 million, which was calculated as 50% of the fair value of PW total equity value, excluding the impact of any synergies or control premium that would be realized by a controlling interest. The change in fair value has resulted in a gain of $4.4 million being recognized. This gain has been recognized in the Gain (loss) on investments line of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9040" w:type="dxa"/>
            <w:vAlign w:val="bottom"/>
          </w:tcPr>
          <w:p>
            <w:pPr>
              <w:ind w:left="5080"/>
              <w:spacing w:after="0"/>
              <w:rPr>
                <w:sz w:val="20"/>
                <w:szCs w:val="20"/>
                <w:color w:val="auto"/>
              </w:rPr>
            </w:pPr>
            <w:r>
              <w:rPr>
                <w:rFonts w:ascii="Times New Roman" w:cs="Times New Roman" w:eastAsia="Times New Roman" w:hAnsi="Times New Roman"/>
                <w:sz w:val="16"/>
                <w:szCs w:val="16"/>
                <w:b w:val="1"/>
                <w:bCs w:val="1"/>
                <w:color w:val="auto"/>
              </w:rPr>
              <w:t>AlTi Global, Inc.</w:t>
            </w: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040" w:type="dxa"/>
            <w:vAlign w:val="bottom"/>
          </w:tcPr>
          <w:p>
            <w:pPr>
              <w:ind w:left="318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90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the fair values of the assets acquired, and liabilities assumed in connection with the PW business combination:</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40" w:type="dxa"/>
            <w:vAlign w:val="bottom"/>
          </w:tcPr>
          <w:p>
            <w:pPr>
              <w:spacing w:after="0"/>
              <w:rPr>
                <w:sz w:val="24"/>
                <w:szCs w:val="24"/>
                <w:color w:val="auto"/>
              </w:rPr>
            </w:pPr>
          </w:p>
        </w:tc>
        <w:tc>
          <w:tcPr>
            <w:tcW w:w="200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PW Acquisition Date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4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16,736</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8"/>
        </w:trPr>
        <w:tc>
          <w:tcPr>
            <w:tcW w:w="9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05"/>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0" w:type="dxa"/>
            <w:vAlign w:val="bottom"/>
          </w:tcPr>
          <w:p>
            <w:pPr>
              <w:spacing w:after="0"/>
              <w:rPr>
                <w:sz w:val="1"/>
                <w:szCs w:val="1"/>
                <w:color w:val="auto"/>
              </w:rPr>
            </w:pPr>
          </w:p>
        </w:tc>
      </w:tr>
      <w:tr>
        <w:trPr>
          <w:trHeight w:val="28"/>
        </w:trPr>
        <w:tc>
          <w:tcPr>
            <w:tcW w:w="9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2,630</w:t>
            </w:r>
          </w:p>
        </w:tc>
        <w:tc>
          <w:tcPr>
            <w:tcW w:w="0" w:type="dxa"/>
            <w:vAlign w:val="bottom"/>
          </w:tcPr>
          <w:p>
            <w:pPr>
              <w:spacing w:after="0"/>
              <w:rPr>
                <w:sz w:val="1"/>
                <w:szCs w:val="1"/>
                <w:color w:val="auto"/>
              </w:rPr>
            </w:pPr>
          </w:p>
        </w:tc>
      </w:tr>
      <w:tr>
        <w:trPr>
          <w:trHeight w:val="196"/>
        </w:trPr>
        <w:tc>
          <w:tcPr>
            <w:tcW w:w="9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Acquired and Liabilities Assumed</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14,106</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purchase price allocation is preliminary and subject to change during the measurement period, which is not to exceed one year from the PW Acquisition Date. When the valuation is final, changes to the valuation of acquired assets and liabilities could result in adjustments to identified intangibles and goodwill.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Net Assets Acquired and Intangibles</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Goodwill is comprised of expected synergies of the combined operations, including employees acquired in a business combination. The total amount of goodwill arising in the transaction was allocated to the Company’s Wealth Management segment. The components of goodwill do not qualify as a separately recognized intangible asset. The Company will test for impairment in other periods if an event occurs or circumstances change that may indicate impairment.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PW business combination:</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40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24"/>
                <w:szCs w:val="24"/>
                <w:color w:val="auto"/>
              </w:rPr>
            </w:pPr>
          </w:p>
        </w:tc>
        <w:tc>
          <w:tcPr>
            <w:tcW w:w="228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PW Acquisition Date Fair Value</w:t>
            </w:r>
          </w:p>
        </w:tc>
        <w:tc>
          <w:tcPr>
            <w:tcW w:w="26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Estimated Life (Years)</w:t>
            </w:r>
          </w:p>
        </w:tc>
      </w:tr>
      <w:tr>
        <w:trPr>
          <w:trHeight w:val="28"/>
        </w:trPr>
        <w:tc>
          <w:tcPr>
            <w:tcW w:w="6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2600" w:type="dxa"/>
            <w:vAlign w:val="bottom"/>
            <w:tcBorders>
              <w:bottom w:val="single" w:sz="8" w:color="CCEEFF"/>
            </w:tcBorders>
            <w:shd w:val="clear" w:color="auto" w:fill="CCEEFF"/>
          </w:tcPr>
          <w:p>
            <w:pPr>
              <w:jc w:val="right"/>
              <w:ind w:right="1102"/>
              <w:spacing w:after="0"/>
              <w:rPr>
                <w:sz w:val="20"/>
                <w:szCs w:val="20"/>
                <w:color w:val="auto"/>
              </w:rPr>
            </w:pPr>
            <w:r>
              <w:rPr>
                <w:rFonts w:ascii="Times New Roman" w:cs="Times New Roman" w:eastAsia="Times New Roman" w:hAnsi="Times New Roman"/>
                <w:sz w:val="16"/>
                <w:szCs w:val="16"/>
                <w:color w:val="auto"/>
              </w:rPr>
              <w:t>14</w:t>
            </w:r>
          </w:p>
        </w:tc>
      </w:tr>
      <w:tr>
        <w:trPr>
          <w:trHeight w:val="221"/>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26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fair value of customer relationships was determined using the multi-period excess earnings method. The intangible assets are subject to amortization over a useful life of 14 years.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results of the PW Acquisition have been included in the Company’s condensed consolidated financial statements from the PW Acquisition Date. Prior to the PW Acquisition Date, the results of PW were included as a 50% held equity method investment.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Pro Forma Financial Information (Unaudited)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results of operations for the AWMS acquisition for the three and six months ended June 30, 2024, the EEA and PW acquisitions for the three months ended June 30, 2024,</w:t>
      </w:r>
    </w:p>
    <w:p>
      <w:pPr>
        <w:spacing w:after="0" w:line="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6"/>
          <w:szCs w:val="16"/>
          <w:color w:val="auto"/>
        </w:rPr>
        <w:t>along with the ALWP acquisition for the three and six months ended June 30, 2024 and for the three months ended June 30, 2023, respectively, do not require pro forma disclosure as the results have been included in our unaudited condensed consolidated statement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85"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following selected unaudited supplemental pro forma financial information is a summary of our combined results for the six months ended June 30, 2024 and three and six months ended June 30, 2023 with EEA and PW, for the three and six months ended June 30, 2023 with AWMS, and for the six months ended June 30, 2023 with ALWP, respectively. The unaudited supplemental pro forma financial information gives effect to the acquisitions as if they had occurred on January 1, 2023.</w:t>
      </w:r>
    </w:p>
    <w:p>
      <w:pPr>
        <w:spacing w:after="0" w:line="1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unaudited pro forma financial information presented below is for informational purposes only, and is not necessarily indicative of the results that would have been achieved if the AWMS, ALWP, EEA, and PW acquisitions had taken place on January 1, 2023, nor is it indicative of future results.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2"/>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5"/>
                <w:szCs w:val="15"/>
                <w:color w:val="auto"/>
              </w:rPr>
            </w:pPr>
          </w:p>
        </w:tc>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49,453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105,160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119,194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8"/>
              </w:rPr>
              <w:t>(8,959)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8"/>
              </w:rPr>
              <w:t>(62,747)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Deconsolidation of Alvarium Home REIT Advisors Ltd</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AlTi was formed on January 3, 2023, through a business combination transaction that included certain legacy Alvarium companies. While the sale of AHRA occurred prior to the Business Combination, under GAAP, its results were required to be consolidated in our financial statements until June 30, 2023, when it was deconsolidated. On June 30, 2023, the Company entered into a series of agreements that resulted in the deconsolidation of AHRA from the Strategic Alternatives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3, 2023 to June 30, 2023, and its accounts were removed from the Condensed Consolidated Statement of Financial Position as of June 30, 2023. The deconsolidation resulted in an intangible asset impairment charge of $29.4 million, which was recorded in Impairment loss on goodwill and intangible assets in the Condensed Consolidated Statement of Operations during the year ended December 31, 2023. Assets managed by AHRA, however, have been excluded from the Company’s AUM/AUA metrics since January 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Disposal of LRA</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June 30, 2024. This contingent consideration will be remeasured at fair value at each reporting date in accordance with ASC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with changes in fair value recognized in the Condensed Consolidated Statement of Operations in the period of change.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disposal was completed on March 6, 2024. As a result, the Company has recognized an intangible asset impairment charge of $23.5 million, which is recorded in Impairment loss on goodwill and intangible assets in the Consolidated Statement of Operations during the year ended December 31, 2023. In addition, as of December 31, 2023, the major classes of assets and liabilities of LRA were presented as held for sale in the Consolidated Statement of Financial Position. As of the six months ended June 30, 2024, there was no gain on disposal recognized in Gain (loss) on investments in the Condensed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Disposal of FOS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November 6, 2023, the Company entered into an agreement to sell FOS, the European-based trust and private office service which was part of the Company’s Wealth Management segment, for a cash consideration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of approximately $20.1 million. The transaction was completed on May 8, 2024. This disposal does not represent a strategic shift that will have a major impact on the Company’s operations, and as such, is not classified as a discontinued operation. As of December 31, 2023, the major classes of assets and liabilities of FOS were presented as held for sale in the Consolidated Statement of Financial Position. During the quarter ended June 30, 2024, a gain on disposal of $9.4 million was recognized in Gain (loss) on investments in the Condensed Consolidated Statement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Held for Sale</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carrying amounts of the major classes of assets and liabilities of FOS and LRA were presented as held for sale in the Consolidated Statement of Financial Position at December 31, 2023. As of the six months ended June 30, 2024, no assets or liabilities were classified as held for sale. The following table represents amounts presented as held for sale for the periods presented: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2"/>
        </w:trPr>
        <w:tc>
          <w:tcPr>
            <w:tcW w:w="9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5"/>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0"/>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bottom w:val="single" w:sz="8" w:color="CCEEFF"/>
            </w:tcBorders>
            <w:shd w:val="clear" w:color="auto" w:fill="CCEEFF"/>
          </w:tcPr>
          <w:p>
            <w:pPr>
              <w:spacing w:after="0"/>
              <w:rPr>
                <w:sz w:val="15"/>
                <w:szCs w:val="15"/>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46,658</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w:t>
            </w:r>
          </w:p>
        </w:tc>
      </w:tr>
      <w:tr>
        <w:trPr>
          <w:trHeight w:val="203"/>
        </w:trPr>
        <w:tc>
          <w:tcPr>
            <w:tcW w:w="9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 assets held for sale</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56,634</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54"/>
        </w:trPr>
        <w:tc>
          <w:tcPr>
            <w:tcW w:w="904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Borders>
              <w:bottom w:val="single" w:sz="8" w:color="CCEEFF"/>
            </w:tcBorders>
            <w:shd w:val="clear" w:color="auto" w:fill="CCEEFF"/>
          </w:tcPr>
          <w:p>
            <w:pPr>
              <w:spacing w:after="0"/>
              <w:rPr>
                <w:sz w:val="13"/>
                <w:szCs w:val="13"/>
                <w:color w:val="auto"/>
              </w:rPr>
            </w:pPr>
          </w:p>
        </w:tc>
        <w:tc>
          <w:tcPr>
            <w:tcW w:w="1920" w:type="dxa"/>
            <w:vAlign w:val="bottom"/>
            <w:tcBorders>
              <w:bottom w:val="single" w:sz="8" w:color="CCEEFF"/>
            </w:tcBorders>
            <w:shd w:val="clear" w:color="auto" w:fill="CCEEFF"/>
          </w:tcPr>
          <w:p>
            <w:pPr>
              <w:spacing w:after="0"/>
              <w:rPr>
                <w:sz w:val="13"/>
                <w:szCs w:val="13"/>
                <w:color w:val="auto"/>
              </w:rPr>
            </w:pP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w:t>
            </w:r>
          </w:p>
        </w:tc>
      </w:tr>
      <w:tr>
        <w:trPr>
          <w:trHeight w:val="22"/>
        </w:trPr>
        <w:tc>
          <w:tcPr>
            <w:tcW w:w="9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2"/>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w:t>
            </w:r>
          </w:p>
        </w:tc>
        <w:tc>
          <w:tcPr>
            <w:tcW w:w="3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r>
      <w:tr>
        <w:trPr>
          <w:trHeight w:val="19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8"/>
        </w:trPr>
        <w:tc>
          <w:tcPr>
            <w:tcW w:w="9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liabilities held for sale</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(13,792)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380" w:hanging="375"/>
        <w:spacing w:after="0"/>
        <w:tabs>
          <w:tab w:leader="none" w:pos="38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represents the Company’s revenue disaggregated by fee type for the periods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6"/>
                <w:szCs w:val="16"/>
                <w:color w:val="auto"/>
              </w:rPr>
            </w:pPr>
          </w:p>
        </w:tc>
        <w:tc>
          <w:tcPr>
            <w:tcW w:w="338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1"/>
        </w:trPr>
        <w:tc>
          <w:tcPr>
            <w:tcW w:w="38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8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5"/>
                <w:szCs w:val="15"/>
                <w:color w:val="auto"/>
              </w:rPr>
            </w:pPr>
          </w:p>
        </w:tc>
        <w:tc>
          <w:tcPr>
            <w:tcW w:w="15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0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47,029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93,314</w:t>
            </w:r>
          </w:p>
        </w:tc>
      </w:tr>
      <w:tr>
        <w:trPr>
          <w:trHeight w:val="205"/>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8"/>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3"/>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3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12,233</w:t>
            </w:r>
          </w:p>
        </w:tc>
      </w:tr>
      <w:tr>
        <w:trPr>
          <w:trHeight w:val="205"/>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fees/income</w:t>
            </w:r>
          </w:p>
        </w:tc>
        <w:tc>
          <w:tcPr>
            <w:tcW w:w="3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r>
      <w:tr>
        <w:trPr>
          <w:trHeight w:val="28"/>
        </w:trPr>
        <w:tc>
          <w:tcPr>
            <w:tcW w:w="3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109,332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20" w:type="dxa"/>
            <w:vAlign w:val="bottom"/>
          </w:tcPr>
          <w:p>
            <w:pPr>
              <w:spacing w:after="0"/>
              <w:rPr>
                <w:sz w:val="16"/>
                <w:szCs w:val="16"/>
                <w:color w:val="auto"/>
              </w:rPr>
            </w:pPr>
          </w:p>
        </w:tc>
        <w:tc>
          <w:tcPr>
            <w:tcW w:w="17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7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Management/advisory fees receivable</w:t>
            </w: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30,698</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b w:val="1"/>
                <w:bCs w:val="1"/>
                <w:color w:val="auto"/>
                <w:vertAlign w:val="superscript"/>
              </w:rPr>
              <w:t>(1)</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w:t>
            </w:r>
          </w:p>
        </w:tc>
      </w:tr>
      <w:tr>
        <w:trPr>
          <w:trHeight w:val="212"/>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fees receivable</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Ending balance </w:t>
            </w:r>
            <w:r>
              <w:rPr>
                <w:rFonts w:ascii="Times New Roman" w:cs="Times New Roman" w:eastAsia="Times New Roman" w:hAnsi="Times New Roman"/>
                <w:sz w:val="20"/>
                <w:szCs w:val="20"/>
                <w:b w:val="1"/>
                <w:bCs w:val="1"/>
                <w:color w:val="auto"/>
                <w:vertAlign w:val="superscript"/>
              </w:rPr>
              <w:t>(2)</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40,356</w:t>
            </w:r>
          </w:p>
        </w:tc>
      </w:tr>
      <w:tr>
        <w:trPr>
          <w:trHeight w:val="212"/>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fees/income receivable</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2"/>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management/advisory fees</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2"/>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other fees/income</w:t>
            </w:r>
          </w:p>
        </w:tc>
        <w:tc>
          <w:tcPr>
            <w:tcW w:w="1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r>
      <w:tr>
        <w:trPr>
          <w:trHeight w:val="205"/>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8"/>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
        </w:trPr>
        <w:tc>
          <w:tcPr>
            <w:tcW w:w="7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firstLine="5"/>
        <w:spacing w:after="0" w:line="271" w:lineRule="auto"/>
        <w:tabs>
          <w:tab w:leader="none" w:pos="138" w:val="left"/>
        </w:tabs>
        <w:numPr>
          <w:ilvl w:val="0"/>
          <w:numId w:val="40"/>
        </w:numPr>
        <w:rPr>
          <w:rFonts w:ascii="Times New Roman" w:cs="Times New Roman" w:eastAsia="Times New Roman" w:hAnsi="Times New Roman"/>
          <w:sz w:val="17"/>
          <w:szCs w:val="17"/>
          <w:b w:val="1"/>
          <w:bCs w:val="1"/>
          <w:color w:val="auto"/>
          <w:vertAlign w:val="superscript"/>
        </w:rPr>
      </w:pPr>
      <w:r>
        <w:rPr>
          <w:rFonts w:ascii="Times New Roman" w:cs="Times New Roman" w:eastAsia="Times New Roman" w:hAnsi="Times New Roman"/>
          <w:sz w:val="13"/>
          <w:szCs w:val="13"/>
          <w:color w:val="auto"/>
        </w:rPr>
        <w:t xml:space="preserve">As of June 30, 2024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3"/>
          <w:szCs w:val="13"/>
          <w:color w:val="auto"/>
        </w:rPr>
        <w:t xml:space="preserve"> December 31, 2023, this amount includes $0.8 million and $1.2 million, respectively, in Management/advisory fees receivable due from related parties. See Note 16 (Related Party Transactions) for further details.</w:t>
      </w:r>
    </w:p>
    <w:p>
      <w:pPr>
        <w:spacing w:after="0" w:line="98" w:lineRule="exact"/>
        <w:rPr>
          <w:rFonts w:ascii="Times New Roman" w:cs="Times New Roman" w:eastAsia="Times New Roman" w:hAnsi="Times New Roman"/>
          <w:sz w:val="17"/>
          <w:szCs w:val="17"/>
          <w:b w:val="1"/>
          <w:bCs w:val="1"/>
          <w:color w:val="auto"/>
          <w:vertAlign w:val="superscript"/>
        </w:rPr>
      </w:pPr>
    </w:p>
    <w:p>
      <w:pPr>
        <w:ind w:firstLine="5"/>
        <w:spacing w:after="0"/>
        <w:tabs>
          <w:tab w:leader="none" w:pos="117" w:val="left"/>
        </w:tabs>
        <w:numPr>
          <w:ilvl w:val="0"/>
          <w:numId w:val="40"/>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 xml:space="preserve">As of June 30, 2024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1"/>
          <w:szCs w:val="11"/>
          <w:color w:val="auto"/>
        </w:rPr>
        <w:t xml:space="preserve"> December 31, 2023, this amount includes $0.0 million and $14.9 million, respectively, in Incentive fees receivable due from related parties. See Note 16 (Related Party Transactions) for further details.</w:t>
      </w:r>
    </w:p>
    <w:p>
      <w:pPr>
        <w:spacing w:after="0" w:line="200" w:lineRule="exact"/>
        <w:rPr>
          <w:sz w:val="20"/>
          <w:szCs w:val="20"/>
          <w:color w:val="auto"/>
        </w:rPr>
      </w:pPr>
    </w:p>
    <w:p>
      <w:pPr>
        <w:spacing w:after="0" w:line="231" w:lineRule="exact"/>
        <w:rPr>
          <w:sz w:val="20"/>
          <w:szCs w:val="20"/>
          <w:color w:val="auto"/>
        </w:rPr>
      </w:pPr>
    </w:p>
    <w:p>
      <w:pPr>
        <w:ind w:left="380" w:hanging="375"/>
        <w:spacing w:after="0"/>
        <w:tabs>
          <w:tab w:leader="none" w:pos="38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Equity-Based Compensation and Earn-in Expenses</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The Company grants equity-based compensation awards in the form of restricted share units (“RSUs”) or performance restricted share units (“PRSUs”) for Class A Common Stock to its management, employees, consultants, and independent members of the board of directors under its 2023 Stock Incentive Plan (the “Plan”). The total number of shares of Class A Common Stock that may be issued under the Plan is 11,788,132, of which 735,147 remain available as of June 30, 2024. To the extent that an award expires or is canceled, forfeited, terminated, surrendered, exchanged or withheld to cover tax withholding obligations, the unissued awards will again be available for grant under the Plan.</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recognizes equity-based compensation expenses at the Company’s stock price as of the grant date. As of June 30, 2024, the Company has an unrecognized equity-based compensation expense of $30.4 million, which is expected to be recognized over a weighted average period of 2.32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equity-based compensation award activity for the six months ended June 30, 2024, and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137795</wp:posOffset>
            </wp:positionV>
            <wp:extent cx="409638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96385" cy="698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6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180" w:type="dxa"/>
            <w:vAlign w:val="bottom"/>
            <w:gridSpan w:val="4"/>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165"/>
        </w:trPr>
        <w:tc>
          <w:tcPr>
            <w:tcW w:w="4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 Average Grant</w:t>
            </w:r>
          </w:p>
        </w:tc>
      </w:tr>
      <w:tr>
        <w:trPr>
          <w:trHeight w:val="186"/>
        </w:trPr>
        <w:tc>
          <w:tcPr>
            <w:tcW w:w="48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0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80" w:type="dxa"/>
            <w:vAlign w:val="bottom"/>
          </w:tcPr>
          <w:p>
            <w:pPr>
              <w:spacing w:after="0"/>
              <w:rPr>
                <w:sz w:val="16"/>
                <w:szCs w:val="16"/>
                <w:color w:val="auto"/>
              </w:rPr>
            </w:pPr>
          </w:p>
        </w:tc>
        <w:tc>
          <w:tcPr>
            <w:tcW w:w="136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2"/>
        </w:trPr>
        <w:tc>
          <w:tcPr>
            <w:tcW w:w="48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common stock</w:t>
            </w:r>
          </w:p>
        </w:tc>
        <w:tc>
          <w:tcPr>
            <w:tcW w:w="1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awards outstanding at beginning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4,797,464</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6"/>
                <w:szCs w:val="16"/>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common stock granted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4,078,237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7,395,306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r>
      <w:tr>
        <w:trPr>
          <w:trHeight w:val="19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2"/>
        </w:trPr>
        <w:tc>
          <w:tcPr>
            <w:tcW w:w="4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Restricted common stock 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(1,823,811)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(2,534,202)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common stock awards outstanding at end of period</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6,694,972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4,781,009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equity-based compensation recognized, which is included in Compensation and employee benefits in the Condensed Consolidated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during the three and six months ended June 30, 2024, and June 30,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10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4"/>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22"/>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160" w:type="dxa"/>
            <w:vAlign w:val="bottom"/>
            <w:vMerge w:val="continue"/>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5"/>
                <w:szCs w:val="15"/>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2"/>
        </w:trPr>
        <w:tc>
          <w:tcPr>
            <w:tcW w:w="4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31,060</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1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 expense</w:t>
            </w:r>
          </w:p>
        </w:tc>
        <w:tc>
          <w:tcPr>
            <w:tcW w:w="1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0" w:type="dxa"/>
            <w:vAlign w:val="bottom"/>
          </w:tcPr>
          <w:p>
            <w:pPr>
              <w:spacing w:after="0"/>
              <w:rPr>
                <w:sz w:val="1"/>
                <w:szCs w:val="1"/>
                <w:color w:val="auto"/>
              </w:rPr>
            </w:pPr>
          </w:p>
        </w:tc>
      </w:tr>
      <w:tr>
        <w:trPr>
          <w:trHeight w:val="19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share</w:t>
            </w:r>
          </w:p>
        </w:tc>
        <w:tc>
          <w:tcPr>
            <w:tcW w:w="13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1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top w:val="single" w:sz="8" w:color="auto"/>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33,134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RSUs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connection with the Business Combination, certain of TWMH’s restricted units vested and the Company granted fully vested shares to Alvarium’s employees, resulting in compensation expense of $4.2 million and $24.6 million, respectively, during both the three and six months ended June 30,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Upon completion of the Business Combination, the Company issued 60,800 shares of Class A Common Stock to employees of the Company. These awards vested in full immediately and had a fair value of $10.00 per share, resulting in compensation expense of $0.6 million for both the three and six months ended June 30, 2023.</w:t>
      </w:r>
    </w:p>
    <w:p>
      <w:pPr>
        <w:spacing w:after="0" w:line="16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March 23, 2023, in connection with the Business Combination, the Company granted 65,554 RSUs to its board of directors, which vested over an approximate nine-month period and had a fair value of $12.56 per share. On March 1, 2024, the Company granted 138,564 RSUs to its board of directors, which vest over a four-month period and had a fair value of $5.87 per share. On June 26, 2024, the Company granted 123,732 RSUs to its board of directors, which vest over a twelve-month period and had a grant date fair value of $4.98 per share. These grants resulted in compensation expense of $0.6 million and $0.8 million for the three and six months ended June 30, 2024,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May 31, 2023, the Company granted 4,697,317 RSUs to its employees, which, vest over a three-year period and had a fair value of $4.35 per share. On June 5, 2024, the Company granted 2,219,661 RSUs to its employees, which vest over a three-year period and had a fair value of $4.78 per share. These grants resulted in compensation expense of $1.4 million and $1.5 million for the three months ended June 30, 2024 and June 30, 2023, respectively, and $3.4 million and $1.5 million for the six months ended June 30, 2024 and June 30, 2023, respectively. Since the initial grant date of these awards, 539,545 shares have been forfeited.</w:t>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On various dates throughout 2023, the Company granted 111,148 and 118,987 RSUs to employees, representative of buy-out equity awards as restricted units, vesting generally over a one to three year period, with a fair value of $7.66 and $8.72, respectively, per share. On February 6, 2024, the Company granted 29,154 shares of Class A Common Stock to employees, representative of buy-out equity awards as restricted units, vesting over a two year period, with a fair value of $5.36 per share. The Company recognized compensation expense of $0.1 million and $0.9 million for the three and six months ended June 30, 2024, respectively, related to these buy-out equity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PRSUs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The Company grants PRSUs to selected members of AlTi’s executive team. Vesting of the PRSUs is based on meeting certain market conditions and the requisite service period. The PRSUs are eligible to vest on a graded basis at the end of each of three annual periods, subject to the employee’s continued service with the Company through the applicable performance period, and are only earned upon achievement of total shareholder return of the Company’s Class A Common Stock exceeding certain thresholds.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June 5, 2024, the Company granted 1,567,125 PRSUs to participants and used a Monte Carlo simulation model to determine the average grant date fair value of $5.76 per share. Compensation expense associated with the PRSUs will be recognized over the longer of the expected achievement period for the service or market condition. These grants resulted in compensation expense of $0.5 million for both the three and six months ended June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amount of shares awarded will be calculated based on the twenty day average volume weighted average price of the Company's Class A Common Stock preceding the first and second payment dates. The Company recognized an expense for the earn-ins of $0.5 million and $1.1 million for the three months ended June 30, 2024, and June 30, 2023, respectively, and $2.5 million and $2.1 million for the six months ended June 30, 2024, and June 30, 2023, respectively.</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Separate from the compensatory Holbein Earn-Ins, the Holbein acquisition consideration included contingent consideration that was measured at fair value using estimates of future revenues as of the closing date.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acquisition consideration was also amended to crystallize the non-compensatory earn-in amount and follows the same fact pattern as the above-described amendment for the compensatory earn-ins. As of June 30, 2024, and December 31, 2023, this contingent consideration is recorded as a liability of $1.0 million and $1.8 million in the Earn-in consideration payable line of the Condensed Consolidated Statement of Financial Condition and Consolidated Statement of Financial Condition, respectively.</w:t>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In connection with the Company’s acquisition of EEA (see Note 3 Business Combinations and Divestitures), certain employees of EEA are entitled to receive a portion of the contingent consideration comprised of a combination of additional cash and shares of the Company (the “EEA Earn-Ins”) based on the future EBITDA performance targets between the closing date and the fifth anniversary of the closing date, which is April 1, 2024. The portion of the EEA Earn-Ins to be issued in shares was measured at fair value as of the closing date. The Company recognized compensation expense for the estimated shares in relation to the accrual of the EEA Earn-Ins of $0.3 million for both the three and six months ended June 30, 2024.</w:t>
      </w:r>
    </w:p>
    <w:p>
      <w:pPr>
        <w:spacing w:after="0" w:line="1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connection with the Company’s acquisition of PW (see Note 3 Business Combinations and Divestitures), certain employees of PW are entitled to receive additional shares of the Company (the “PW Earn-Ins”). The PW Earn-Ins are payable in equity upon the achievement of certain integration milestones and are due for payment no later than March 1, 2025. The Company recognized compensation expense in relation to the accrual of the PW Earn-Ins of $0.2 million for both the three and six months ended June 30,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Share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During the three and six months ended June 30, 2024, the Company accrued $0.2 million and $0.4 million, respectively, in compensation expense related to various revenue share arrangements to its employees, which is included in Compensation and employee benefits in the Condensed Consolidated Statement of Operations and in Accrued compensation and profit sharing in the Condensed Consolidated Statement of Financial Position.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Compensation Liability</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connection with the ALWP Acquisition, during the three and six months ended June 30, 2024, the Company accrued $1.2 million and $2.4 million, respectively, in shares of Class A Common Stock which is included in Compensation and employee benefits in the Condensed Consolidated Statement of Operations and in Accrued compensation and profit sharing in the Condensed Consolidated Statement of Financial Position.</w:t>
      </w:r>
    </w:p>
    <w:p>
      <w:pPr>
        <w:spacing w:after="0" w:line="221" w:lineRule="exact"/>
        <w:rPr>
          <w:sz w:val="20"/>
          <w:szCs w:val="20"/>
          <w:color w:val="auto"/>
        </w:rPr>
      </w:pPr>
    </w:p>
    <w:p>
      <w:pPr>
        <w:ind w:left="380" w:hanging="375"/>
        <w:spacing w:after="0"/>
        <w:tabs>
          <w:tab w:leader="none" w:pos="38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spacing w:after="0" w:line="1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and Connecticut unincorporated business tax (“UBT”). Further, the Company’s income tax provision and related income tax assets and liabilities are based on, among other things, an estimate of the tax implications to both the Company and Umbrella Partnership resulting from exchanges of Warrants and Class B Units for shares of Class A Common Stock. The Company’s estimate is based on the most recent information available. The tax basis and state impact of the Company’s controlling interest in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Umbrella Partnership and its underlying assets and liabilities are based on estimates subject to finalization of the Company’s tax returns.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Company had an effective tax rate of 7.8% and (121.8)% for the three months ended June 30, 2024, and June 30, 2023, respectively, and (3.2)% and 14.8% for the six months ended June 30, 2024, and June 30, 2023,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 from the statutory rate primarily due to the portion of income allocated to noncontrolling interests, the portion of losses incurred primarily in the United Kingdom for which no tax benefit is recognized, and the impact of state and local and non-U.S. taxes.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Company regularly evaluates the realizability of its deferred tax asset and may recognize or adjust any valuation allowance when it is more-likely-than-not that all or a portion of the deferred tax asset may not be realized. As of June 30, 2024, the Company has recorded valuation allowances against a portion of its deferred tax assets generated by its subsidiaries in the United Kingdom.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and June 30, 2023, the Company has evaluated its tax filing positions and has not recorded a reserve for unrecognized tax benefits.</w:t>
      </w:r>
    </w:p>
    <w:p>
      <w:pPr>
        <w:spacing w:after="0" w:line="249" w:lineRule="exact"/>
        <w:rPr>
          <w:sz w:val="20"/>
          <w:szCs w:val="20"/>
          <w:color w:val="auto"/>
        </w:rPr>
      </w:pPr>
    </w:p>
    <w:p>
      <w:pPr>
        <w:ind w:left="380" w:hanging="375"/>
        <w:spacing w:after="0"/>
        <w:tabs>
          <w:tab w:leader="none" w:pos="38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Disclosures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spacing w:after="0" w:line="111" w:lineRule="exact"/>
        <w:rPr>
          <w:sz w:val="20"/>
          <w:szCs w:val="20"/>
          <w:color w:val="auto"/>
        </w:rPr>
      </w:pPr>
    </w:p>
    <w:p>
      <w:pPr>
        <w:ind w:left="1020" w:hanging="506"/>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 Valuations based on unadjusted quoted prices in active markets for identical assets or liabilities that the Company has the ability to access.</w:t>
      </w:r>
    </w:p>
    <w:p>
      <w:pPr>
        <w:spacing w:after="0" w:line="13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 Valuations based on quoted prices in markets that are not active or for which all significant inputs are observable, either directly or indirectly.</w:t>
      </w:r>
    </w:p>
    <w:p>
      <w:pPr>
        <w:spacing w:after="0" w:line="14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 Valuations based on inputs that are unobservable and significant to the overall fair value measurement.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Level 3 Valuation Techniques</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consideration a combination of internal and external factors. Financial instruments for which market prices are not observable include:</w:t>
      </w:r>
    </w:p>
    <w:p>
      <w:pPr>
        <w:spacing w:after="0" w:line="111" w:lineRule="exact"/>
        <w:rPr>
          <w:sz w:val="20"/>
          <w:szCs w:val="20"/>
          <w:color w:val="auto"/>
        </w:rPr>
      </w:pPr>
    </w:p>
    <w:p>
      <w:pPr>
        <w:ind w:left="520" w:hanging="260"/>
        <w:spacing w:after="0" w:line="262"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Business Combination Earn-Out Liability - </w:t>
      </w:r>
      <w:r>
        <w:rPr>
          <w:rFonts w:ascii="Times New Roman" w:cs="Times New Roman" w:eastAsia="Times New Roman" w:hAnsi="Times New Roman"/>
          <w:sz w:val="16"/>
          <w:szCs w:val="16"/>
          <w:color w:val="auto"/>
        </w:rPr>
        <w:t>The Company’s valuation approach utilized a Monte Carlo simulation to estimate future share prices and the implied earn-out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discounted using the risk-free rate.</w:t>
      </w:r>
    </w:p>
    <w:p>
      <w:pPr>
        <w:spacing w:after="0" w:line="75" w:lineRule="exact"/>
        <w:rPr>
          <w:rFonts w:ascii="Times New Roman" w:cs="Times New Roman" w:eastAsia="Times New Roman" w:hAnsi="Times New Roman"/>
          <w:sz w:val="16"/>
          <w:szCs w:val="16"/>
          <w:color w:val="auto"/>
        </w:rPr>
      </w:pPr>
    </w:p>
    <w:p>
      <w:pPr>
        <w:ind w:left="520" w:hanging="260"/>
        <w:spacing w:after="0" w:line="275"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 Liability - </w:t>
      </w:r>
      <w:r>
        <w:rPr>
          <w:rFonts w:ascii="Times New Roman" w:cs="Times New Roman" w:eastAsia="Times New Roman" w:hAnsi="Times New Roman"/>
          <w:sz w:val="16"/>
          <w:szCs w:val="16"/>
          <w:color w:val="auto"/>
        </w:rPr>
        <w:t>The Company’s valuation approach utilized a Monte Carlo simulation to estimate future taxable income, share prices, and the implied TRA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is estimated based on the Company’s credit rating.</w:t>
      </w:r>
    </w:p>
    <w:p>
      <w:pPr>
        <w:spacing w:after="0" w:line="77" w:lineRule="exact"/>
        <w:rPr>
          <w:rFonts w:ascii="Times New Roman" w:cs="Times New Roman" w:eastAsia="Times New Roman" w:hAnsi="Times New Roman"/>
          <w:sz w:val="16"/>
          <w:szCs w:val="16"/>
          <w:color w:val="auto"/>
        </w:rPr>
      </w:pPr>
    </w:p>
    <w:p>
      <w:pPr>
        <w:ind w:left="520" w:hanging="260"/>
        <w:spacing w:after="0" w:line="275"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AWMS Earn-Out Liability - </w:t>
      </w:r>
      <w:r>
        <w:rPr>
          <w:rFonts w:ascii="Times New Roman" w:cs="Times New Roman" w:eastAsia="Times New Roman" w:hAnsi="Times New Roman"/>
          <w:sz w:val="16"/>
          <w:szCs w:val="16"/>
          <w:color w:val="auto"/>
        </w:rPr>
        <w:t>The Company’s valuation approach utilized a Monte Carlo simulation to estimate future revenue and the implied earn out payment discounted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using the liability discount rate which is estimated based on the Company’s credit rating.</w:t>
      </w:r>
    </w:p>
    <w:p>
      <w:pPr>
        <w:spacing w:after="0" w:line="87" w:lineRule="exact"/>
        <w:rPr>
          <w:rFonts w:ascii="Times New Roman" w:cs="Times New Roman" w:eastAsia="Times New Roman" w:hAnsi="Times New Roman"/>
          <w:sz w:val="16"/>
          <w:szCs w:val="16"/>
          <w:color w:val="auto"/>
        </w:rPr>
      </w:pPr>
    </w:p>
    <w:p>
      <w:pPr>
        <w:ind w:left="520" w:hanging="260"/>
        <w:spacing w:after="0" w:line="262"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EEA Earn-Out Liability - </w:t>
      </w:r>
      <w:r>
        <w:rPr>
          <w:rFonts w:ascii="Times New Roman" w:cs="Times New Roman" w:eastAsia="Times New Roman" w:hAnsi="Times New Roman"/>
          <w:sz w:val="16"/>
          <w:szCs w:val="16"/>
          <w:color w:val="auto"/>
        </w:rPr>
        <w:t>The Company’s valuation approach utilized a Discounted Cash Flow approach to determine the fair value using the liability discount rate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estimated based on the Company’s credit quality.</w:t>
      </w:r>
    </w:p>
    <w:p>
      <w:pPr>
        <w:spacing w:after="0" w:line="96" w:lineRule="exact"/>
        <w:rPr>
          <w:rFonts w:ascii="Times New Roman" w:cs="Times New Roman" w:eastAsia="Times New Roman" w:hAnsi="Times New Roman"/>
          <w:sz w:val="16"/>
          <w:szCs w:val="16"/>
          <w:color w:val="auto"/>
        </w:rPr>
      </w:pPr>
    </w:p>
    <w:p>
      <w:pPr>
        <w:jc w:val="both"/>
        <w:ind w:left="520" w:hanging="260"/>
        <w:spacing w:after="0" w:line="253"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Earn-In Consideration Payable - </w:t>
      </w:r>
      <w:r>
        <w:rPr>
          <w:rFonts w:ascii="Times New Roman" w:cs="Times New Roman" w:eastAsia="Times New Roman" w:hAnsi="Times New Roman"/>
          <w:sz w:val="16"/>
          <w:szCs w:val="16"/>
          <w:color w:val="auto"/>
        </w:rPr>
        <w:t>The Company’s valuation approach utilized a Monte Carlo simulation to estimate future revenue and the implied earn in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discounted using the liability discount rate which was estimated based on the credit rating of TWMH. On July 14, 2023, the Company amended the Holbein purchase agreement related to the Holbein acquisition discussed in Note 5 (Equity-Based Compensation and Earn-in Expenses), which crystallized the contingent earn-in consideration amount and discontinued the use of a Level 3 valuation technique.</w:t>
      </w:r>
    </w:p>
    <w:p>
      <w:pPr>
        <w:spacing w:after="0" w:line="94" w:lineRule="exact"/>
        <w:rPr>
          <w:rFonts w:ascii="Times New Roman" w:cs="Times New Roman" w:eastAsia="Times New Roman" w:hAnsi="Times New Roman"/>
          <w:sz w:val="16"/>
          <w:szCs w:val="16"/>
          <w:color w:val="auto"/>
        </w:rPr>
      </w:pPr>
    </w:p>
    <w:p>
      <w:pPr>
        <w:jc w:val="both"/>
        <w:ind w:left="520" w:hanging="260"/>
        <w:spacing w:after="0" w:line="253" w:lineRule="auto"/>
        <w:tabs>
          <w:tab w:leader="none" w:pos="51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Investments in External Strategic Managers - </w:t>
      </w:r>
      <w:r>
        <w:rPr>
          <w:rFonts w:ascii="Times New Roman" w:cs="Times New Roman" w:eastAsia="Times New Roman" w:hAnsi="Times New Roman"/>
          <w:sz w:val="16"/>
          <w:szCs w:val="16"/>
          <w:color w:val="auto"/>
        </w:rPr>
        <w:t>The Company utilized a Discounted Cash Flow approach to determine the fair value of the External Strategic Managers.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spacing w:after="0" w:line="168" w:lineRule="exact"/>
        <w:rPr>
          <w:rFonts w:ascii="Times New Roman" w:cs="Times New Roman" w:eastAsia="Times New Roman" w:hAnsi="Times New Roman"/>
          <w:sz w:val="16"/>
          <w:szCs w:val="16"/>
          <w:color w:val="auto"/>
        </w:rPr>
      </w:pPr>
    </w:p>
    <w:p>
      <w:pPr>
        <w:ind w:left="520" w:right="600" w:hanging="260"/>
        <w:spacing w:after="0" w:line="295"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 xml:space="preserve">Contingent Consideration Receivable - </w:t>
      </w:r>
      <w:r>
        <w:rPr>
          <w:rFonts w:ascii="Times New Roman" w:cs="Times New Roman" w:eastAsia="Times New Roman" w:hAnsi="Times New Roman"/>
          <w:sz w:val="16"/>
          <w:szCs w:val="16"/>
          <w:color w:val="auto"/>
        </w:rPr>
        <w:t>The Company utilized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Monte Carlo simulation to estimate the future share price of the acquirer of LXi, and the implied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contingent consideration discounted using the risk-free rate and the acquirer’s estimated credit spread.</w:t>
      </w:r>
    </w:p>
    <w:p>
      <w:pPr>
        <w:spacing w:after="0" w:line="67"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b w:val="1"/>
          <w:bCs w:val="1"/>
          <w:color w:val="auto"/>
        </w:rPr>
        <w:t xml:space="preserve">Warrant Liabilities </w:t>
      </w:r>
      <w:r>
        <w:rPr>
          <w:rFonts w:ascii="Times New Roman" w:cs="Times New Roman" w:eastAsia="Times New Roman" w:hAnsi="Times New Roman"/>
          <w:sz w:val="16"/>
          <w:szCs w:val="16"/>
          <w:color w:val="auto"/>
        </w:rPr>
        <w:t>- The fair value of the Constellation Warrants is determined based on Level 3 inputs using a Black-Scholes-Merton option pricing model. As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June 30, 2024, the Constellation Warrants amounted to $2.9 million and is included in the line item Warrant liabilities, at fair value of the Condensed Consolidated Statement of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valuation methodologies table below for further analysis of Level 3 valuations.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is a summary categorization, as of June 30, 2024, and December 31, 2023, of the Company’s financial instruments based on the inputs utilized in determining the value of such financial instruments. Investments at fair value as of June 30, 2024, and December 31, 2023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2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External Strategic Managers </w:t>
            </w:r>
            <w:r>
              <w:rPr>
                <w:rFonts w:ascii="Times New Roman" w:cs="Times New Roman" w:eastAsia="Times New Roman" w:hAnsi="Times New Roman"/>
                <w:sz w:val="16"/>
                <w:szCs w:val="16"/>
                <w:b w:val="1"/>
                <w:bCs w:val="1"/>
                <w:color w:val="auto"/>
                <w:vertAlign w:val="superscript"/>
              </w:rPr>
              <w:t>(1)</w:t>
            </w:r>
          </w:p>
        </w:tc>
        <w:tc>
          <w:tcPr>
            <w:tcW w:w="12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161,145</w:t>
            </w:r>
          </w:p>
        </w:tc>
      </w:tr>
      <w:tr>
        <w:trPr>
          <w:trHeight w:val="191"/>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Affiliated Funds </w:t>
            </w:r>
            <w:r>
              <w:rPr>
                <w:rFonts w:ascii="Times New Roman" w:cs="Times New Roman" w:eastAsia="Times New Roman" w:hAnsi="Times New Roman"/>
                <w:sz w:val="16"/>
                <w:szCs w:val="16"/>
                <w:b w:val="1"/>
                <w:bCs w:val="1"/>
                <w:color w:val="auto"/>
                <w:vertAlign w:val="superscript"/>
              </w:rPr>
              <w:t>(2)</w:t>
            </w:r>
          </w:p>
        </w:tc>
        <w:tc>
          <w:tcPr>
            <w:tcW w:w="1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w:t>
            </w:r>
          </w:p>
        </w:tc>
      </w:tr>
      <w:tr>
        <w:trPr>
          <w:trHeight w:val="183"/>
        </w:trPr>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Contingent consideration receivable</w:t>
            </w: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1,834</w:t>
            </w: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164,068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 liability</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Earn-out liability</w:t>
            </w:r>
          </w:p>
        </w:tc>
        <w:tc>
          <w:tcPr>
            <w:tcW w:w="1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49,124</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TRA liability </w:t>
            </w:r>
            <w:r>
              <w:rPr>
                <w:rFonts w:ascii="Times New Roman" w:cs="Times New Roman" w:eastAsia="Times New Roman" w:hAnsi="Times New Roman"/>
                <w:sz w:val="16"/>
                <w:szCs w:val="16"/>
                <w:b w:val="1"/>
                <w:bCs w:val="1"/>
                <w:color w:val="auto"/>
                <w:vertAlign w:val="superscript"/>
              </w:rPr>
              <w:t>(3)</w:t>
            </w:r>
          </w:p>
        </w:tc>
        <w:tc>
          <w:tcPr>
            <w:tcW w:w="12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6,911</w:t>
            </w:r>
          </w:p>
        </w:tc>
      </w:tr>
      <w:tr>
        <w:trPr>
          <w:trHeight w:val="183"/>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2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tcPr>
          <w:p>
            <w:pPr>
              <w:spacing w:after="0"/>
              <w:rPr>
                <w:sz w:val="16"/>
                <w:szCs w:val="16"/>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58,969</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59,938</w:t>
            </w:r>
          </w:p>
        </w:tc>
      </w:tr>
      <w:tr>
        <w:trPr>
          <w:trHeight w:val="20"/>
        </w:trPr>
        <w:tc>
          <w:tcPr>
            <w:tcW w:w="50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5"/>
        <w:spacing w:after="0" w:line="252" w:lineRule="auto"/>
        <w:tabs>
          <w:tab w:leader="none" w:pos="117" w:val="left"/>
        </w:tabs>
        <w:numPr>
          <w:ilvl w:val="0"/>
          <w:numId w:val="4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fair value of certain investments within the Company’s Investments - External Strategic Managers are reported on a one-month lag from the fund financial statements due to timing of the information provided by the funds and third-party entities unless information is available on a more timely basis. As a result, any changes in the markets in which our managed funds operate, and the impact market conditions have on underlying asset valuations, may not yet be reflected in reported amounts.</w:t>
      </w:r>
    </w:p>
    <w:p>
      <w:pPr>
        <w:spacing w:after="0" w:line="207" w:lineRule="exact"/>
        <w:rPr>
          <w:rFonts w:ascii="Times New Roman" w:cs="Times New Roman" w:eastAsia="Times New Roman" w:hAnsi="Times New Roman"/>
          <w:sz w:val="14"/>
          <w:szCs w:val="14"/>
          <w:b w:val="1"/>
          <w:bCs w:val="1"/>
          <w:color w:val="auto"/>
          <w:vertAlign w:val="superscript"/>
        </w:rPr>
      </w:pPr>
    </w:p>
    <w:p>
      <w:pPr>
        <w:jc w:val="both"/>
        <w:ind w:firstLine="5"/>
        <w:spacing w:after="0" w:line="269" w:lineRule="auto"/>
        <w:tabs>
          <w:tab w:leader="none" w:pos="128" w:val="left"/>
        </w:tabs>
        <w:numPr>
          <w:ilvl w:val="0"/>
          <w:numId w:val="4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spacing w:after="0" w:line="200" w:lineRule="exact"/>
        <w:rPr>
          <w:rFonts w:ascii="Times New Roman" w:cs="Times New Roman" w:eastAsia="Times New Roman" w:hAnsi="Times New Roman"/>
          <w:sz w:val="14"/>
          <w:szCs w:val="14"/>
          <w:b w:val="1"/>
          <w:bCs w:val="1"/>
          <w:color w:val="auto"/>
          <w:vertAlign w:val="superscript"/>
        </w:rPr>
      </w:pPr>
    </w:p>
    <w:p>
      <w:pPr>
        <w:ind w:left="120" w:hanging="115"/>
        <w:spacing w:after="0"/>
        <w:tabs>
          <w:tab w:leader="none" w:pos="120" w:val="left"/>
        </w:tabs>
        <w:numPr>
          <w:ilvl w:val="0"/>
          <w:numId w:val="4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Company carries a portion of its TRA liability at fair value equal to the expected future payments under the TRA.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spacing w:after="0"/>
              <w:rPr>
                <w:sz w:val="15"/>
                <w:szCs w:val="15"/>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Quoted Prices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1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Mutual funds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Exchange-traded funds</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83"/>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1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164,084</w:t>
            </w: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Investments – Affiliated Funds </w:t>
            </w:r>
            <w:r>
              <w:rPr>
                <w:rFonts w:ascii="Times New Roman" w:cs="Times New Roman" w:eastAsia="Times New Roman" w:hAnsi="Times New Roman"/>
                <w:sz w:val="16"/>
                <w:szCs w:val="16"/>
                <w:b w:val="1"/>
                <w:bCs w:val="1"/>
                <w:color w:val="auto"/>
                <w:vertAlign w:val="superscript"/>
              </w:rPr>
              <w:t>(1)</w:t>
            </w:r>
          </w:p>
        </w:tc>
        <w:tc>
          <w:tcPr>
            <w:tcW w:w="1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r>
      <w:tr>
        <w:trPr>
          <w:trHeight w:val="182"/>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165,894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50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83"/>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Earn-out liability</w:t>
            </w:r>
          </w:p>
        </w:tc>
        <w:tc>
          <w:tcPr>
            <w:tcW w:w="1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63,444</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xml:space="preserve">TRA liability </w:t>
            </w:r>
            <w:r>
              <w:rPr>
                <w:rFonts w:ascii="Times New Roman" w:cs="Times New Roman" w:eastAsia="Times New Roman" w:hAnsi="Times New Roman"/>
                <w:sz w:val="16"/>
                <w:szCs w:val="16"/>
                <w:b w:val="1"/>
                <w:bCs w:val="1"/>
                <w:color w:val="auto"/>
                <w:vertAlign w:val="superscript"/>
              </w:rPr>
              <w:t>(3)</w:t>
            </w:r>
          </w:p>
        </w:tc>
        <w:tc>
          <w:tcPr>
            <w:tcW w:w="11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6"/>
                <w:szCs w:val="16"/>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r>
      <w:tr>
        <w:trPr>
          <w:trHeight w:val="183"/>
        </w:trPr>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 consideration payable</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5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1,830</w:t>
            </w:r>
          </w:p>
        </w:tc>
        <w:tc>
          <w:tcPr>
            <w:tcW w:w="80" w:type="dxa"/>
            <w:vAlign w:val="bottom"/>
          </w:tcPr>
          <w:p>
            <w:pPr>
              <w:spacing w:after="0"/>
              <w:rPr>
                <w:sz w:val="16"/>
                <w:szCs w:val="16"/>
                <w:color w:val="auto"/>
              </w:rPr>
            </w:pP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78,507</w:t>
            </w:r>
          </w:p>
        </w:tc>
      </w:tr>
      <w:tr>
        <w:trPr>
          <w:trHeight w:val="20"/>
        </w:trPr>
        <w:tc>
          <w:tcPr>
            <w:tcW w:w="5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5"/>
        <w:spacing w:after="0" w:line="269" w:lineRule="auto"/>
        <w:tabs>
          <w:tab w:leader="none" w:pos="128" w:val="left"/>
        </w:tabs>
        <w:numPr>
          <w:ilvl w:val="0"/>
          <w:numId w:val="47"/>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Consolidated Statement of Financial Position.</w:t>
      </w:r>
    </w:p>
    <w:p>
      <w:pPr>
        <w:spacing w:after="0" w:line="200" w:lineRule="exact"/>
        <w:rPr>
          <w:rFonts w:ascii="Times New Roman" w:cs="Times New Roman" w:eastAsia="Times New Roman" w:hAnsi="Times New Roman"/>
          <w:sz w:val="14"/>
          <w:szCs w:val="14"/>
          <w:b w:val="1"/>
          <w:bCs w:val="1"/>
          <w:color w:val="auto"/>
          <w:vertAlign w:val="superscript"/>
        </w:rPr>
      </w:pPr>
    </w:p>
    <w:p>
      <w:pPr>
        <w:ind w:left="120" w:hanging="115"/>
        <w:spacing w:after="0"/>
        <w:tabs>
          <w:tab w:leader="none" w:pos="120" w:val="left"/>
        </w:tabs>
        <w:numPr>
          <w:ilvl w:val="0"/>
          <w:numId w:val="47"/>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Company carries a portion of its TRA liability at fair value based on the expected future payments under the TRA.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Fair Value Measurements Categorized within Level 3</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Unrealized gains and losses on the Company’s assets and liabilities carried at fair value on a recurring basis are included within other loss in the Condensed Consolidated Statement of Operations. During the year ended December 31, 2023, there was one transfer from Level 3 to Level 1 of the earn-in consideration payable. The following table sets forth a summary of changes in the fair value of Level 3 measurements as of June 30, 2024 and December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Level 3 Liabilities as of June 30, 2024</w:t>
            </w: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55"/>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Earn-out</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AWMS earn-out</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TRA liability</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EEA earn-out liability</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Warrant liabilities</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76,677</w:t>
            </w:r>
          </w:p>
        </w:tc>
      </w:tr>
      <w:tr>
        <w:trPr>
          <w:trHeight w:val="183"/>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1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23,308</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26,311</w:t>
            </w:r>
          </w:p>
        </w:tc>
      </w:tr>
      <w:tr>
        <w:trPr>
          <w:trHeight w:val="19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gains/(losses)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(38,334)</w:t>
            </w:r>
          </w:p>
        </w:tc>
        <w:tc>
          <w:tcPr>
            <w:tcW w:w="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(44,019)</w:t>
            </w:r>
          </w:p>
        </w:tc>
      </w:tr>
      <w:tr>
        <w:trPr>
          <w:trHeight w:val="19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24,046</w:t>
            </w:r>
          </w:p>
        </w:tc>
        <w:tc>
          <w:tcPr>
            <w:tcW w:w="80" w:type="dxa"/>
            <w:vAlign w:val="bottom"/>
          </w:tcPr>
          <w:p>
            <w:pPr>
              <w:spacing w:after="0"/>
              <w:rPr>
                <w:sz w:val="16"/>
                <w:szCs w:val="16"/>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23,978</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58,969</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Level 3 Liabilities as of December 31, 2023</w:t>
            </w: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55"/>
        </w:trPr>
        <w:tc>
          <w:tcPr>
            <w:tcW w:w="2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Earn-out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AWMS earn-out</w:t>
            </w:r>
          </w:p>
        </w:tc>
        <w:tc>
          <w:tcPr>
            <w:tcW w:w="8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Earn-in consideration</w:t>
            </w: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6"/>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TRA Liability</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91,761</w:t>
            </w: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106,280</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Issuances</w:t>
            </w:r>
          </w:p>
        </w:tc>
        <w:tc>
          <w:tcPr>
            <w:tcW w:w="13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w:t>
            </w:r>
          </w:p>
        </w:tc>
      </w:tr>
      <w:tr>
        <w:trPr>
          <w:trHeight w:val="19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Settlements</w:t>
            </w:r>
          </w:p>
        </w:tc>
        <w:tc>
          <w:tcPr>
            <w:tcW w:w="13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(gains) losses</w:t>
            </w:r>
          </w:p>
        </w:tc>
        <w:tc>
          <w:tcPr>
            <w:tcW w:w="1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(29,381)</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(30,494)</w:t>
            </w:r>
          </w:p>
        </w:tc>
      </w:tr>
      <w:tr>
        <w:trPr>
          <w:trHeight w:val="19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Transfers out of Level 3</w:t>
            </w: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6"/>
                <w:szCs w:val="16"/>
                <w:color w:val="auto"/>
              </w:rPr>
            </w:pPr>
          </w:p>
        </w:tc>
        <w:tc>
          <w:tcPr>
            <w:tcW w:w="1240" w:type="dxa"/>
            <w:vAlign w:val="bottom"/>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76,677</w:t>
            </w:r>
          </w:p>
        </w:tc>
      </w:tr>
      <w:tr>
        <w:trPr>
          <w:trHeight w:val="20"/>
        </w:trPr>
        <w:tc>
          <w:tcPr>
            <w:tcW w:w="25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Level 3 Assets as of June 30, 2024</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66"/>
        </w:trPr>
        <w:tc>
          <w:tcPr>
            <w:tcW w:w="540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 External Strategic</w:t>
            </w:r>
          </w:p>
        </w:tc>
        <w:tc>
          <w:tcPr>
            <w:tcW w:w="180" w:type="dxa"/>
            <w:vAlign w:val="bottom"/>
          </w:tcPr>
          <w:p>
            <w:pPr>
              <w:spacing w:after="0"/>
              <w:rPr>
                <w:sz w:val="14"/>
                <w:szCs w:val="14"/>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Contingent Consideration</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Managers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Receivable</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164,077</w:t>
            </w:r>
          </w:p>
        </w:tc>
      </w:tr>
      <w:tr>
        <w:trPr>
          <w:trHeight w:val="183"/>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and Unrealized Gains (Losses)</w:t>
            </w:r>
          </w:p>
        </w:tc>
        <w:tc>
          <w:tcPr>
            <w:tcW w:w="3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(3,039)</w:t>
            </w:r>
          </w:p>
        </w:tc>
      </w:tr>
      <w:tr>
        <w:trPr>
          <w:trHeight w:val="19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r>
      <w:tr>
        <w:trPr>
          <w:trHeight w:val="189"/>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161,139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162,973</w:t>
            </w: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3"/>
          <w:szCs w:val="13"/>
          <w:b w:val="1"/>
          <w:bCs w:val="1"/>
          <w:color w:val="auto"/>
        </w:rPr>
        <w:t>Level 3 Assets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20955</wp:posOffset>
            </wp:positionV>
            <wp:extent cx="24790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80" w:type="dxa"/>
            <w:vAlign w:val="bottom"/>
          </w:tcPr>
          <w:p>
            <w:pPr>
              <w:spacing w:after="0"/>
              <w:rPr>
                <w:sz w:val="13"/>
                <w:szCs w:val="13"/>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Investments – External Strategic</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73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Managers</w:t>
            </w:r>
          </w:p>
        </w:tc>
        <w:tc>
          <w:tcPr>
            <w:tcW w:w="440" w:type="dxa"/>
            <w:vAlign w:val="bottom"/>
          </w:tcPr>
          <w:p>
            <w:pPr>
              <w:spacing w:after="0"/>
              <w:rPr>
                <w:sz w:val="15"/>
                <w:szCs w:val="15"/>
                <w:color w:val="auto"/>
              </w:rPr>
            </w:pPr>
          </w:p>
        </w:tc>
        <w:tc>
          <w:tcPr>
            <w:tcW w:w="1460" w:type="dxa"/>
            <w:vAlign w:val="bottom"/>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146,130</w:t>
            </w:r>
          </w:p>
        </w:tc>
      </w:tr>
      <w:tr>
        <w:trPr>
          <w:trHeight w:val="183"/>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and Unrealized Gains (Losses)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100" w:type="dxa"/>
            <w:vAlign w:val="bottom"/>
          </w:tcPr>
          <w:p>
            <w:pPr>
              <w:spacing w:after="0"/>
              <w:rPr>
                <w:sz w:val="15"/>
                <w:szCs w:val="15"/>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9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Purchases</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15,367</w:t>
            </w:r>
          </w:p>
        </w:tc>
      </w:tr>
      <w:tr>
        <w:trPr>
          <w:trHeight w:val="189"/>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164,077</w:t>
            </w:r>
          </w:p>
        </w:tc>
      </w:tr>
      <w:tr>
        <w:trPr>
          <w:trHeight w:val="20"/>
        </w:trPr>
        <w:tc>
          <w:tcPr>
            <w:tcW w:w="7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June 30,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to Valuation</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an Increase in</w:t>
            </w:r>
          </w:p>
        </w:tc>
        <w:tc>
          <w:tcPr>
            <w:tcW w:w="0" w:type="dxa"/>
            <w:vAlign w:val="bottom"/>
          </w:tcPr>
          <w:p>
            <w:pPr>
              <w:spacing w:after="0"/>
              <w:rPr>
                <w:sz w:val="1"/>
                <w:szCs w:val="1"/>
                <w:color w:val="auto"/>
              </w:rPr>
            </w:pPr>
          </w:p>
        </w:tc>
      </w:tr>
      <w:tr>
        <w:trPr>
          <w:trHeight w:val="17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Techniques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Ranges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0" w:type="dxa"/>
            <w:vAlign w:val="bottom"/>
          </w:tcPr>
          <w:p>
            <w:pPr>
              <w:spacing w:after="0"/>
              <w:rPr>
                <w:sz w:val="1"/>
                <w:szCs w:val="1"/>
                <w:color w:val="auto"/>
              </w:rPr>
            </w:pPr>
          </w:p>
        </w:tc>
      </w:tr>
      <w:tr>
        <w:trPr>
          <w:trHeight w:val="17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Assets: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161,139</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 -29%</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Long-term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receivable</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6,911</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Correlation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Cost of debt range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 - 15.0%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Equity risk premium</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 - 14.3%</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Earn-out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24,046</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AWMS earn-out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Revenue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EEA earn-out liability</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23,978</w:t>
            </w: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EBITDA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 liabilities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100" w:type="dxa"/>
            <w:vAlign w:val="bottom"/>
          </w:tcPr>
          <w:p>
            <w:pPr>
              <w:spacing w:after="0"/>
              <w:rPr>
                <w:sz w:val="15"/>
                <w:szCs w:val="15"/>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Black-Scholes-Merton model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Methodologies for Fair Value Measurements Categorized within Level 3 as of December 31,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8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Fair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Valuation</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to Valuation</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from an Increase in</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Techniques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Ranges</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Level 3 Assets:</w:t>
            </w:r>
          </w:p>
        </w:tc>
        <w:tc>
          <w:tcPr>
            <w:tcW w:w="8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 External Strategic Managers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164,077</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 -29.0%</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Long-term 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Level 3 Liabilities: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13,233</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Correlation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Cost of debt range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- 5.1%</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Equity risk premium</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- 13.1%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62,380</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AWMS earn-out liability</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Monte Carlo</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Higher</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Revenue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99"/>
        </w:trPr>
        <w:tc>
          <w:tcPr>
            <w:tcW w:w="40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r>
        <w:trPr>
          <w:trHeight w:val="170"/>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Deferred Payment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Liability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Lower</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80" w:hanging="375"/>
        <w:spacing w:after="0"/>
        <w:tabs>
          <w:tab w:leader="none" w:pos="38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Method Investments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Company had $7.5 million and $14.2 million, of equity method investments recorded within equity method investments on the Condensed Consolidated Statement of Financial Position and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w:t>
      </w:r>
    </w:p>
    <w:p>
      <w:pPr>
        <w:spacing w:after="0" w:line="1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For the three months ended June 30, 2024 and June 30, 2023, the Company recognized $4.0 million and $— million, respectively, and for the six months ended June 30, 2024 and June 30, 2023, the Company recognized $4.0 million and $0.3 million, respectively, of impairment on its equity method investments within gain (loss) on investments in the Condensed Consolidated Statement of Operations. Additionally, as part of the Business Combination, AlTi acquired the right to carried interest on several projects. These are held as assets at cost less impairment. The Company assesses for indicators of impairment every quarter utilizing a number of factors, including market conditions. For the three months ended June 30, 2024 and June 30, 2023, the Company recognized $28.2 thousand and $1.8 million, respectively, and for the six months ended June 30, 2024 and June 30, 2023, the Company recognized $68.3 thousand and $1.8 million, respectively, of impairment to these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hanging="375"/>
        <w:spacing w:after="0"/>
        <w:tabs>
          <w:tab w:leader="none" w:pos="38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include Investments at fair value and Equity method investments.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at fair value consist of investments for which the fair value option has been elected. The primary reasons for electing the fair value option are to:</w:t>
      </w:r>
    </w:p>
    <w:p>
      <w:pPr>
        <w:spacing w:after="0" w:line="134" w:lineRule="exact"/>
        <w:rPr>
          <w:sz w:val="20"/>
          <w:szCs w:val="20"/>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economic events in earnings on a timely basis;</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mitigate volatility in earnings from using different measurement attributes; and</w:t>
      </w:r>
    </w:p>
    <w:p>
      <w:pPr>
        <w:spacing w:after="0" w:line="14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simplification and cost-benefit considerations</w:t>
      </w:r>
    </w:p>
    <w:p>
      <w:pPr>
        <w:spacing w:after="0" w:line="1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Such election is irrevocable and is applied on an investment-by-investment basis at initial recognition or at other eligible election dates. Changes in the fair value of such instruments are recognized in Loss on investments in the Condensed Consolidated Statement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Fair Value of Investments as of June 30, 2024 and December 31, 2023 are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60" w:type="dxa"/>
            <w:vAlign w:val="bottom"/>
          </w:tcPr>
          <w:p>
            <w:pPr>
              <w:spacing w:after="0"/>
              <w:rPr>
                <w:sz w:val="16"/>
                <w:szCs w:val="16"/>
                <w:color w:val="auto"/>
              </w:rPr>
            </w:pPr>
          </w:p>
        </w:tc>
        <w:tc>
          <w:tcPr>
            <w:tcW w:w="290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1"/>
        </w:trPr>
        <w:tc>
          <w:tcPr>
            <w:tcW w:w="4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5"/>
                <w:szCs w:val="15"/>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3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Mutual funds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Exchange-traded funds</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Associates Master Fund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 Enhanced Master Fund</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TIG Arbitrage Enhanced</w:t>
            </w: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Arkkan Opportunities Feeder Fund</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Arkkan Capital Management Limited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24,822</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Zebedee Asset Management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72,280</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69,454</w:t>
            </w: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Romspen Investment Corporation </w:t>
            </w:r>
            <w:r>
              <w:rPr>
                <w:rFonts w:ascii="Times New Roman" w:cs="Times New Roman" w:eastAsia="Times New Roman" w:hAnsi="Times New Roman"/>
                <w:sz w:val="18"/>
                <w:szCs w:val="18"/>
                <w:b w:val="1"/>
                <w:bCs w:val="1"/>
                <w:color w:val="auto"/>
                <w:vertAlign w:val="superscript"/>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69,802</w:t>
            </w: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Investments at fair value</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162,507</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162,234</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163,157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165,894</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4"/>
        </w:trPr>
        <w:tc>
          <w:tcPr>
            <w:tcW w:w="4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method investments: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equity method investments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1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r>
      <w:tr>
        <w:trPr>
          <w:trHeight w:val="19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 - investment advisory</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r>
      <w:tr>
        <w:trPr>
          <w:trHeight w:val="22"/>
        </w:trPr>
        <w:tc>
          <w:tcPr>
            <w:tcW w:w="4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Carried interest vehicles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w:t>
            </w:r>
          </w:p>
        </w:tc>
      </w:tr>
      <w:tr>
        <w:trPr>
          <w:trHeight w:val="181"/>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Equity method investments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w:t>
            </w:r>
          </w:p>
        </w:tc>
      </w:tr>
      <w:tr>
        <w:trPr>
          <w:trHeight w:val="22"/>
        </w:trPr>
        <w:tc>
          <w:tcPr>
            <w:tcW w:w="4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2"/>
        </w:trPr>
        <w:tc>
          <w:tcPr>
            <w:tcW w:w="4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2"/>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170,011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169,738</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180,088</w:t>
            </w: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firstLine="5"/>
        <w:spacing w:after="0" w:line="226" w:lineRule="auto"/>
        <w:tabs>
          <w:tab w:leader="none" w:pos="131" w:val="left"/>
        </w:tabs>
        <w:numPr>
          <w:ilvl w:val="0"/>
          <w:numId w:val="5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at fair value include unrealized gains (losses) and realized gains (losses) in the Condensed Consolidated Statement of Financial Position.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breakdown of unrealized gains (losses) and realized gains (losses) on Investments at fair value for the relevant periods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2940" w:type="dxa"/>
            <w:vAlign w:val="bottom"/>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2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3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Gains (Losses) on Investments at FV:</w:t>
            </w: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r>
      <w:tr>
        <w:trPr>
          <w:trHeight w:val="191"/>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Realized gains (losses)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center"/>
              <w:ind w:left="809"/>
              <w:spacing w:after="0"/>
              <w:rPr>
                <w:sz w:val="20"/>
                <w:szCs w:val="20"/>
                <w:color w:val="auto"/>
              </w:rPr>
            </w:pPr>
            <w:r>
              <w:rPr>
                <w:rFonts w:ascii="Times New Roman" w:cs="Times New Roman" w:eastAsia="Times New Roman" w:hAnsi="Times New Roman"/>
                <w:sz w:val="14"/>
                <w:szCs w:val="14"/>
                <w:color w:val="auto"/>
              </w:rPr>
              <w:t>5,685</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2"/>
        </w:trPr>
        <w:tc>
          <w:tcPr>
            <w:tcW w:w="4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gains (losses)</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w:t>
            </w:r>
          </w:p>
        </w:tc>
      </w:tr>
      <w:tr>
        <w:trPr>
          <w:trHeight w:val="20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gains (losses) on Investments at fair value</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center"/>
              <w:ind w:left="809"/>
              <w:spacing w:after="0"/>
              <w:rPr>
                <w:sz w:val="20"/>
                <w:szCs w:val="20"/>
                <w:color w:val="auto"/>
              </w:rPr>
            </w:pPr>
            <w:r>
              <w:rPr>
                <w:rFonts w:ascii="Times New Roman" w:cs="Times New Roman" w:eastAsia="Times New Roman" w:hAnsi="Times New Roman"/>
                <w:sz w:val="14"/>
                <w:szCs w:val="14"/>
                <w:color w:val="auto"/>
              </w:rPr>
              <w:t>3,770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w:t>
            </w:r>
          </w:p>
        </w:tc>
      </w:tr>
      <w:tr>
        <w:trPr>
          <w:trHeight w:val="20"/>
        </w:trPr>
        <w:tc>
          <w:tcPr>
            <w:tcW w:w="4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Intangible Assets,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Intangible assets, net reported on the Condensed 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3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438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21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 xml:space="preserve">Amount </w:t>
            </w:r>
            <w:r>
              <w:rPr>
                <w:rFonts w:ascii="Times New Roman" w:cs="Times New Roman" w:eastAsia="Times New Roman" w:hAnsi="Times New Roman"/>
                <w:sz w:val="18"/>
                <w:szCs w:val="18"/>
                <w:b w:val="1"/>
                <w:bCs w:val="1"/>
                <w:color w:val="auto"/>
                <w:w w:val="96"/>
                <w:vertAlign w:val="superscript"/>
              </w:rPr>
              <w:t>(2)</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8"/>
                <w:szCs w:val="18"/>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2"/>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Amortizing intangible assets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22.8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246,626</w:t>
            </w:r>
          </w:p>
        </w:tc>
      </w:tr>
      <w:tr>
        <w:trPr>
          <w:trHeight w:val="191"/>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management agreements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4"/>
                <w:szCs w:val="14"/>
                <w:color w:val="auto"/>
                <w:w w:val="98"/>
              </w:rPr>
              <w:t>(695)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9.4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w:t>
            </w:r>
          </w:p>
        </w:tc>
      </w:tr>
      <w:tr>
        <w:trPr>
          <w:trHeight w:val="191"/>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Acquired internally developed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intangible asset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43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amortized intangible assets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279,838</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w w:val="98"/>
              </w:rPr>
              <w:t>(695)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259,333</w:t>
            </w:r>
          </w:p>
        </w:tc>
      </w:tr>
      <w:tr>
        <w:trPr>
          <w:trHeight w:val="22"/>
        </w:trPr>
        <w:tc>
          <w:tcPr>
            <w:tcW w:w="4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Non-amortized intangible assets </w:t>
            </w:r>
            <w:r>
              <w:rPr>
                <w:rFonts w:ascii="Times New Roman" w:cs="Times New Roman" w:eastAsia="Times New Roman" w:hAnsi="Times New Roman"/>
                <w:sz w:val="18"/>
                <w:szCs w:val="18"/>
                <w:color w:val="auto"/>
                <w:vertAlign w:val="superscript"/>
              </w:rPr>
              <w:t>(1)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4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management agreements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245,900</w:t>
            </w:r>
          </w:p>
        </w:tc>
      </w:tr>
      <w:tr>
        <w:trPr>
          <w:trHeight w:val="22"/>
        </w:trPr>
        <w:tc>
          <w:tcPr>
            <w:tcW w:w="4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525,738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8"/>
              </w:rPr>
              <w:t>(695)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505,233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120" w:hanging="115"/>
        <w:spacing w:after="0"/>
        <w:tabs>
          <w:tab w:leader="none" w:pos="120" w:val="left"/>
        </w:tabs>
        <w:numPr>
          <w:ilvl w:val="0"/>
          <w:numId w:val="5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Company’s non-amortized intangible assets consist of management contracts for open-ended fund products, in which there is no contractual termination date.</w:t>
      </w:r>
    </w:p>
    <w:p>
      <w:pPr>
        <w:spacing w:after="0" w:line="178" w:lineRule="exact"/>
        <w:rPr>
          <w:rFonts w:ascii="Times New Roman" w:cs="Times New Roman" w:eastAsia="Times New Roman" w:hAnsi="Times New Roman"/>
          <w:sz w:val="14"/>
          <w:szCs w:val="14"/>
          <w:color w:val="auto"/>
          <w:vertAlign w:val="superscript"/>
        </w:rPr>
      </w:pPr>
    </w:p>
    <w:p>
      <w:pPr>
        <w:ind w:firstLine="5"/>
        <w:spacing w:after="0" w:line="270" w:lineRule="auto"/>
        <w:tabs>
          <w:tab w:leader="none" w:pos="117" w:val="left"/>
        </w:tabs>
        <w:numPr>
          <w:ilvl w:val="0"/>
          <w:numId w:val="5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of June 30, 2024, gross carrying amounts related to the Company’s intangible assets include additions to intangibles of $77.1 million related to the PW and EEA Acquisitions (see Note 3 Business Combinations and Divestitures) and foreign currency translation differences of $(1.0)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8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3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3"/>
                <w:szCs w:val="13"/>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Period (in years)</w:t>
            </w: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 xml:space="preserve">Amount </w:t>
            </w:r>
            <w:r>
              <w:rPr>
                <w:rFonts w:ascii="Times New Roman" w:cs="Times New Roman" w:eastAsia="Times New Roman" w:hAnsi="Times New Roman"/>
                <w:sz w:val="18"/>
                <w:szCs w:val="18"/>
                <w:b w:val="1"/>
                <w:bCs w:val="1"/>
                <w:color w:val="auto"/>
                <w:w w:val="96"/>
                <w:vertAlign w:val="superscript"/>
              </w:rPr>
              <w:t>(3)</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Impairment</w:t>
            </w:r>
          </w:p>
        </w:tc>
        <w:tc>
          <w:tcPr>
            <w:tcW w:w="1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Held for Sale</w:t>
            </w:r>
          </w:p>
        </w:tc>
        <w:tc>
          <w:tcPr>
            <w:tcW w:w="1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8"/>
                <w:szCs w:val="18"/>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1"/>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Amortizing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Customer relationships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25.3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177,270</w:t>
            </w:r>
          </w:p>
        </w:tc>
        <w:tc>
          <w:tcPr>
            <w:tcW w:w="0" w:type="dxa"/>
            <w:vAlign w:val="bottom"/>
          </w:tcPr>
          <w:p>
            <w:pPr>
              <w:spacing w:after="0"/>
              <w:rPr>
                <w:sz w:val="1"/>
                <w:szCs w:val="1"/>
                <w:color w:val="auto"/>
              </w:rPr>
            </w:pPr>
          </w:p>
        </w:tc>
      </w:tr>
      <w:tr>
        <w:trPr>
          <w:trHeight w:val="191"/>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xml:space="preserve">Investment management agreements </w:t>
            </w:r>
            <w:r>
              <w:rPr>
                <w:rFonts w:ascii="Times New Roman" w:cs="Times New Roman" w:eastAsia="Times New Roman" w:hAnsi="Times New Roman"/>
                <w:sz w:val="16"/>
                <w:szCs w:val="16"/>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Trade names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9,565</w:t>
            </w:r>
          </w:p>
        </w:tc>
        <w:tc>
          <w:tcPr>
            <w:tcW w:w="0" w:type="dxa"/>
            <w:vAlign w:val="bottom"/>
          </w:tcPr>
          <w:p>
            <w:pPr>
              <w:spacing w:after="0"/>
              <w:rPr>
                <w:sz w:val="1"/>
                <w:szCs w:val="1"/>
                <w:color w:val="auto"/>
              </w:rPr>
            </w:pPr>
          </w:p>
        </w:tc>
      </w:tr>
      <w:tr>
        <w:trPr>
          <w:trHeight w:val="183"/>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Acquired internally developed software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intangible asset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29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amortized intangible assets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303,668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189,777</w:t>
            </w:r>
          </w:p>
        </w:tc>
        <w:tc>
          <w:tcPr>
            <w:tcW w:w="0" w:type="dxa"/>
            <w:vAlign w:val="bottom"/>
          </w:tcPr>
          <w:p>
            <w:pPr>
              <w:spacing w:after="0"/>
              <w:rPr>
                <w:sz w:val="1"/>
                <w:szCs w:val="1"/>
                <w:color w:val="auto"/>
              </w:rPr>
            </w:pPr>
          </w:p>
        </w:tc>
      </w:tr>
      <w:tr>
        <w:trPr>
          <w:trHeight w:val="19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Non-amortized intangible assets </w:t>
            </w:r>
            <w:r>
              <w:rPr>
                <w:rFonts w:ascii="Times New Roman" w:cs="Times New Roman" w:eastAsia="Times New Roman" w:hAnsi="Times New Roman"/>
                <w:sz w:val="16"/>
                <w:szCs w:val="16"/>
                <w:color w:val="auto"/>
                <w:vertAlign w:val="superscript"/>
              </w:rPr>
              <w:t>(2)</w:t>
            </w: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Investment management agreements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245,900</w:t>
            </w:r>
          </w:p>
        </w:tc>
        <w:tc>
          <w:tcPr>
            <w:tcW w:w="0" w:type="dxa"/>
            <w:vAlign w:val="bottom"/>
          </w:tcPr>
          <w:p>
            <w:pPr>
              <w:spacing w:after="0"/>
              <w:rPr>
                <w:sz w:val="1"/>
                <w:szCs w:val="1"/>
                <w:color w:val="auto"/>
              </w:rPr>
            </w:pPr>
          </w:p>
        </w:tc>
      </w:tr>
      <w:tr>
        <w:trPr>
          <w:trHeight w:val="214"/>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intangible assets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549,568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(254)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435,677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5"/>
        <w:spacing w:after="0" w:line="242" w:lineRule="auto"/>
        <w:tabs>
          <w:tab w:leader="none" w:pos="136" w:val="left"/>
        </w:tabs>
        <w:numPr>
          <w:ilvl w:val="0"/>
          <w:numId w:val="5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During the year ended December 31, 2023, the Company deconsolidated AHRA (See Note 3 Business Combinations and Divestitures) and as a result, recorded an impairment charge of $29.4 million to the carrying value of AHRA’s investment advisory agreement with Home REIT, which is recorded in the line item Impairment loss on goodwill and intangible assets in the Consolidated Statement of Operations. On January 9th,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The contingent consideration meets the definition of a derivative and is recorded as Contingent consideration receivable on the Condensed Consolidated Statement of Financial Position as of June 30, 2024. This contingent consideration will be remeasured at fair value at each reporting date in accordance with ASC 820, </w:t>
      </w:r>
      <w:r>
        <w:rPr>
          <w:rFonts w:ascii="Times New Roman" w:cs="Times New Roman" w:eastAsia="Times New Roman" w:hAnsi="Times New Roman"/>
          <w:sz w:val="12"/>
          <w:szCs w:val="12"/>
          <w:i w:val="1"/>
          <w:iCs w:val="1"/>
          <w:color w:val="auto"/>
        </w:rPr>
        <w:t>Fair Value Measurement</w:t>
      </w:r>
      <w:r>
        <w:rPr>
          <w:rFonts w:ascii="Times New Roman" w:cs="Times New Roman" w:eastAsia="Times New Roman" w:hAnsi="Times New Roman"/>
          <w:sz w:val="12"/>
          <w:szCs w:val="12"/>
          <w:color w:val="auto"/>
        </w:rPr>
        <w:t>, with changes in fair value recognized in the Condensed Consolidated Statement of Operations in the period of change. The disposal completed on March 6, 2024. As a result, during the year ended December 31, 2023, AlTi recognized an intangible asset impairment charge of $23.5 million in Impairment loss on goodwill and intangible assets in the Consolidated Statement of Operations. In addition, as of December 31, 2023, the major classes of assets and liabilities of LRA were presented as held for sale in the Consolidated Statement of Financial Position. As of the six months ended June 30, 2024, there was no gain on disposal recognized in Gain (loss) on investments in the Condensed Consolidated Statement of Operations.</w:t>
      </w:r>
    </w:p>
    <w:p>
      <w:pPr>
        <w:spacing w:after="0" w:line="123" w:lineRule="exact"/>
        <w:rPr>
          <w:rFonts w:ascii="Times New Roman" w:cs="Times New Roman" w:eastAsia="Times New Roman" w:hAnsi="Times New Roman"/>
          <w:sz w:val="16"/>
          <w:szCs w:val="16"/>
          <w:color w:val="auto"/>
          <w:vertAlign w:val="superscript"/>
        </w:rPr>
      </w:pPr>
    </w:p>
    <w:p>
      <w:pPr>
        <w:ind w:left="120" w:hanging="115"/>
        <w:spacing w:after="0"/>
        <w:tabs>
          <w:tab w:leader="none" w:pos="120" w:val="left"/>
        </w:tabs>
        <w:numPr>
          <w:ilvl w:val="0"/>
          <w:numId w:val="5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Company’s non-amortized intangible assets consist of management contracts for open-ended fund products, in which there is no contractual termination date.</w:t>
      </w:r>
    </w:p>
    <w:p>
      <w:pPr>
        <w:spacing w:after="0" w:line="74" w:lineRule="exact"/>
        <w:rPr>
          <w:rFonts w:ascii="Times New Roman" w:cs="Times New Roman" w:eastAsia="Times New Roman" w:hAnsi="Times New Roman"/>
          <w:sz w:val="14"/>
          <w:szCs w:val="14"/>
          <w:color w:val="auto"/>
          <w:vertAlign w:val="superscript"/>
        </w:rPr>
      </w:pPr>
    </w:p>
    <w:p>
      <w:pPr>
        <w:ind w:left="140" w:hanging="135"/>
        <w:spacing w:after="0"/>
        <w:tabs>
          <w:tab w:leader="none" w:pos="14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Gross carrying amounts related to the Company’s intangible assets include foreign currency translation differences of $7.4 million as of December 31, 2023.</w:t>
      </w:r>
    </w:p>
    <w:p>
      <w:pPr>
        <w:spacing w:after="0" w:line="10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Amortization expense of approximately $3.4 million and $3.3 million for the three months ended June 30, 2024 and June 30, 2023, respectively, and approximately $5.8 million and $7.6 million for the six months ended June 30, 2024 and June 30, 2023, respectively, were recognized.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future amortization for finite-lived intangible assets for each of the next five years and thereafter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6"/>
                <w:szCs w:val="16"/>
                <w:color w:val="auto"/>
              </w:rPr>
            </w:pPr>
          </w:p>
        </w:tc>
        <w:tc>
          <w:tcPr>
            <w:tcW w:w="19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As of June 30, 2024</w:t>
            </w:r>
          </w:p>
        </w:tc>
      </w:tr>
      <w:tr>
        <w:trPr>
          <w:trHeight w:val="22"/>
        </w:trPr>
        <w:tc>
          <w:tcPr>
            <w:tcW w:w="9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13,801</w:t>
            </w:r>
          </w:p>
        </w:tc>
      </w:tr>
      <w:tr>
        <w:trPr>
          <w:trHeight w:val="22"/>
        </w:trPr>
        <w:tc>
          <w:tcPr>
            <w:tcW w:w="9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13,801</w:t>
            </w:r>
          </w:p>
        </w:tc>
      </w:tr>
      <w:tr>
        <w:trPr>
          <w:trHeight w:val="19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13,801</w:t>
            </w:r>
          </w:p>
        </w:tc>
      </w:tr>
      <w:tr>
        <w:trPr>
          <w:trHeight w:val="22"/>
        </w:trPr>
        <w:tc>
          <w:tcPr>
            <w:tcW w:w="9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2"/>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 and beyond</w:t>
            </w:r>
          </w:p>
        </w:tc>
        <w:tc>
          <w:tcPr>
            <w:tcW w:w="3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211,029</w:t>
            </w:r>
          </w:p>
        </w:tc>
      </w:tr>
      <w:tr>
        <w:trPr>
          <w:trHeight w:val="203"/>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259,333</w:t>
            </w:r>
          </w:p>
        </w:tc>
      </w:tr>
      <w:tr>
        <w:trPr>
          <w:trHeight w:val="20"/>
        </w:trPr>
        <w:tc>
          <w:tcPr>
            <w:tcW w:w="9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Other assets, net and Other liabilities,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breakdown of Other assets, net reported on the Condensed Consolidated Statement of Financial Position.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60" w:type="dxa"/>
            <w:vAlign w:val="bottom"/>
          </w:tcPr>
          <w:p>
            <w:pPr>
              <w:spacing w:after="0"/>
              <w:rPr>
                <w:sz w:val="16"/>
                <w:szCs w:val="16"/>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20" w:type="dxa"/>
            <w:vAlign w:val="bottom"/>
          </w:tcPr>
          <w:p>
            <w:pPr>
              <w:spacing w:after="0"/>
              <w:rPr>
                <w:sz w:val="16"/>
                <w:szCs w:val="16"/>
                <w:color w:val="auto"/>
              </w:rPr>
            </w:pPr>
          </w:p>
        </w:tc>
        <w:tc>
          <w:tcPr>
            <w:tcW w:w="2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7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360" w:type="dxa"/>
            <w:vAlign w:val="bottom"/>
            <w:tcBorders>
              <w:bottom w:val="single" w:sz="8" w:color="CCEEFF"/>
            </w:tcBorders>
            <w:shd w:val="clear" w:color="auto" w:fill="CCEEFF"/>
          </w:tcPr>
          <w:p>
            <w:pPr>
              <w:spacing w:after="0"/>
              <w:rPr>
                <w:sz w:val="14"/>
                <w:szCs w:val="14"/>
                <w:color w:val="auto"/>
              </w:rPr>
            </w:pPr>
          </w:p>
        </w:tc>
        <w:tc>
          <w:tcPr>
            <w:tcW w:w="2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r>
      <w:tr>
        <w:trPr>
          <w:trHeight w:val="191"/>
        </w:trPr>
        <w:tc>
          <w:tcPr>
            <w:tcW w:w="6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Leasehold improvements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r>
      <w:tr>
        <w:trPr>
          <w:trHeight w:val="22"/>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Office equipment and furniture</w:t>
            </w:r>
          </w:p>
        </w:tc>
        <w:tc>
          <w:tcPr>
            <w:tcW w:w="3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w:t>
            </w:r>
          </w:p>
        </w:tc>
      </w:tr>
      <w:tr>
        <w:trPr>
          <w:trHeight w:val="191"/>
        </w:trPr>
        <w:tc>
          <w:tcPr>
            <w:tcW w:w="6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difference</w:t>
            </w:r>
          </w:p>
        </w:tc>
        <w:tc>
          <w:tcPr>
            <w:tcW w:w="3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2"/>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2"/>
        </w:trPr>
        <w:tc>
          <w:tcPr>
            <w:tcW w:w="6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36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r>
      <w:tr>
        <w:trPr>
          <w:trHeight w:val="18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assets, net</w:t>
            </w:r>
          </w:p>
        </w:tc>
        <w:tc>
          <w:tcPr>
            <w:tcW w:w="36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w:t>
            </w:r>
          </w:p>
        </w:tc>
      </w:tr>
      <w:tr>
        <w:trPr>
          <w:trHeight w:val="22"/>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w:t>
            </w:r>
          </w:p>
        </w:tc>
        <w:tc>
          <w:tcPr>
            <w:tcW w:w="3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17,124</w:t>
            </w:r>
          </w:p>
        </w:tc>
      </w:tr>
      <w:tr>
        <w:trPr>
          <w:trHeight w:val="19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3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r>
      <w:tr>
        <w:trPr>
          <w:trHeight w:val="22"/>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Sundry receivables</w:t>
            </w:r>
          </w:p>
        </w:tc>
        <w:tc>
          <w:tcPr>
            <w:tcW w:w="36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w:t>
            </w:r>
          </w:p>
        </w:tc>
      </w:tr>
      <w:tr>
        <w:trPr>
          <w:trHeight w:val="19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12,204</w:t>
            </w:r>
          </w:p>
        </w:tc>
      </w:tr>
      <w:tr>
        <w:trPr>
          <w:trHeight w:val="22"/>
        </w:trPr>
        <w:tc>
          <w:tcPr>
            <w:tcW w:w="6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r>
      <w:tr>
        <w:trPr>
          <w:trHeight w:val="203"/>
        </w:trPr>
        <w:tc>
          <w:tcPr>
            <w:tcW w:w="6140" w:type="dxa"/>
            <w:vAlign w:val="bottom"/>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Other assets, net </w:t>
            </w:r>
            <w:r>
              <w:rPr>
                <w:rFonts w:ascii="Times New Roman" w:cs="Times New Roman" w:eastAsia="Times New Roman" w:hAnsi="Times New Roman"/>
                <w:sz w:val="18"/>
                <w:szCs w:val="18"/>
                <w:color w:val="auto"/>
                <w:vertAlign w:val="superscript"/>
              </w:rPr>
              <w:t>(1)</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58,709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48,182</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120" w:hanging="115"/>
        <w:spacing w:after="0"/>
        <w:tabs>
          <w:tab w:leader="none" w:pos="120" w:val="left"/>
        </w:tabs>
        <w:numPr>
          <w:ilvl w:val="0"/>
          <w:numId w:val="54"/>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June 30, 2024 and December 31, 2023, these amounts include $4.6 million and $6.7 million, respectively, in receivables due from related parties. See Note 16 (Related Party Transactions)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a breakdown of Other liabilities, net reported on the Condensed Consolidated Statement of Financial Position.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60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AWMS deferred cash consideration</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8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7,135</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PW deferred consideration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w:t>
            </w:r>
          </w:p>
        </w:tc>
        <w:tc>
          <w:tcPr>
            <w:tcW w:w="2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Corporation tax payable</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9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Sundry</w:t>
            </w:r>
          </w:p>
        </w:tc>
        <w:tc>
          <w:tcPr>
            <w:tcW w:w="2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80" w:type="dxa"/>
            <w:vAlign w:val="bottom"/>
            <w:tcBorders>
              <w:bottom w:val="single" w:sz="8" w:color="CCEEFF"/>
            </w:tcBorders>
            <w:shd w:val="clear" w:color="auto" w:fill="CCEEFF"/>
          </w:tcPr>
          <w:p>
            <w:pPr>
              <w:spacing w:after="0"/>
              <w:rPr>
                <w:sz w:val="16"/>
                <w:szCs w:val="16"/>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r>
      <w:tr>
        <w:trPr>
          <w:trHeight w:val="191"/>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8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r>
      <w:tr>
        <w:trPr>
          <w:trHeight w:val="22"/>
        </w:trPr>
        <w:tc>
          <w:tcPr>
            <w:tcW w:w="59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228"/>
        </w:trPr>
        <w:tc>
          <w:tcPr>
            <w:tcW w:w="5980" w:type="dxa"/>
            <w:vAlign w:val="bottom"/>
            <w:tcBorders>
              <w:bottom w:val="single" w:sz="8" w:color="CCEEFF"/>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4"/>
                <w:szCs w:val="14"/>
                <w:color w:val="auto"/>
              </w:rPr>
              <w:t xml:space="preserve">Other Liabilities, net </w:t>
            </w:r>
            <w:r>
              <w:rPr>
                <w:rFonts w:ascii="Times New Roman" w:cs="Times New Roman" w:eastAsia="Times New Roman" w:hAnsi="Times New Roman"/>
                <w:sz w:val="18"/>
                <w:szCs w:val="18"/>
                <w:color w:val="auto"/>
                <w:vertAlign w:val="superscript"/>
              </w:rPr>
              <w:t>(1)</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21,101</w:t>
            </w:r>
          </w:p>
        </w:tc>
        <w:tc>
          <w:tcPr>
            <w:tcW w:w="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firstLine="5"/>
        <w:spacing w:after="0" w:line="310" w:lineRule="auto"/>
        <w:tabs>
          <w:tab w:leader="none" w:pos="117" w:val="left"/>
        </w:tabs>
        <w:numPr>
          <w:ilvl w:val="0"/>
          <w:numId w:val="55"/>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June 30, 2024 and December 31, 2023, these amounts include $11.0 million and $8.4 million, respectively, in liabilities due to related parties. Additionally, certain reclassifications have been made during the current period and are no longer comparable to the year ended December 31, 2023. See Note 16 (Related Party Transactions) and Note 2 (Summary of Significant Accounting Policies), respectively,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Leases</w:t>
      </w:r>
    </w:p>
    <w:p>
      <w:pPr>
        <w:spacing w:after="0" w:line="1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primarily has non-cancellable operating leases for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 spaces across various countries. We categorize leases as either operating or finance leases at the commencement date of the respective lease.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lease costs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320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420" w:type="dxa"/>
            <w:vAlign w:val="bottom"/>
          </w:tcPr>
          <w:p>
            <w:pPr>
              <w:spacing w:after="0"/>
              <w:rPr>
                <w:sz w:val="16"/>
                <w:szCs w:val="16"/>
                <w:color w:val="auto"/>
              </w:rPr>
            </w:pPr>
          </w:p>
        </w:tc>
      </w:tr>
      <w:tr>
        <w:trPr>
          <w:trHeight w:val="22"/>
        </w:trPr>
        <w:tc>
          <w:tcPr>
            <w:tcW w:w="3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1"/>
        </w:trPr>
        <w:tc>
          <w:tcPr>
            <w:tcW w:w="39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420" w:type="dxa"/>
            <w:vAlign w:val="bottom"/>
          </w:tcPr>
          <w:p>
            <w:pPr>
              <w:spacing w:after="0"/>
              <w:rPr>
                <w:sz w:val="15"/>
                <w:szCs w:val="15"/>
                <w:color w:val="auto"/>
              </w:rPr>
            </w:pPr>
          </w:p>
        </w:tc>
      </w:tr>
      <w:tr>
        <w:trPr>
          <w:trHeight w:val="22"/>
        </w:trPr>
        <w:tc>
          <w:tcPr>
            <w:tcW w:w="39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8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34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r>
      <w:tr>
        <w:trPr>
          <w:trHeight w:val="19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expense</w:t>
            </w:r>
          </w:p>
        </w:tc>
        <w:tc>
          <w:tcPr>
            <w:tcW w:w="1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r>
      <w:tr>
        <w:trPr>
          <w:trHeight w:val="22"/>
        </w:trPr>
        <w:tc>
          <w:tcPr>
            <w:tcW w:w="3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2"/>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expense</w:t>
            </w:r>
          </w:p>
        </w:tc>
        <w:tc>
          <w:tcPr>
            <w:tcW w:w="13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w:t>
            </w:r>
          </w:p>
        </w:tc>
      </w:tr>
      <w:tr>
        <w:trPr>
          <w:trHeight w:val="20"/>
        </w:trPr>
        <w:tc>
          <w:tcPr>
            <w:tcW w:w="3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information and non-cash activity related to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gridSpan w:val="4"/>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1"/>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5"/>
                <w:szCs w:val="15"/>
                <w:color w:val="auto"/>
              </w:rPr>
            </w:pPr>
          </w:p>
        </w:tc>
        <w:tc>
          <w:tcPr>
            <w:tcW w:w="152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cash flow information:</w:t>
            </w:r>
          </w:p>
        </w:tc>
        <w:tc>
          <w:tcPr>
            <w:tcW w:w="3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 from operating leases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22"/>
        </w:trPr>
        <w:tc>
          <w:tcPr>
            <w:tcW w:w="7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activity:</w:t>
            </w:r>
          </w:p>
        </w:tc>
        <w:tc>
          <w:tcPr>
            <w:tcW w:w="3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Weighted-average remaining lease term and discount rate for our operating leases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59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r>
      <w:tr>
        <w:trPr>
          <w:trHeight w:val="191"/>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0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6.22 %</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Future minimum lease payments for the Company’s operating leases as of June 30, 2024,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Future Minimum Rental</w:t>
            </w:r>
          </w:p>
        </w:tc>
        <w:tc>
          <w:tcPr>
            <w:tcW w:w="0" w:type="dxa"/>
            <w:vAlign w:val="bottom"/>
          </w:tcPr>
          <w:p>
            <w:pPr>
              <w:spacing w:after="0"/>
              <w:rPr>
                <w:sz w:val="1"/>
                <w:szCs w:val="1"/>
                <w:color w:val="auto"/>
              </w:rPr>
            </w:pPr>
          </w:p>
        </w:tc>
      </w:tr>
      <w:tr>
        <w:trPr>
          <w:trHeight w:val="186"/>
        </w:trPr>
        <w:tc>
          <w:tcPr>
            <w:tcW w:w="9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2"/>
        </w:trPr>
        <w:tc>
          <w:tcPr>
            <w:tcW w:w="9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9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 of 2024</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6,957</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 and beyond</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60,012</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96,237</w:t>
            </w:r>
          </w:p>
        </w:tc>
        <w:tc>
          <w:tcPr>
            <w:tcW w:w="0" w:type="dxa"/>
            <w:vAlign w:val="bottom"/>
          </w:tcPr>
          <w:p>
            <w:pPr>
              <w:spacing w:after="0"/>
              <w:rPr>
                <w:sz w:val="1"/>
                <w:szCs w:val="1"/>
                <w:color w:val="auto"/>
              </w:rPr>
            </w:pP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31,956</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64,281</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Goodwill, net</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following tables provide a reconciliation of Goodwill, net reported on the Condensed Consolidated Statement of Financial Position and Consolidated Statement of Financial Position as of June 30, 2024 and December 31, 2023,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Strategic Alternatives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6"/>
        </w:trPr>
        <w:tc>
          <w:tcPr>
            <w:tcW w:w="44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8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4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2"/>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8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86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80" w:type="dxa"/>
            <w:vAlign w:val="bottom"/>
          </w:tcPr>
          <w:p>
            <w:pPr>
              <w:spacing w:after="0"/>
              <w:rPr>
                <w:sz w:val="16"/>
                <w:szCs w:val="16"/>
                <w:color w:val="auto"/>
              </w:rPr>
            </w:pPr>
          </w:p>
        </w:tc>
        <w:tc>
          <w:tcPr>
            <w:tcW w:w="1820" w:type="dxa"/>
            <w:vAlign w:val="bottom"/>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2"/>
        </w:trPr>
        <w:tc>
          <w:tcPr>
            <w:tcW w:w="4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860" w:type="dxa"/>
            <w:vAlign w:val="bottom"/>
            <w:tcBorders>
              <w:bottom w:val="single" w:sz="8" w:color="CCEEFF"/>
            </w:tcBorders>
            <w:shd w:val="clear" w:color="auto" w:fill="CCEEFF"/>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12"/>
        </w:trPr>
        <w:tc>
          <w:tcPr>
            <w:tcW w:w="44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2"/>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1860" w:type="dxa"/>
            <w:vAlign w:val="bottom"/>
            <w:tcBorders>
              <w:bottom w:val="single" w:sz="8" w:color="CCEEFF"/>
            </w:tcBorders>
            <w:shd w:val="clear" w:color="auto" w:fill="CCEEFF"/>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CCEEFF"/>
            </w:tcBorders>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32,317</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32,317</w:t>
            </w:r>
          </w:p>
        </w:tc>
      </w:tr>
      <w:tr>
        <w:trPr>
          <w:trHeight w:val="191"/>
        </w:trPr>
        <w:tc>
          <w:tcPr>
            <w:tcW w:w="4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Currency translation and other adjustments</w:t>
            </w:r>
          </w:p>
        </w:tc>
        <w:tc>
          <w:tcPr>
            <w:tcW w:w="1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r>
      <w:tr>
        <w:trPr>
          <w:trHeight w:val="22"/>
        </w:trPr>
        <w:tc>
          <w:tcPr>
            <w:tcW w:w="4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30,817</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29,363</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
        </w:trPr>
        <w:tc>
          <w:tcPr>
            <w:tcW w:w="4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2"/>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1860" w:type="dxa"/>
            <w:vAlign w:val="bottom"/>
            <w:tcBorders>
              <w:bottom w:val="single" w:sz="8" w:color="CCEEFF"/>
            </w:tcBorders>
            <w:shd w:val="clear" w:color="auto" w:fill="CCEEFF"/>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89,026</w:t>
            </w:r>
          </w:p>
        </w:tc>
        <w:tc>
          <w:tcPr>
            <w:tcW w:w="8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351,971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440,997</w:t>
            </w:r>
          </w:p>
        </w:tc>
      </w:tr>
      <w:tr>
        <w:trPr>
          <w:trHeight w:val="203"/>
        </w:trPr>
        <w:tc>
          <w:tcPr>
            <w:tcW w:w="4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1860" w:type="dxa"/>
            <w:vAlign w:val="bottom"/>
            <w:tcBorders>
              <w:top w:val="single" w:sz="8" w:color="auto"/>
              <w:bottom w:val="single" w:sz="8" w:color="auto"/>
            </w:tcBorders>
          </w:tcPr>
          <w:p>
            <w:pPr>
              <w:jc w:val="right"/>
              <w:ind w:right="17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89,026</w:t>
            </w:r>
          </w:p>
        </w:tc>
        <w:tc>
          <w:tcPr>
            <w:tcW w:w="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351,971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440,997</w:t>
            </w:r>
          </w:p>
        </w:tc>
      </w:tr>
      <w:tr>
        <w:trPr>
          <w:trHeight w:val="20"/>
        </w:trPr>
        <w:tc>
          <w:tcPr>
            <w:tcW w:w="4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Strategic Alternatives</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Wealth Management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6"/>
        </w:trPr>
        <w:tc>
          <w:tcPr>
            <w:tcW w:w="43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20" w:type="dxa"/>
            <w:vAlign w:val="bottom"/>
          </w:tcPr>
          <w:p>
            <w:pPr>
              <w:spacing w:after="0"/>
              <w:rPr>
                <w:sz w:val="16"/>
                <w:szCs w:val="16"/>
                <w:color w:val="auto"/>
              </w:rPr>
            </w:pPr>
          </w:p>
        </w:tc>
        <w:tc>
          <w:tcPr>
            <w:tcW w:w="22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00" w:type="dxa"/>
            <w:vAlign w:val="bottom"/>
          </w:tcPr>
          <w:p>
            <w:pPr>
              <w:spacing w:after="0"/>
              <w:rPr>
                <w:sz w:val="16"/>
                <w:szCs w:val="16"/>
                <w:color w:val="auto"/>
              </w:rPr>
            </w:pPr>
          </w:p>
        </w:tc>
        <w:tc>
          <w:tcPr>
            <w:tcW w:w="106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r>
      <w:tr>
        <w:trPr>
          <w:trHeight w:val="191"/>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60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 $</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530,547</w:t>
            </w: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232,429</w:t>
            </w:r>
          </w:p>
        </w:tc>
        <w:tc>
          <w:tcPr>
            <w:tcW w:w="6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298,118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530,547</w:t>
            </w:r>
          </w:p>
        </w:tc>
      </w:t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2"/>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Goodwill acquired during the period</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18,972</w:t>
            </w:r>
          </w:p>
        </w:tc>
      </w:tr>
      <w:tr>
        <w:trPr>
          <w:trHeight w:val="191"/>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charges</w:t>
            </w: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(153,859)</w:t>
            </w:r>
          </w:p>
        </w:tc>
      </w:tr>
      <w:tr>
        <w:trPr>
          <w:trHeight w:val="22"/>
        </w:trPr>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translation and other adjustments</w:t>
            </w: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600" w:type="dxa"/>
            <w:vAlign w:val="bottom"/>
            <w:tcBorders>
              <w:bottom w:val="single" w:sz="8" w:color="CCEEFF"/>
            </w:tcBorders>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15,974</w:t>
            </w:r>
          </w:p>
        </w:tc>
      </w:tr>
      <w:tr>
        <w:trPr>
          <w:trHeight w:val="181"/>
        </w:trPr>
        <w:tc>
          <w:tcPr>
            <w:tcW w:w="434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(141,949)</w:t>
            </w:r>
          </w:p>
        </w:tc>
        <w:tc>
          <w:tcPr>
            <w:tcW w:w="280" w:type="dxa"/>
            <w:vAlign w:val="bottom"/>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23,036</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(118,913)</w:t>
            </w:r>
          </w:p>
        </w:tc>
      </w:tr>
      <w:tr>
        <w:trPr>
          <w:trHeight w:val="22"/>
        </w:trPr>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191"/>
        </w:trPr>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goodwill</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60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goodwill</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w:t>
            </w:r>
          </w:p>
        </w:tc>
        <w:tc>
          <w:tcPr>
            <w:tcW w:w="60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411,634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and six months ended June 30, 2024, no triggering events were identified, and no impairment charge was recognized on goodwill from acquisitions.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During the year ended December 31, 2023, the Company evaluated as of September 30, 2023 whether circumstances existed, indicating that the fair value of its reporting units may have declined to an amount lower than the carrying value of goodwill recorded on its Consolidated Statement of Position as of that date. The Company considered a variety of factors, including the impact of prevailing market conditions, persistently high interest rates and uncertainties caused by inflation and certain world events as well as the recent actions taken by the Company to restructure and reposition certain of the businesses within its reporting units. Based on the evaluation of these factors, the Company concluded that triggering events had occurred during the period that required the Company to assess whether the goodwill allocated to its Strategic Alternatives segment was impaired. Accordingly, the Company performed a goodwill impairment test, which compared the estimated fair value of the Strategic Alternatives reporting unit to its carrying value. The Company utilized the discounted cash flow method under the income approach and the Guideline Public Company Method (“GPCM”) under the market approach, in equal</w:t>
      </w:r>
    </w:p>
    <w:p>
      <w:pPr>
        <w:jc w:val="both"/>
        <w:spacing w:after="0" w:line="217" w:lineRule="auto"/>
        <w:rPr>
          <w:sz w:val="20"/>
          <w:szCs w:val="20"/>
          <w:color w:val="auto"/>
        </w:rPr>
      </w:pPr>
      <w:r>
        <w:rPr>
          <w:rFonts w:ascii="Times New Roman" w:cs="Times New Roman" w:eastAsia="Times New Roman" w:hAnsi="Times New Roman"/>
          <w:sz w:val="16"/>
          <w:szCs w:val="16"/>
          <w:color w:val="auto"/>
        </w:rPr>
        <w:t>weightings, in determining a fair value for the reporting unit. The results of the impairment test performed at September 30, 2023 indicated that the carrying value of the Strategic Alternatives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reporting unit exceeded its estimated fair value by $153.6 million. Consequently, the Company recognized a goodwill impairment charge for this amount.</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assumptions used in the discounted cash flow analyses require significant judgment, including judgment about appropriate growth rates and the amount and timing of expected future cash flows. The Company’s forecasted cash flows were based on its current assessment of the markets and on assumed growth rates expected as of the measurement date. The key assumptions used in the cash flows were revenue growth rates, operating expenses, gross margins, and discount rates that appropriately reflect the risks inherent in the cash flow streams. Under the GPCM approach, the significant assumptions include the consideration of stock price and financial metrics from guideline companies.</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Debt, net of unamortized deferred financing cost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outstanding debt obligations of the Company as of June 30, 2024 and December 31,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Net Carrying</w:t>
            </w:r>
          </w:p>
        </w:tc>
        <w:tc>
          <w:tcPr>
            <w:tcW w:w="2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Net Carrying</w:t>
            </w:r>
          </w:p>
        </w:tc>
        <w:tc>
          <w:tcPr>
            <w:tcW w:w="240" w:type="dxa"/>
            <w:vAlign w:val="bottom"/>
          </w:tcPr>
          <w:p>
            <w:pPr>
              <w:spacing w:after="0"/>
              <w:rPr>
                <w:sz w:val="14"/>
                <w:szCs w:val="14"/>
                <w:color w:val="auto"/>
              </w:rPr>
            </w:pPr>
          </w:p>
        </w:tc>
        <w:tc>
          <w:tcPr>
            <w:tcW w:w="10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Fair</w:t>
            </w:r>
          </w:p>
        </w:tc>
      </w:tr>
      <w:tr>
        <w:trPr>
          <w:trHeight w:val="211"/>
        </w:trPr>
        <w:tc>
          <w:tcPr>
            <w:tcW w:w="2920" w:type="dxa"/>
            <w:vAlign w:val="bottom"/>
          </w:tcPr>
          <w:p>
            <w:pPr>
              <w:jc w:val="center"/>
              <w:ind w:right="1752"/>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Debt Outstanding</w:t>
            </w:r>
          </w:p>
        </w:tc>
        <w:tc>
          <w:tcPr>
            <w:tcW w:w="2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4"/>
              </w:rPr>
              <w:t xml:space="preserve">Value </w:t>
            </w:r>
            <w:r>
              <w:rPr>
                <w:rFonts w:ascii="Times New Roman" w:cs="Times New Roman" w:eastAsia="Times New Roman" w:hAnsi="Times New Roman"/>
                <w:sz w:val="18"/>
                <w:szCs w:val="18"/>
                <w:b w:val="1"/>
                <w:bCs w:val="1"/>
                <w:color w:val="auto"/>
                <w:w w:val="94"/>
                <w:vertAlign w:val="superscript"/>
              </w:rPr>
              <w:t>(1)</w:t>
            </w:r>
          </w:p>
        </w:tc>
        <w:tc>
          <w:tcPr>
            <w:tcW w:w="200" w:type="dxa"/>
            <w:vAlign w:val="bottom"/>
          </w:tcPr>
          <w:p>
            <w:pPr>
              <w:spacing w:after="0"/>
              <w:rPr>
                <w:sz w:val="18"/>
                <w:szCs w:val="18"/>
                <w:color w:val="auto"/>
              </w:rPr>
            </w:pPr>
          </w:p>
        </w:tc>
        <w:tc>
          <w:tcPr>
            <w:tcW w:w="11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4"/>
              </w:rPr>
              <w:t xml:space="preserve">Value </w:t>
            </w:r>
            <w:r>
              <w:rPr>
                <w:rFonts w:ascii="Times New Roman" w:cs="Times New Roman" w:eastAsia="Times New Roman" w:hAnsi="Times New Roman"/>
                <w:sz w:val="18"/>
                <w:szCs w:val="18"/>
                <w:b w:val="1"/>
                <w:bCs w:val="1"/>
                <w:color w:val="auto"/>
                <w:w w:val="94"/>
                <w:vertAlign w:val="superscript"/>
              </w:rPr>
              <w:t>(2)</w:t>
            </w:r>
          </w:p>
        </w:tc>
        <w:tc>
          <w:tcPr>
            <w:tcW w:w="120" w:type="dxa"/>
            <w:vAlign w:val="bottom"/>
          </w:tcPr>
          <w:p>
            <w:pPr>
              <w:spacing w:after="0"/>
              <w:rPr>
                <w:sz w:val="18"/>
                <w:szCs w:val="18"/>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88"/>
              </w:rPr>
              <w:t>Value</w:t>
            </w:r>
            <w:r>
              <w:rPr>
                <w:rFonts w:ascii="Times New Roman" w:cs="Times New Roman" w:eastAsia="Times New Roman" w:hAnsi="Times New Roman"/>
                <w:sz w:val="18"/>
                <w:szCs w:val="18"/>
                <w:color w:val="auto"/>
                <w:w w:val="88"/>
                <w:vertAlign w:val="superscript"/>
              </w:rPr>
              <w:t>(1)</w:t>
            </w:r>
          </w:p>
        </w:tc>
        <w:tc>
          <w:tcPr>
            <w:tcW w:w="240" w:type="dxa"/>
            <w:vAlign w:val="bottom"/>
          </w:tcPr>
          <w:p>
            <w:pPr>
              <w:spacing w:after="0"/>
              <w:rPr>
                <w:sz w:val="18"/>
                <w:szCs w:val="18"/>
                <w:color w:val="auto"/>
              </w:rPr>
            </w:pPr>
          </w:p>
        </w:tc>
        <w:tc>
          <w:tcPr>
            <w:tcW w:w="10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 xml:space="preserve">Value </w:t>
            </w:r>
            <w:r>
              <w:rPr>
                <w:rFonts w:ascii="Times New Roman" w:cs="Times New Roman" w:eastAsia="Times New Roman" w:hAnsi="Times New Roman"/>
                <w:sz w:val="18"/>
                <w:szCs w:val="18"/>
                <w:b w:val="1"/>
                <w:bCs w:val="1"/>
                <w:color w:val="auto"/>
                <w:vertAlign w:val="superscript"/>
              </w:rPr>
              <w:t>(2)</w:t>
            </w:r>
          </w:p>
        </w:tc>
      </w:tr>
      <w:tr>
        <w:trPr>
          <w:trHeight w:val="172"/>
        </w:trPr>
        <w:tc>
          <w:tcPr>
            <w:tcW w:w="2920" w:type="dxa"/>
            <w:vAlign w:val="bottom"/>
            <w:tcBorders>
              <w:top w:val="single" w:sz="8" w:color="CCEEFF"/>
              <w:bottom w:val="single" w:sz="8" w:color="CCEEFF"/>
            </w:tcBorders>
            <w:shd w:val="clear" w:color="auto" w:fill="CCEEFF"/>
          </w:tcPr>
          <w:p>
            <w:pPr>
              <w:jc w:val="center"/>
              <w:ind w:right="1752"/>
              <w:spacing w:after="0"/>
              <w:rPr>
                <w:sz w:val="20"/>
                <w:szCs w:val="20"/>
                <w:color w:val="auto"/>
              </w:rPr>
            </w:pPr>
            <w:r>
              <w:rPr>
                <w:rFonts w:ascii="Times New Roman" w:cs="Times New Roman" w:eastAsia="Times New Roman" w:hAnsi="Times New Roman"/>
                <w:sz w:val="14"/>
                <w:szCs w:val="14"/>
                <w:color w:val="auto"/>
              </w:rPr>
              <w:t>Credit Agreement</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2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1"/>
        </w:trPr>
        <w:tc>
          <w:tcPr>
            <w:tcW w:w="2920" w:type="dxa"/>
            <w:vAlign w:val="bottom"/>
          </w:tcPr>
          <w:p>
            <w:pPr>
              <w:jc w:val="center"/>
              <w:ind w:right="1752"/>
              <w:spacing w:after="0"/>
              <w:rPr>
                <w:sz w:val="20"/>
                <w:szCs w:val="20"/>
                <w:color w:val="auto"/>
              </w:rPr>
            </w:pPr>
            <w:r>
              <w:rPr>
                <w:rFonts w:ascii="Times New Roman" w:cs="Times New Roman" w:eastAsia="Times New Roman" w:hAnsi="Times New Roman"/>
                <w:sz w:val="14"/>
                <w:szCs w:val="14"/>
                <w:color w:val="auto"/>
                <w:w w:val="96"/>
              </w:rPr>
              <w:t>Term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41,442</w:t>
            </w:r>
          </w:p>
        </w:tc>
        <w:tc>
          <w:tcPr>
            <w:tcW w:w="8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37,978</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95,000</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2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126,008</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93,750</w:t>
            </w:r>
          </w:p>
        </w:tc>
      </w:tr>
      <w:tr>
        <w:trPr>
          <w:trHeight w:val="18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167,450</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163,986</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167,450</w:t>
            </w:r>
          </w:p>
        </w:tc>
        <w:tc>
          <w:tcPr>
            <w:tcW w:w="3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188,750</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186,353</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188,750</w:t>
            </w:r>
          </w:p>
        </w:tc>
      </w:tr>
      <w:tr>
        <w:trPr>
          <w:trHeight w:val="22"/>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5"/>
        <w:spacing w:after="0"/>
        <w:tabs>
          <w:tab w:leader="none" w:pos="160" w:val="left"/>
        </w:tabs>
        <w:numPr>
          <w:ilvl w:val="0"/>
          <w:numId w:val="5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2"/>
          <w:szCs w:val="12"/>
          <w:color w:val="auto"/>
        </w:rPr>
        <w:t>Represents debt outstanding net of unamortized debt issuance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3"/>
          <w:szCs w:val="13"/>
          <w:color w:val="auto"/>
        </w:rPr>
        <w:t xml:space="preserve"> The fair value of the Term Loans and Revolving Credit Facility approximates carrying value as of June 30, 2024 and December 31, 2023. The fair value is categorized as Level 3 under ASC 820.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Agreement</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Closing, the Company had initially acquired legacy debt obligations from its subsidiaries in the amount of $124.4 million. Subsequently, after the Closing,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June 30, 2024, unfunded commitments on the Revolving Credit Facility amounted to $14.0 million, and the weighted-average interest rate on the outstanding borrowings of this facility was 9.5%. As of December 31, 2023, unfunded commitments on the Revolving Credit Facility amounted to $16.3 million, and the weighted-average interest rate on the outstanding borrowings of this facility was 9.0%. As security for the Term Loans and Revolving Credit Facility, the borrower and the guarantors thereunder have pledged substantially all of their assets, subject to agreed-upon exclusions. The guarantor group consists of the Company’s U.S. and non-U.S. subsidiaries, subject to an agreed-upon materiality threshold. As of June 30, 2024 and December 31, 2023, total outstanding debt, net of unamortized deferred financing costs amounted to $164.0 million and $186.4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First Amendment to Credit Agreement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March 31, 2023 the Company executed the First Amendment to the Credit Agreement (the “First Amendment”). The First Amendment permits the Company to extend the time period for certain payments to be made that would have otherwise been restricted by the Credit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Second Amendment to Credit Agreement</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On November 10, 2023, the Company entered into the Second Amendment to the Credit Agreement (“the Second Amendment”). The Second Amendment, among other things, temporarily amends, from the date of the amendment until effectively April 1, 2024, the following provisions of the Credit Agreement:</w:t>
      </w:r>
    </w:p>
    <w:p>
      <w:pPr>
        <w:spacing w:after="0" w:line="144" w:lineRule="exact"/>
        <w:rPr>
          <w:sz w:val="20"/>
          <w:szCs w:val="20"/>
          <w:color w:val="auto"/>
        </w:rPr>
      </w:pPr>
    </w:p>
    <w:p>
      <w:pPr>
        <w:ind w:left="260" w:hanging="255"/>
        <w:spacing w:after="0"/>
        <w:tabs>
          <w:tab w:leader="none" w:pos="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commitment amount under the Revolving Credit Facility is reduced from $150.0 million to $110.0 million;</w:t>
      </w:r>
    </w:p>
    <w:p>
      <w:pPr>
        <w:spacing w:after="0" w:line="18" w:lineRule="exact"/>
        <w:rPr>
          <w:rFonts w:ascii="Times New Roman" w:cs="Times New Roman" w:eastAsia="Times New Roman" w:hAnsi="Times New Roman"/>
          <w:sz w:val="16"/>
          <w:szCs w:val="16"/>
          <w:color w:val="auto"/>
        </w:rPr>
      </w:pPr>
    </w:p>
    <w:p>
      <w:pPr>
        <w:ind w:left="260" w:hanging="255"/>
        <w:spacing w:after="0" w:line="242" w:lineRule="auto"/>
        <w:tabs>
          <w:tab w:leader="none" w:pos="25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covenants in the Credit Agreement are adjusted to allow for a higher Total Leverage Ratio and Modified Leverage Ratio as well as a lower Interest Coverage Ratio;</w:t>
      </w:r>
    </w:p>
    <w:p>
      <w:pPr>
        <w:jc w:val="both"/>
        <w:ind w:left="260" w:hanging="255"/>
        <w:spacing w:after="0" w:line="244" w:lineRule="auto"/>
        <w:tabs>
          <w:tab w:leader="none" w:pos="25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spacing w:after="0" w:line="1"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after the end of the amendment period, certain clauses in the Credit Agreement that pertain to restricted payments are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Third Amendment to Credit Agreement</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On February 22, 2024, the Company entered into a Third Amendment to the Credit Agreement (the “Third Amendment”). The Third Amendment amends and restates the Credit Agreement in its entirety to, among other things:</w:t>
      </w:r>
    </w:p>
    <w:p>
      <w:pPr>
        <w:spacing w:after="0" w:line="1" w:lineRule="exact"/>
        <w:rPr>
          <w:sz w:val="20"/>
          <w:szCs w:val="20"/>
          <w:color w:val="auto"/>
        </w:rPr>
      </w:pPr>
    </w:p>
    <w:p>
      <w:pPr>
        <w:ind w:left="260" w:right="240" w:hanging="255"/>
        <w:spacing w:after="0" w:line="238" w:lineRule="auto"/>
        <w:tabs>
          <w:tab w:leader="none" w:pos="25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and permit that the investments in the Company being made by Allianz Strategic Investments S.à.r.l., a Luxembourg private limited liability company (“Allianz”) and Constellation are not required to reduce amounts outstanding under the facility;</w:t>
      </w:r>
    </w:p>
    <w:p>
      <w:pPr>
        <w:spacing w:after="0" w:line="52" w:lineRule="exact"/>
        <w:rPr>
          <w:rFonts w:ascii="Times New Roman" w:cs="Times New Roman" w:eastAsia="Times New Roman" w:hAnsi="Times New Roman"/>
          <w:sz w:val="16"/>
          <w:szCs w:val="16"/>
          <w:color w:val="auto"/>
        </w:rPr>
      </w:pPr>
    </w:p>
    <w:p>
      <w:pPr>
        <w:jc w:val="both"/>
        <w:ind w:left="260" w:hanging="255"/>
        <w:spacing w:after="0" w:line="254" w:lineRule="auto"/>
        <w:tabs>
          <w:tab w:leader="none" w:pos="25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financial covenants applicable to the Company, including permanently removing the Modified Leverage Ratio, and a waiver of the Leverage Ratio and Interest Coverage Ratio for the quarters ending March 31, 2024, and June 30, 2024. For these periods, covenants will include a Minimum EBITDA and Minimum Liquidity level. In addition, starting in the quarter ending September 30, 2024 and subsequent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periods, certain cash balances will permitted to be netted against debt outstanding when calculating the Company’s Leverage Ratio;</w:t>
      </w:r>
    </w:p>
    <w:p>
      <w:pPr>
        <w:spacing w:after="0" w:line="92" w:lineRule="exact"/>
        <w:rPr>
          <w:sz w:val="20"/>
          <w:szCs w:val="20"/>
          <w:color w:val="auto"/>
        </w:rPr>
      </w:pPr>
    </w:p>
    <w:p>
      <w:pPr>
        <w:ind w:left="260" w:hanging="255"/>
        <w:spacing w:after="0" w:line="259" w:lineRule="auto"/>
        <w:tabs>
          <w:tab w:leader="none" w:pos="25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pricing grid setting forth the Applicable Margin to, among other things, increase the Applicable Margin by 0.50% while the leverage ratio and interest coverage ratio are temporarily waived, and provide for additional pricing levels based on the Company’s Total Leverage Ratio after the waiver period;</w:t>
      </w:r>
    </w:p>
    <w:p>
      <w:pPr>
        <w:spacing w:after="0" w:line="59" w:lineRule="exact"/>
        <w:rPr>
          <w:rFonts w:ascii="Times New Roman" w:cs="Times New Roman" w:eastAsia="Times New Roman" w:hAnsi="Times New Roman"/>
          <w:sz w:val="16"/>
          <w:szCs w:val="16"/>
          <w:color w:val="auto"/>
        </w:rPr>
      </w:pPr>
    </w:p>
    <w:p>
      <w:pPr>
        <w:ind w:left="260" w:hanging="255"/>
        <w:spacing w:after="0"/>
        <w:tabs>
          <w:tab w:leader="none" w:pos="2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Company’s use of proceeds relating to the Revolving Credit Facility solely to general working capital; and</w:t>
      </w:r>
    </w:p>
    <w:p>
      <w:pPr>
        <w:spacing w:after="0" w:line="81" w:lineRule="exact"/>
        <w:rPr>
          <w:rFonts w:ascii="Times New Roman" w:cs="Times New Roman" w:eastAsia="Times New Roman" w:hAnsi="Times New Roman"/>
          <w:sz w:val="16"/>
          <w:szCs w:val="16"/>
          <w:color w:val="auto"/>
        </w:rPr>
      </w:pPr>
    </w:p>
    <w:p>
      <w:pPr>
        <w:ind w:left="260" w:hanging="255"/>
        <w:spacing w:after="0" w:line="273" w:lineRule="auto"/>
        <w:tabs>
          <w:tab w:leader="none" w:pos="25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sale of certain assets of the Company, the proceeds of which will be required to pay down the term loan and may reduce the $40,000,000 revolving facility commitment block in place while the leverage ratio and interest coverage ratio are temporarily waived.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Fourth Amendment to Credit Agreement</w:t>
      </w:r>
    </w:p>
    <w:p>
      <w:pPr>
        <w:spacing w:after="0" w:line="179"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On August 5, 2024, the Company entered into a Fourth Amendment to the Credit Agreement (the “Fourth Amendment”). The Fourth Amendment amends the Credit Agreement to permit the Company to utilize proceeds from any drawdowns on the revolving credit facility on certain “Permitted Acquisitions,” as defined in the Credit Agreement.</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As required by accounting standards, the Company has performed an assessment based on its current operations and capital structure of its ability to generate sufficient cash flows to meet its financial obligations for one year subsequent to the financial statement issuance date, based on conditions known and reasonably knowable as of the financial statement issuance date. Management has performed this required assessment as of August 9, 2024, and believes there are sufficient funds available to support its ongoing business operations and continue as a going concern for at least the next 12 months.</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Management’s assessment is subject to known and unknown risks, uncertainties, assumptions, and changes in circumstances, many of which are beyond our control including the impact of the macroeconomic environment, and that are difficult to predict as to timing, extent, likelihood, and degree of occurrence, and that could cause actual results to differ from estimates and forecasts, potentially materially. Based upon the results of Management’s assessment, these interim unaudited condensed consolidated financial statements have been prepared on a going concern basis. The interim unaudited condensed consolidated financial statements do not include any adjustments that could result from the outcome of the aforementioned risks and uncertainties.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Contractual maturities of the Term Loans as of June 30, 2024, are set out in the table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58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Aggregate Maturities</w:t>
            </w:r>
          </w:p>
        </w:tc>
      </w:tr>
      <w:tr>
        <w:trPr>
          <w:trHeight w:val="28"/>
        </w:trPr>
        <w:tc>
          <w:tcPr>
            <w:tcW w:w="97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2024</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8"/>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5"/>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8"/>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80" w:type="dxa"/>
            <w:vAlign w:val="bottom"/>
            <w:tcBorders>
              <w:bottom w:val="single" w:sz="8" w:color="CCEEFF"/>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w:t>
            </w:r>
          </w:p>
        </w:tc>
      </w:tr>
      <w:tr>
        <w:trPr>
          <w:trHeight w:val="221"/>
        </w:trPr>
        <w:tc>
          <w:tcPr>
            <w:tcW w:w="9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41,442</w:t>
            </w: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Debt is prepayable without penalty prior to maturity. Borrowings under the Revolving Credit Facility are due and payable on the termination date or an earlier date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Constellation Transaction</w:t>
      </w:r>
    </w:p>
    <w:p>
      <w:pPr>
        <w:spacing w:after="0" w:line="200"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In connection with the Constellation Transaction, the Company evaluated the Constellation Warrants in accordance with ASC 815-40 and concluded that a provision in the warrant agreement related to a change of control adjustment which would preclude equity classification as the Constellation Warrants would no longer be a fixed-for-fixed option.</w:t>
      </w:r>
    </w:p>
    <w:p>
      <w:pPr>
        <w:spacing w:after="0" w:line="120"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 xml:space="preserve">The Constellation Warrants meet the definition of a derivative and are recorded as derivative liabilities on the balance sheet and measured at fair value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 of June 30, 2024, the Constellation Warrants of $2.9 million are recorded in the line item Warrant liabilities at fair value on the Company’s Condensed Consolidated Statement of Financial Position. For the three and six months ended June 30, 2024, the change in fair value of the Constellation Warrants are $0.4 million and $0.1 million, respectively, and are recorded in the line item Loss on warrant liability in the Condensed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Retirement Plans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340" w:type="dxa"/>
            <w:vAlign w:val="bottom"/>
            <w:gridSpan w:val="4"/>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gridSpan w:val="4"/>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3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1"/>
        </w:trPr>
        <w:tc>
          <w:tcPr>
            <w:tcW w:w="3600" w:type="dxa"/>
            <w:vAlign w:val="bottom"/>
          </w:tcPr>
          <w:p>
            <w:pPr>
              <w:spacing w:after="0"/>
              <w:rPr>
                <w:sz w:val="15"/>
                <w:szCs w:val="15"/>
                <w:color w:val="auto"/>
              </w:rPr>
            </w:pP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5"/>
                <w:szCs w:val="15"/>
                <w:color w:val="auto"/>
              </w:rPr>
            </w:pPr>
          </w:p>
        </w:tc>
        <w:tc>
          <w:tcPr>
            <w:tcW w:w="16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36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 Contributions</w:t>
            </w: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June 30, 2024, $1.4 million in contributions was payable, which is included in Accounts payable and accrued expenses on the Condensed Consolidated Statement of Financial Position.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Related Party Transactions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Related party transactions include the below:</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222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line="316" w:lineRule="auto"/>
        <w:rPr>
          <w:sz w:val="20"/>
          <w:szCs w:val="20"/>
          <w:color w:val="auto"/>
        </w:rPr>
      </w:pPr>
      <w:r>
        <w:rPr>
          <w:rFonts w:ascii="Times New Roman" w:cs="Times New Roman" w:eastAsia="Times New Roman" w:hAnsi="Times New Roman"/>
          <w:sz w:val="14"/>
          <w:szCs w:val="14"/>
          <w:color w:val="auto"/>
        </w:rPr>
        <w:t>Due from Certain TWMH Members, TIG GP Members and TIG MGMT Members Due from Equity Method Investees</w:t>
      </w:r>
    </w:p>
    <w:p>
      <w:pPr>
        <w:ind w:left="20" w:right="2160"/>
        <w:spacing w:after="0" w:line="350" w:lineRule="auto"/>
        <w:rPr>
          <w:sz w:val="20"/>
          <w:szCs w:val="20"/>
          <w:color w:val="auto"/>
        </w:rPr>
      </w:pPr>
      <w:r>
        <w:rPr>
          <w:rFonts w:ascii="Times New Roman" w:cs="Times New Roman" w:eastAsia="Times New Roman" w:hAnsi="Times New Roman"/>
          <w:sz w:val="14"/>
          <w:szCs w:val="14"/>
          <w:color w:val="auto"/>
        </w:rPr>
        <w:t>Due from Alvarium related fee arrangements Due from TIG related fee arrangements</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Related Party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to Certain TWMH Members, TIG GP Members and TIG MGMT Members</w:t>
      </w:r>
    </w:p>
    <w:p>
      <w:pPr>
        <w:spacing w:after="0" w:line="51" w:lineRule="exact"/>
        <w:rPr>
          <w:sz w:val="20"/>
          <w:szCs w:val="20"/>
          <w:color w:val="auto"/>
        </w:rPr>
      </w:pPr>
    </w:p>
    <w:p>
      <w:pPr>
        <w:ind w:left="20" w:right="380"/>
        <w:spacing w:after="0" w:line="284" w:lineRule="auto"/>
        <w:rPr>
          <w:sz w:val="20"/>
          <w:szCs w:val="20"/>
          <w:color w:val="auto"/>
        </w:rPr>
      </w:pPr>
      <w:r>
        <w:rPr>
          <w:rFonts w:ascii="Times New Roman" w:cs="Times New Roman" w:eastAsia="Times New Roman" w:hAnsi="Times New Roman"/>
          <w:sz w:val="14"/>
          <w:szCs w:val="14"/>
          <w:color w:val="auto"/>
        </w:rPr>
        <w:t>Due to Certain Non-Controlling Interest Holders in Connection with the Tax Receivable Agreements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51" w:lineRule="exact"/>
        <w:rPr>
          <w:sz w:val="20"/>
          <w:szCs w:val="20"/>
          <w:color w:val="auto"/>
        </w:rPr>
      </w:pPr>
    </w:p>
    <w:p>
      <w:pPr>
        <w:ind w:left="20" w:right="140"/>
        <w:spacing w:after="0" w:line="284" w:lineRule="auto"/>
        <w:rPr>
          <w:sz w:val="20"/>
          <w:szCs w:val="20"/>
          <w:color w:val="auto"/>
        </w:rPr>
      </w:pPr>
      <w:r>
        <w:rPr>
          <w:rFonts w:ascii="Times New Roman" w:cs="Times New Roman" w:eastAsia="Times New Roman" w:hAnsi="Times New Roman"/>
          <w:sz w:val="14"/>
          <w:szCs w:val="14"/>
          <w:color w:val="auto"/>
        </w:rPr>
        <w:t>Due to Certain TWMH Members, TIG GP Members, TIG MGMT Members and Alvarium Shareholders in connection with the Business Combination Earn-out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earn-out liability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AWMS deferred cash contribution</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to Equity Method Investees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EEA earn-out liability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PW deferred consideration</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0651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65145" cy="6985"/>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w:t>
            </w:r>
          </w:p>
        </w:tc>
        <w:tc>
          <w:tcPr>
            <w:tcW w:w="760" w:type="dxa"/>
            <w:vAlign w:val="bottom"/>
          </w:tcPr>
          <w:p>
            <w:pPr>
              <w:spacing w:after="0"/>
              <w:rPr>
                <w:sz w:val="12"/>
                <w:szCs w:val="12"/>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120" w:type="dxa"/>
            <w:vAlign w:val="bottom"/>
          </w:tcPr>
          <w:p>
            <w:pPr>
              <w:spacing w:after="0"/>
              <w:rPr>
                <w:sz w:val="12"/>
                <w:szCs w:val="12"/>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2"/>
        </w:trPr>
        <w:tc>
          <w:tcPr>
            <w:tcW w:w="2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Fees receivable, net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0" w:type="dxa"/>
            <w:vAlign w:val="bottom"/>
          </w:tcPr>
          <w:p>
            <w:pPr>
              <w:spacing w:after="0"/>
              <w:rPr>
                <w:sz w:val="1"/>
                <w:szCs w:val="1"/>
                <w:color w:val="auto"/>
              </w:rPr>
            </w:pPr>
          </w:p>
        </w:tc>
      </w:tr>
      <w:tr>
        <w:trPr>
          <w:trHeight w:val="64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 liability</w:t>
            </w: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Delayed share purchase agreement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profit sharing</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liability, at fair value</w:t>
            </w: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(24,046)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(62,380)</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liability, at fair value</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(7,135)</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liability, at fair value</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37"/>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-2633345</wp:posOffset>
            </wp:positionV>
            <wp:extent cx="716153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-2364105</wp:posOffset>
            </wp:positionV>
            <wp:extent cx="7161530"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-2094230</wp:posOffset>
            </wp:positionV>
            <wp:extent cx="7161530" cy="134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-1818005</wp:posOffset>
            </wp:positionV>
            <wp:extent cx="7161530" cy="2425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-1440815</wp:posOffset>
            </wp:positionV>
            <wp:extent cx="716153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-1063625</wp:posOffset>
            </wp:positionV>
            <wp:extent cx="7161530" cy="134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-794385</wp:posOffset>
            </wp:positionV>
            <wp:extent cx="7161530" cy="134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-524510</wp:posOffset>
            </wp:positionV>
            <wp:extent cx="7161530" cy="134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-261620</wp:posOffset>
            </wp:positionV>
            <wp:extent cx="716153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00"/>
            <w:col w:w="6360"/>
          </w:cols>
          <w:pgMar w:left="300" w:top="204" w:right="31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Due from TWMH Members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three months ended June 30, 2024 and June 30, 2023, the Company recognized $58 thousand and $65 thousand, respectively, and for the six months ended June 30, 2024 and June 30, 2023, the Company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$116 thousand and $131 thousand, respectively, of forgiveness of principal debt and accrued interest within Compensation and employee benefits expense on the Consolidated Statement of Operations.</w:t>
      </w:r>
    </w:p>
    <w:p>
      <w:pPr>
        <w:spacing w:after="0" w:line="1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 Consolidated Statement of Financial Condition. As of June 30, 2024 and December 31, 2023, the balance of loans to members were $0.5 million and $0.7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Delayed Share Purchase Agreement</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6"/>
          <w:szCs w:val="16"/>
          <w:color w:val="auto"/>
        </w:rPr>
        <w:t>On July 28, 2023, the Company amended the delayed shared purchase agreement for the shares of Tiedemann International Holdings, AG, which are owned by an executive and shareholder of the Company. The amendment adjusted the purchase price from $2.2 million in cash to $2.1 million in cash and $1.2 million in the Company’s Class A Common Stock. The cash purchase price has been recognized in the Condensed Consolidated Statement of Financial Condition as Delayed share purchase agreement and Accrued compensation and profit sharing. On March 25, 2024, the TIH SPA was fully paid. As of December 31, 2023, the delayed share purchase agreement liability was reported as $1.8 million and the portion of the Delayed share purchase agreement reported in Accrued compensation and profit sharing was $0.3 million. The stock purchase price was recognized in the Consolidated Statement of Financial Condition as Additional paid-in capital. As of December 31, 2023, the portion of the delayed share purchase agreement reported in Additional paid-in capital was $1.2 million.</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the three and six months ended June 30, 2024, the Company recognized $0.0 thousand and $40.0 thousand, respectively, of stock and cash compensation associated with the delayed share purchase agreement within Compensation and employee benefits expense on the Condensed Consolidated Statement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Method Investees</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recognized Management/advisory fees, Compensation and employee benefits, Other income/fees and Interest and dividend income (expense) from its equity method investees on the Condensed Consolidated Statement of Operations, as summarized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298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4"/>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4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1"/>
        </w:trPr>
        <w:tc>
          <w:tcPr>
            <w:tcW w:w="45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5"/>
                <w:szCs w:val="15"/>
                <w:color w:val="auto"/>
              </w:rPr>
            </w:pP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45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2"/>
        </w:trPr>
        <w:tc>
          <w:tcPr>
            <w:tcW w:w="4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9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 income (expense)</w:t>
            </w: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260" w:type="dxa"/>
            <w:vAlign w:val="bottom"/>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Agreements</w:t>
      </w:r>
    </w:p>
    <w:p>
      <w:pPr>
        <w:spacing w:after="0" w:line="17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spacing w:after="0" w:line="15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TRA is recognized on the Consolidated Statement of Financial Condition as the TRA Liability. The value of the TRA Liability as of June 30, 2024 and December 31, 2023 was $24.9 million and $17.6 million, respectively. As of June 30, 2024 and December 31, 2023, the Company carried $6.9 million and $13.2 million, respectively, of its TRA Liability at fair value, as it is contingent consideration from the Business Combination. The remaining portion related to the TRA Exchange of $18.0 million and $4.4 million as of June 30, 2024 and December 31, 2023, respectively, is recorded at its carrying value. For the three months ended June 30, 2024 and June 30, 2023, the Company recognized a loss of $0.4 million and $(1.8) million, respectively, and for the six months ended June 30, 2024 and June 30, 2023, the Company recognized a loss of $6.3 million and $(2.1) million, respectively, which is recorded in Gain (loss) on TRA in the Condensed Consolidated Statement of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On August 31, 2023, holders of Class B Common Stock exchanged a portion of such Class B Units with the Company, in exchange for shares of Class A Common Stock on a 1:1 basis totaling an amount equal to $7.31 multiplied by the total number of shares of Class B Common Stock exchanged at the time of the transaction. On March 11, 2024, holders of Class B Common Stock exchanged a portion of such Class B Units with the Company, in exchange for shares of Class A Common Stock on a 1:1 basis totaling an amount equal to $6.61 multiplied by the total number of shares of Class B Common Stock exchanged at the time of the transaction. On May 14, 2024, holders of Class B Common Stock exchanged 286,242 Class B Units with the Company, in exchange for shares of Class A Common Stock on a 1:1 basis totaling an amount equal to $4.69 multiplied by the total number of shares of Class B Common Stock exchanged at the time of the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six months ended June 30, 2024, the Company made tax distributions to Class B Units holders of $1.5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June 30, 2024 and December 31, 2023, the fair value of the Business Combination Earn-out Liability was $24.0 million and $62.4 million, and is reported in Earn-out liability, at fair value, in the Condensed Consolidated Statement of Financial Position. The Company recognized the change in fair value of $1.2 million and $(66.1) million for the three months ended June 30, 2024 and June 30, 2023, respectively, and $(38.3) million and $(36.9) million for the six months ended June 30, 2024 and June 30, 2023, respectively, which is recorded in Gain (loss) on earnout liability in the Condensed Consolidated Statement of Operations and in Fair value of earn-out liability in the Condensed Consolidated Statement of Cash Flows in the period of change.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includes cash consideration, equity consideration, deferred cash consideration, earn-out consideration, (or AWMS earn-out liability), and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 xml:space="preserve">payment of assumed liabilities. As of June 30, 2024 and December 31, 2023, the AWMS earn-out liability of $1.1 million and $1.1 million, respectively, is reported in Earn-out liability, at fair value, in the Condensed Consolidated Statement of Financial Position. Since the AWMS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Measurement. </w:t>
      </w:r>
      <w:r>
        <w:rPr>
          <w:rFonts w:ascii="Times New Roman" w:cs="Times New Roman" w:eastAsia="Times New Roman" w:hAnsi="Times New Roman"/>
          <w:sz w:val="16"/>
          <w:szCs w:val="16"/>
          <w:color w:val="auto"/>
        </w:rPr>
        <w:t>The Company recognized the change in fair value of $39.0 thousand and $36.0 thousand for the three and six months ended June 30, 2024, respectively,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recorded in Gain (loss) on earn-out liability in the Condensed Consolidated Statement of Operations and in Fair value of earn-out liability in the Condensed Consolidated Statement of Cash Flows in the period of change.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EEA Earn-out Liability</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As of June 30, 2024, the EEA earn-out liability of $24.0 million is reported in Earn-out liability, at fair value, in the Condensed Consolidated Statement of Financial Position. The fair value will be remeasured at each reporting date in accordance with ASC 820, </w:t>
      </w:r>
      <w:r>
        <w:rPr>
          <w:rFonts w:ascii="Times New Roman" w:cs="Times New Roman" w:eastAsia="Times New Roman" w:hAnsi="Times New Roman"/>
          <w:sz w:val="16"/>
          <w:szCs w:val="16"/>
          <w:i w:val="1"/>
          <w:iCs w:val="1"/>
          <w:color w:val="auto"/>
        </w:rPr>
        <w:t>Fair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Value Measurement. </w:t>
      </w:r>
      <w:r>
        <w:rPr>
          <w:rFonts w:ascii="Times New Roman" w:cs="Times New Roman" w:eastAsia="Times New Roman" w:hAnsi="Times New Roman"/>
          <w:sz w:val="16"/>
          <w:szCs w:val="16"/>
          <w:color w:val="auto"/>
        </w:rPr>
        <w:t>The Company recognized the change in fair value of $0.7 million for both the three and six months ended June 30, 2024, which is recorded in Gain (loss)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earn-out liability in the Condensed Consolidated Statement of Operations and in Fair value of earn-out liability in the Condensed Consolidated Statement of Cash Flows in the period of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Pointwise Deferred Consideration</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As of June 30, 2024, the deferred consideration of $3.4 million is recorded within the Other liabilities line item in the Condensed Consolidated Statement of Financial Position.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Fees Receivable, net</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6"/>
          <w:szCs w:val="16"/>
          <w:color w:val="auto"/>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Consolidated Statement of Financial Condition as Fees Receivable, net. As of June 30, 2024 and December 31, 2023, fees due from Alvarium related fee arrangements were $8.9 thousand and $0.2 million, respectively. Additionally, as of June 30, 2024 and December 31, 2023, management and incentive fees receivable due from TIG related fee agreements were $0.8 million and $15.8 million,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4"/>
          <w:szCs w:val="14"/>
          <w:b w:val="1"/>
          <w:bCs w:val="1"/>
          <w:color w:val="auto"/>
        </w:rPr>
        <w:t>Segment Reporting</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Company operates within two business segments: Strategic Alternatives and Wealth Management. See Note 1 (Description of the Business). Segment information is utilized by the Company’s chief operating decision maker, which is our Chief Executive Officer, to assess performance and to allocate resources.</w:t>
      </w:r>
    </w:p>
    <w:p>
      <w:pPr>
        <w:spacing w:after="0" w:line="9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Company’s business segment information was prepared using the following methodologies and generally represents the information that is relied upon by management in its decision-making process.</w:t>
      </w:r>
    </w:p>
    <w:p>
      <w:pPr>
        <w:spacing w:after="0" w:line="101" w:lineRule="exact"/>
        <w:rPr>
          <w:sz w:val="20"/>
          <w:szCs w:val="20"/>
          <w:color w:val="auto"/>
        </w:rPr>
      </w:pPr>
    </w:p>
    <w:p>
      <w:pPr>
        <w:ind w:left="760" w:hanging="246"/>
        <w:spacing w:after="0"/>
        <w:tabs>
          <w:tab w:leader="none" w:pos="7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and expenses directly associated with each business segment are included in determining net income/(loss) by segment.</w:t>
      </w:r>
    </w:p>
    <w:p>
      <w:pPr>
        <w:spacing w:after="0" w:line="144" w:lineRule="exact"/>
        <w:rPr>
          <w:rFonts w:ascii="Times New Roman" w:cs="Times New Roman" w:eastAsia="Times New Roman" w:hAnsi="Times New Roman"/>
          <w:sz w:val="16"/>
          <w:szCs w:val="16"/>
          <w:color w:val="auto"/>
        </w:rPr>
      </w:pPr>
    </w:p>
    <w:p>
      <w:pPr>
        <w:ind w:left="760" w:hanging="246"/>
        <w:spacing w:after="0" w:line="259" w:lineRule="auto"/>
        <w:tabs>
          <w:tab w:leader="none" w:pos="75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Indirect expenses (such as general and administrative expenses including executive and indirect overhead costs) not directly associated with specific business segments are allocated to the business segments’ statement of operations.</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Accordingly, the Company presents segment information consistent with internal management reporting. See Note 1 (Description of the Business) and the table below for more detail on unallocated items. The following table presents the financial information for the Company’s segments for the periods indicated.</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Subsequent to June 30, 2024, management has commenced a strategic review of certain businesses within the currently defined Strategic Alternatives segment. This review, which is expected to be completed by the end of the third quarter of 2024, will consider, among other things, potential changes to our legal entity structure as well as the components included within the operating segments outlined below. Refer to Note 21 (Subsequent Events) for further details.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8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55"/>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Wealth</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Wealth</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9"/>
        </w:trPr>
        <w:tc>
          <w:tcPr>
            <w:tcW w:w="334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Net Income by Segment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Strategic Alternatives</w:t>
            </w:r>
          </w:p>
        </w:tc>
        <w:tc>
          <w:tcPr>
            <w:tcW w:w="18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Strategic Alternatives</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Management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26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60" w:type="dxa"/>
            <w:vAlign w:val="bottom"/>
          </w:tcPr>
          <w:p>
            <w:pPr>
              <w:spacing w:after="0"/>
              <w:rPr>
                <w:sz w:val="16"/>
                <w:szCs w:val="16"/>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spacing w:after="0"/>
              <w:rPr>
                <w:sz w:val="16"/>
                <w:szCs w:val="16"/>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40,988</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47,029</w:t>
            </w:r>
          </w:p>
        </w:tc>
        <w:tc>
          <w:tcPr>
            <w:tcW w:w="1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33,892</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46,844</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r>
      <w:tr>
        <w:trPr>
          <w:trHeight w:val="18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8,553</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40,900</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49,453</w:t>
            </w:r>
          </w:p>
        </w:tc>
        <w:tc>
          <w:tcPr>
            <w:tcW w:w="14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17,321</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33,964</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51,285</w:t>
            </w: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33,952</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technology, and telephone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distribution, and marketing</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 costs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14,863</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 and entertainment</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18,408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64,408</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64,344</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(14,955)</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(13,059)</w:t>
            </w: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 on goodwill and intangible assets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(29,393)</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investments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derivative</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warrant liability</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earn-out liability</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66,083</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TRA</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w:t>
            </w: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r>
      <w:tr>
        <w:trPr>
          <w:trHeight w:val="18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taxes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12,684</w:t>
            </w: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(expenses) benefit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w:t>
            </w: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(12,776)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28,130</w:t>
            </w: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40" w:type="dxa"/>
            <w:vAlign w:val="bottom"/>
            <w:vMerge w:val="restart"/>
          </w:tcPr>
          <w:p>
            <w:pPr>
              <w:ind w:left="1020"/>
              <w:spacing w:after="0"/>
              <w:rPr>
                <w:sz w:val="20"/>
                <w:szCs w:val="20"/>
                <w:color w:val="auto"/>
              </w:rPr>
            </w:pPr>
            <w:r>
              <w:rPr>
                <w:rFonts w:ascii="Times New Roman" w:cs="Times New Roman" w:eastAsia="Times New Roman" w:hAnsi="Times New Roman"/>
                <w:sz w:val="13"/>
                <w:szCs w:val="13"/>
                <w:b w:val="1"/>
                <w:bCs w:val="1"/>
                <w:color w:val="auto"/>
              </w:rPr>
              <w:t>Net Income by Segment</w:t>
            </w: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Strategic Alternatives</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Wealth</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Strategic Alternatives</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Wealth</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Management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Management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26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5"/>
                <w:szCs w:val="15"/>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6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6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93,253</w:t>
            </w:r>
          </w:p>
        </w:tc>
        <w:tc>
          <w:tcPr>
            <w:tcW w:w="14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27,928</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65,386</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93,314</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18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income</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22,534</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77,731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100,265</w:t>
            </w:r>
          </w:p>
        </w:tc>
        <w:tc>
          <w:tcPr>
            <w:tcW w:w="14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43,836</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65,496</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109,332</w:t>
            </w:r>
          </w:p>
        </w:tc>
        <w:tc>
          <w:tcPr>
            <w:tcW w:w="0" w:type="dxa"/>
            <w:vAlign w:val="bottom"/>
          </w:tcPr>
          <w:p>
            <w:pPr>
              <w:spacing w:after="0"/>
              <w:rPr>
                <w:sz w:val="1"/>
                <w:szCs w:val="1"/>
                <w:color w:val="auto"/>
              </w:rPr>
            </w:pP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78,450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97,124</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 technology, and telephone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distribution, and marketing</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Occupancy costs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37,747</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Travel and entertainment</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89,044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129,888</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72,029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93,802</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165,831</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(29,623)</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(56,499)</w:t>
            </w:r>
          </w:p>
        </w:tc>
        <w:tc>
          <w:tcPr>
            <w:tcW w:w="0" w:type="dxa"/>
            <w:vAlign w:val="bottom"/>
          </w:tcPr>
          <w:p>
            <w:pPr>
              <w:spacing w:after="0"/>
              <w:rPr>
                <w:sz w:val="1"/>
                <w:szCs w:val="1"/>
                <w:color w:val="auto"/>
              </w:rPr>
            </w:pP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loss on goodwill and intangible assets</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(29,393)</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investments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derivative</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warrant liability</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earn-out liability</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37,509</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36,877</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TRA</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0" w:type="dxa"/>
            <w:vAlign w:val="bottom"/>
          </w:tcPr>
          <w:p>
            <w:pPr>
              <w:spacing w:after="0"/>
              <w:rPr>
                <w:sz w:val="1"/>
                <w:szCs w:val="1"/>
                <w:color w:val="auto"/>
              </w:rPr>
            </w:pPr>
          </w:p>
        </w:tc>
      </w:tr>
      <w:tr>
        <w:trPr>
          <w:trHeight w:val="19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8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taxes</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(51,691)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(72,956)</w:t>
            </w: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(expenses) benefit</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10,796</w:t>
            </w: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(46,293)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220"/>
        </w:trPr>
        <w:tc>
          <w:tcPr>
            <w:tcW w:w="60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Assets by segment</w:t>
            </w:r>
          </w:p>
        </w:tc>
        <w:tc>
          <w:tcPr>
            <w:tcW w:w="380" w:type="dxa"/>
            <w:vAlign w:val="bottom"/>
          </w:tcPr>
          <w:p>
            <w:pPr>
              <w:spacing w:after="0"/>
              <w:rPr>
                <w:sz w:val="19"/>
                <w:szCs w:val="19"/>
                <w:color w:val="auto"/>
              </w:rPr>
            </w:pPr>
          </w:p>
        </w:tc>
        <w:tc>
          <w:tcPr>
            <w:tcW w:w="22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340" w:type="dxa"/>
            <w:vAlign w:val="bottom"/>
          </w:tcPr>
          <w:p>
            <w:pPr>
              <w:spacing w:after="0"/>
              <w:rPr>
                <w:sz w:val="19"/>
                <w:szCs w:val="19"/>
                <w:color w:val="auto"/>
              </w:rPr>
            </w:pPr>
          </w:p>
        </w:tc>
        <w:tc>
          <w:tcPr>
            <w:tcW w:w="23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2"/>
        </w:trPr>
        <w:tc>
          <w:tcPr>
            <w:tcW w:w="6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18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Alternatives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606,708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675,926</w:t>
            </w:r>
          </w:p>
        </w:tc>
      </w:tr>
      <w:tr>
        <w:trPr>
          <w:trHeight w:val="191"/>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Wealth Management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716,022</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590,371</w:t>
            </w:r>
          </w:p>
        </w:tc>
      </w:tr>
      <w:tr>
        <w:trPr>
          <w:trHeight w:val="22"/>
        </w:trPr>
        <w:tc>
          <w:tcPr>
            <w:tcW w:w="6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2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1,322,730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1,266,297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Earnings Per Share</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table below presents the Company’s treatment for basic and diluted earnings (loss) per share for instruments outstanding of the Company. Potentially dilutive instruments are only considered in the calculation to the extent they would be dilutive.</w:t>
      </w:r>
    </w:p>
    <w:p>
      <w:pPr>
        <w:spacing w:after="0" w:line="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29845</wp:posOffset>
            </wp:positionV>
            <wp:extent cx="51879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87950" cy="698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48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Shares</w:t>
            </w:r>
          </w:p>
        </w:tc>
        <w:tc>
          <w:tcPr>
            <w:tcW w:w="1480" w:type="dxa"/>
            <w:vAlign w:val="bottom"/>
            <w:tcBorders>
              <w:bottom w:val="single" w:sz="8" w:color="CCEEFF"/>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Included</w:t>
            </w: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92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Included</w:t>
            </w:r>
          </w:p>
        </w:tc>
        <w:tc>
          <w:tcPr>
            <w:tcW w:w="760" w:type="dxa"/>
            <w:vAlign w:val="bottom"/>
            <w:tcBorders>
              <w:bottom w:val="single" w:sz="8" w:color="CCEEFF"/>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Included</w:t>
            </w:r>
          </w:p>
        </w:tc>
        <w:tc>
          <w:tcPr>
            <w:tcW w:w="4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Included</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Class B Shares </w:t>
            </w:r>
            <w:r>
              <w:rPr>
                <w:rFonts w:ascii="Times New Roman" w:cs="Times New Roman" w:eastAsia="Times New Roman" w:hAnsi="Times New Roman"/>
                <w:sz w:val="18"/>
                <w:szCs w:val="18"/>
                <w:color w:val="auto"/>
                <w:vertAlign w:val="superscript"/>
              </w:rPr>
              <w:t>(1)</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color w:val="auto"/>
              </w:rPr>
              <w:t>If-converted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If-converted method</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More dilutive of two-class</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1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4"/>
                <w:szCs w:val="14"/>
                <w:color w:val="auto"/>
              </w:rPr>
              <w:t xml:space="preserve">Series C Preferred Shares </w:t>
            </w:r>
            <w:r>
              <w:rPr>
                <w:rFonts w:ascii="Times New Roman" w:cs="Times New Roman" w:eastAsia="Times New Roman" w:hAnsi="Times New Roman"/>
                <w:sz w:val="18"/>
                <w:szCs w:val="18"/>
                <w:color w:val="auto"/>
                <w:vertAlign w:val="superscript"/>
              </w:rPr>
              <w:t>(2)</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8"/>
              </w:rPr>
              <w:t>Two-class method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jc w:val="center"/>
              <w:ind w:right="1080"/>
              <w:spacing w:after="0"/>
              <w:rPr>
                <w:sz w:val="20"/>
                <w:szCs w:val="20"/>
                <w:color w:val="auto"/>
              </w:rPr>
            </w:pPr>
            <w:r>
              <w:rPr>
                <w:rFonts w:ascii="Times New Roman" w:cs="Times New Roman" w:eastAsia="Times New Roman" w:hAnsi="Times New Roman"/>
                <w:sz w:val="14"/>
                <w:szCs w:val="14"/>
                <w:color w:val="auto"/>
              </w:rPr>
              <w:t>method or if-converted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8"/>
                <w:szCs w:val="18"/>
                <w:color w:val="auto"/>
                <w:vertAlign w:val="superscript"/>
              </w:rPr>
              <w:t>(3)</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Shares</w:t>
            </w:r>
            <w:r>
              <w:rPr>
                <w:rFonts w:ascii="Times New Roman" w:cs="Times New Roman" w:eastAsia="Times New Roman" w:hAnsi="Times New Roman"/>
                <w:sz w:val="18"/>
                <w:szCs w:val="18"/>
                <w:color w:val="auto"/>
                <w:vertAlign w:val="superscript"/>
              </w:rPr>
              <w:t>(4)</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Excluded</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RSUs</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Unvested PRSUs </w:t>
            </w:r>
            <w:r>
              <w:rPr>
                <w:rFonts w:ascii="Times New Roman" w:cs="Times New Roman" w:eastAsia="Times New Roman" w:hAnsi="Times New Roman"/>
                <w:sz w:val="18"/>
                <w:szCs w:val="18"/>
                <w:color w:val="auto"/>
                <w:vertAlign w:val="superscript"/>
              </w:rPr>
              <w:t>(5)</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Holbein Earn-In Shares </w:t>
            </w:r>
            <w:r>
              <w:rPr>
                <w:rFonts w:ascii="Times New Roman" w:cs="Times New Roman" w:eastAsia="Times New Roman" w:hAnsi="Times New Roman"/>
                <w:sz w:val="18"/>
                <w:szCs w:val="18"/>
                <w:color w:val="auto"/>
                <w:vertAlign w:val="superscript"/>
              </w:rPr>
              <w:t>(6)</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5"/>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1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5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48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Basic</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Shares</w:t>
            </w:r>
          </w:p>
        </w:tc>
        <w:tc>
          <w:tcPr>
            <w:tcW w:w="1480" w:type="dxa"/>
            <w:vAlign w:val="bottom"/>
            <w:tcBorders>
              <w:bottom w:val="single" w:sz="8" w:color="CCEEFF"/>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Included</w:t>
            </w:r>
          </w:p>
        </w:tc>
        <w:tc>
          <w:tcPr>
            <w:tcW w:w="3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920" w:type="dxa"/>
            <w:vAlign w:val="bottom"/>
            <w:tcBorders>
              <w:bottom w:val="single" w:sz="8" w:color="CCEEFF"/>
            </w:tcBorders>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Included</w:t>
            </w:r>
          </w:p>
        </w:tc>
        <w:tc>
          <w:tcPr>
            <w:tcW w:w="760" w:type="dxa"/>
            <w:vAlign w:val="bottom"/>
            <w:tcBorders>
              <w:bottom w:val="single" w:sz="8" w:color="CCEEFF"/>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Included</w:t>
            </w:r>
          </w:p>
        </w:tc>
        <w:tc>
          <w:tcPr>
            <w:tcW w:w="4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Included</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Class B Shares </w:t>
            </w:r>
            <w:r>
              <w:rPr>
                <w:rFonts w:ascii="Times New Roman" w:cs="Times New Roman" w:eastAsia="Times New Roman" w:hAnsi="Times New Roman"/>
                <w:sz w:val="18"/>
                <w:szCs w:val="18"/>
                <w:color w:val="auto"/>
                <w:vertAlign w:val="superscript"/>
              </w:rPr>
              <w:t>(1)</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color w:val="auto"/>
              </w:rPr>
              <w:t>If-converted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If-converted method</w:t>
            </w:r>
          </w:p>
        </w:tc>
        <w:tc>
          <w:tcPr>
            <w:tcW w:w="0" w:type="dxa"/>
            <w:vAlign w:val="bottom"/>
          </w:tcPr>
          <w:p>
            <w:pPr>
              <w:spacing w:after="0"/>
              <w:rPr>
                <w:sz w:val="1"/>
                <w:szCs w:val="1"/>
                <w:color w:val="auto"/>
              </w:rPr>
            </w:pPr>
          </w:p>
        </w:tc>
      </w:tr>
      <w:tr>
        <w:trPr>
          <w:trHeight w:val="176"/>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Series C Preferred Shares </w:t>
            </w:r>
            <w:r>
              <w:rPr>
                <w:rFonts w:ascii="Times New Roman" w:cs="Times New Roman" w:eastAsia="Times New Roman" w:hAnsi="Times New Roman"/>
                <w:sz w:val="18"/>
                <w:szCs w:val="18"/>
                <w:color w:val="auto"/>
                <w:vertAlign w:val="superscript"/>
              </w:rPr>
              <w:t>(2)</w:t>
            </w: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More dilutive of two-class</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120" w:type="dxa"/>
            <w:vAlign w:val="bottom"/>
            <w:vMerge w:val="continue"/>
            <w:shd w:val="clear" w:color="auto" w:fill="CCEEFF"/>
          </w:tcPr>
          <w:p>
            <w:pPr>
              <w:spacing w:after="0"/>
              <w:rPr>
                <w:sz w:val="17"/>
                <w:szCs w:val="17"/>
                <w:color w:val="auto"/>
              </w:rPr>
            </w:pP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8"/>
              </w:rPr>
              <w:t>Two-class method</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920" w:type="dxa"/>
            <w:vAlign w:val="bottom"/>
            <w:gridSpan w:val="3"/>
            <w:shd w:val="clear" w:color="auto" w:fill="CCEEFF"/>
          </w:tcPr>
          <w:p>
            <w:pPr>
              <w:jc w:val="center"/>
              <w:ind w:right="1080"/>
              <w:spacing w:after="0"/>
              <w:rPr>
                <w:sz w:val="20"/>
                <w:szCs w:val="20"/>
                <w:color w:val="auto"/>
              </w:rPr>
            </w:pPr>
            <w:r>
              <w:rPr>
                <w:rFonts w:ascii="Times New Roman" w:cs="Times New Roman" w:eastAsia="Times New Roman" w:hAnsi="Times New Roman"/>
                <w:sz w:val="14"/>
                <w:szCs w:val="14"/>
                <w:color w:val="auto"/>
              </w:rPr>
              <w:t>method or if-converted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2"/>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8"/>
                <w:szCs w:val="18"/>
                <w:color w:val="auto"/>
                <w:vertAlign w:val="superscript"/>
              </w:rPr>
              <w:t>(3)</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Shares</w:t>
            </w:r>
            <w:r>
              <w:rPr>
                <w:rFonts w:ascii="Times New Roman" w:cs="Times New Roman" w:eastAsia="Times New Roman" w:hAnsi="Times New Roman"/>
                <w:sz w:val="18"/>
                <w:szCs w:val="18"/>
                <w:color w:val="auto"/>
                <w:vertAlign w:val="superscript"/>
              </w:rPr>
              <w:t>(4)</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Excluded</w:t>
            </w:r>
          </w:p>
        </w:tc>
        <w:tc>
          <w:tcPr>
            <w:tcW w:w="0" w:type="dxa"/>
            <w:vAlign w:val="bottom"/>
          </w:tcPr>
          <w:p>
            <w:pPr>
              <w:spacing w:after="0"/>
              <w:rPr>
                <w:sz w:val="1"/>
                <w:szCs w:val="1"/>
                <w:color w:val="auto"/>
              </w:rPr>
            </w:pPr>
          </w:p>
        </w:tc>
      </w:tr>
      <w:tr>
        <w:trPr>
          <w:trHeight w:val="191"/>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RSUs</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Unvested PRSUs </w:t>
            </w:r>
            <w:r>
              <w:rPr>
                <w:rFonts w:ascii="Times New Roman" w:cs="Times New Roman" w:eastAsia="Times New Roman" w:hAnsi="Times New Roman"/>
                <w:sz w:val="18"/>
                <w:szCs w:val="18"/>
                <w:color w:val="auto"/>
                <w:vertAlign w:val="superscript"/>
              </w:rPr>
              <w:t>(5)</w:t>
            </w:r>
          </w:p>
        </w:tc>
        <w:tc>
          <w:tcPr>
            <w:tcW w:w="148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9"/>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Holbein Earn-In Shares </w:t>
            </w:r>
            <w:r>
              <w:rPr>
                <w:rFonts w:ascii="Times New Roman" w:cs="Times New Roman" w:eastAsia="Times New Roman" w:hAnsi="Times New Roman"/>
                <w:sz w:val="18"/>
                <w:szCs w:val="18"/>
                <w:color w:val="auto"/>
                <w:vertAlign w:val="superscript"/>
              </w:rPr>
              <w:t>(6)</w:t>
            </w:r>
          </w:p>
        </w:tc>
        <w:tc>
          <w:tcPr>
            <w:tcW w:w="148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Excluded</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2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rPr>
              <w:t>Treasury stock method</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Excluded</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Treasury stock method</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5"/>
        <w:spacing w:after="0" w:line="270" w:lineRule="auto"/>
        <w:tabs>
          <w:tab w:leader="none" w:pos="128" w:val="left"/>
        </w:tabs>
        <w:numPr>
          <w:ilvl w:val="0"/>
          <w:numId w:val="6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if-converted method for these instruments includes adding back to the numerator any related income or loss allocations to noncontrolling interest, as well as any incremental tax expense had the instruments converted into Class A Shares as of the beginning of the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5"/>
        <w:spacing w:after="0" w:line="268" w:lineRule="auto"/>
        <w:tabs>
          <w:tab w:leader="none" w:pos="129" w:val="left"/>
        </w:tabs>
        <w:numPr>
          <w:ilvl w:val="0"/>
          <w:numId w:val="62"/>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During the first quarter ended March 31, 2024, the Company issued Series C Preferred Shares and Warrants for Class A Shares. The Series C Preferred Shares are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w:t>
      </w:r>
    </w:p>
    <w:p>
      <w:pPr>
        <w:spacing w:after="0" w:line="54" w:lineRule="exact"/>
        <w:rPr>
          <w:rFonts w:ascii="Times New Roman" w:cs="Times New Roman" w:eastAsia="Times New Roman" w:hAnsi="Times New Roman"/>
          <w:sz w:val="14"/>
          <w:szCs w:val="14"/>
          <w:b w:val="1"/>
          <w:bCs w:val="1"/>
          <w:color w:val="auto"/>
          <w:vertAlign w:val="superscript"/>
        </w:rPr>
      </w:pPr>
    </w:p>
    <w:p>
      <w:pPr>
        <w:jc w:val="both"/>
        <w:ind w:firstLine="5"/>
        <w:spacing w:after="0" w:line="271" w:lineRule="auto"/>
        <w:tabs>
          <w:tab w:leader="none" w:pos="117" w:val="left"/>
        </w:tabs>
        <w:numPr>
          <w:ilvl w:val="0"/>
          <w:numId w:val="6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mentioned in footnote 2 above, during the first quarter ended March 31, 2024, the Company issued Series C Preferred Shares and Warrants for Class A Shares. The Warrants do not participate in dividends declared on common stock and are excluded from the calculation of basic earnings per share. Since the Warrants are classified as liabilities and remeasured at fair value each period, application of the treasury stock method for calculation of diluted earnings per share includes reversing the income statement effect of the fair value remeasurement for the period.</w:t>
      </w:r>
    </w:p>
    <w:p>
      <w:pPr>
        <w:spacing w:after="0" w:line="41" w:lineRule="exact"/>
        <w:rPr>
          <w:rFonts w:ascii="Times New Roman" w:cs="Times New Roman" w:eastAsia="Times New Roman" w:hAnsi="Times New Roman"/>
          <w:sz w:val="14"/>
          <w:szCs w:val="14"/>
          <w:color w:val="auto"/>
          <w:vertAlign w:val="superscript"/>
        </w:rPr>
      </w:pPr>
    </w:p>
    <w:p>
      <w:pPr>
        <w:jc w:val="both"/>
        <w:ind w:firstLine="5"/>
        <w:spacing w:after="0" w:line="263" w:lineRule="auto"/>
        <w:tabs>
          <w:tab w:leader="none" w:pos="128" w:val="left"/>
        </w:tabs>
        <w:numPr>
          <w:ilvl w:val="0"/>
          <w:numId w:val="6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As mentioned in Note 3 (Business Combinations and Divestitures), during the second quarter ended June 30, 2024, the Company entered into a purchase agreement with EEA in which a portion of the estimated contingent consideration could be paid in Class A Common Stock. The Earn-Out Shares are excluded from the calculation of basic earnings per share as EEA’s contingency period has not been completed as of the current reporting period. Since EEA’s estimated contingent consideration is classified as a liability and remeasured at fair value each period, the application of the treasury stock method for calculation of diluted earnings per share includes reversing the income statement effect of the fair value remeasurement for the period.</w:t>
      </w:r>
    </w:p>
    <w:p>
      <w:pPr>
        <w:spacing w:after="0" w:line="204" w:lineRule="exact"/>
        <w:rPr>
          <w:rFonts w:ascii="Times New Roman" w:cs="Times New Roman" w:eastAsia="Times New Roman" w:hAnsi="Times New Roman"/>
          <w:sz w:val="14"/>
          <w:szCs w:val="14"/>
          <w:color w:val="auto"/>
          <w:vertAlign w:val="superscript"/>
        </w:rPr>
      </w:pPr>
    </w:p>
    <w:p>
      <w:pPr>
        <w:jc w:val="both"/>
        <w:ind w:firstLine="5"/>
        <w:spacing w:after="0" w:line="236" w:lineRule="auto"/>
        <w:tabs>
          <w:tab w:leader="none" w:pos="137" w:val="left"/>
        </w:tabs>
        <w:numPr>
          <w:ilvl w:val="0"/>
          <w:numId w:val="6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second quarter of 2024, the Company granted PRSUs to selected members of AlTi’s executive team. Vesting of the PRSUs is based on meeting certain market conditions and the requisite service period. Unvested PRSUs would be excluded from Basic EPS calculation, but once vested, they would be included in the Basic EPS calculation. The PRSUs would be included in the computation of diluted EPS using the treasury stock method. Assumed proceeds under the treasury stock method consist of unamortized compensation cost. If dilutive, the unvested restricted stock would be considered outstanding as of the later of the beginning of the period or the grant date for diluted EPS computation purposes. If anti-dilutive, it should be excluded from the diluted EPS computation. See discussion of PRSUs in Note 5 (Equity-Based Compensation).</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3"/>
          <w:szCs w:val="13"/>
          <w:color w:val="auto"/>
        </w:rPr>
        <w:t xml:space="preserve"> During the third quarter of 2023, the Company modified the Holbein Earn-In shares arrangement such that the settlement of the Earn-In shares would be in shares at each service period. As of June 30, 2024, the service periods related to the Holbein Earn-In shares had not been completed, and therefore such shares have not been included in the calculation of basic earnings (loss) per share for the three and six months ended June 30, 2024 and June 30, 2023. However, in calculating the Company’s diluted earnings (loss) per share, the Company utilized the treasury stock method to determine the potential number of dilutive shares for the three and six months ended June 30, 2024 and June 30, 2023. For the three and six months ended June 30, 2024 and June 30, 2023, the Holbein Earn-In shares were excluded from the Company’s diluted earnings per share calculation as the Earn-In shares were classified as contingently issuable common shares. The key terms of the Holbein Earn-Ins are discussed in Note 5 (Equity-Based Compensation).</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3020" w:type="dxa"/>
            <w:vAlign w:val="bottom"/>
            <w:gridSpan w:val="4"/>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4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share data)</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9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controlling interest - basic and diluted</w:t>
            </w:r>
          </w:p>
        </w:tc>
        <w:tc>
          <w:tcPr>
            <w:tcW w:w="2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to the Company - diluted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28,130</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(26,000)</w:t>
            </w:r>
          </w:p>
        </w:tc>
      </w:tr>
      <w:tr>
        <w:trPr>
          <w:trHeight w:val="22"/>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basic</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71,738,190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59,286,346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69,228,309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58,425,916</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 - diluted</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71,738,190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114,319,307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119,355,038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58,454,342</w:t>
            </w:r>
          </w:p>
        </w:tc>
      </w:tr>
      <w:tr>
        <w:trPr>
          <w:trHeight w:val="22"/>
        </w:trPr>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per Class A Common Stock - basic</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r>
      <w:tr>
        <w:trPr>
          <w:trHeight w:val="191"/>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per Class A Common Stock - diluted</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potentially dilutive instruments were excluded from the calculation of diluted net loss per share because their effect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4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320" w:type="dxa"/>
            <w:vAlign w:val="bottom"/>
            <w:gridSpan w:val="3"/>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22"/>
        </w:trPr>
        <w:tc>
          <w:tcPr>
            <w:tcW w:w="45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1"/>
        </w:trPr>
        <w:tc>
          <w:tcPr>
            <w:tcW w:w="454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and Class B Units</w:t>
            </w: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27,516,481</w:t>
            </w:r>
          </w:p>
        </w:tc>
      </w:tr>
      <w:tr>
        <w:trPr>
          <w:trHeight w:val="19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80" w:type="dxa"/>
            <w:vAlign w:val="bottom"/>
          </w:tcPr>
          <w:p>
            <w:pPr>
              <w:spacing w:after="0"/>
              <w:rPr>
                <w:sz w:val="16"/>
                <w:szCs w:val="16"/>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9,985,626</w:t>
            </w:r>
          </w:p>
        </w:tc>
      </w:tr>
      <w:tr>
        <w:trPr>
          <w:trHeight w:val="22"/>
        </w:trPr>
        <w:tc>
          <w:tcPr>
            <w:tcW w:w="4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2"/>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10,459,204</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10,396,318</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10,396,318</w:t>
            </w: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10,396,318</w:t>
            </w:r>
          </w:p>
        </w:tc>
      </w:tr>
      <w:tr>
        <w:trPr>
          <w:trHeight w:val="19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Awards</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4,607,089</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2,376,487</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2,303,545</w:t>
            </w:r>
          </w:p>
        </w:tc>
      </w:tr>
    </w:tbl>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over the life of the TRA, (ii) the tax rates in effect as of time periods in which tax benefits are used, and (iii) certain terms governing the rate of interest to be applied to payments under the TRA.</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liability associated with the TRA was approximately $24.9 million and $17.6 million, respectively. Payments under the TRA that are on account of liabilities arising in connection with the Business Combination will be revalued at the end of each reporting period with the gain or loss recognized in earnings. As of June 30, 2024 and December 31, 2023, the Company carried $6.9 million and $13.2 million, respectively, of its TRA liability at fair value, as it is contingent consideration from the Business Combination. The remaining portion of the TRA liability is carried at a value equal to the expected future payments under the TRA.</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In connection with the TRA, certain parties to the Business Combination who received Class B Units in Umbrella have the ability to exchange Class B Units in Umbrella (along with their paired Class B shares)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On August 31, 2023, holders of Class B Units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Common Stock exchanged 4,954,518 Class B Paired Interests with the Company, for shares of Class A Common Stock on a 1:1 basis totaling an amount equal to $6.61 multiplied by the total number of shares of Class B Common Stock exchanged at the time of the transaction. On May 14, 2024, holders of Class B Common Stock exchanged 286,242 Class B Paired Interests with the Company, for shares of Class A Common Stock on a 1:1 basis totaling an amount equal to $4.69 multiplied by the total number of shares of Class B Common Stock exchanged at the time of the transaction.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certain assumptions, including that the Company will have sufficient taxable income to fully utilize the deductions arising from the increased tax deductions.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June 30, 2024, assuming no material changes in the relevant tax laws and that the Company generates sufficient taxable income to realize the full tax benefit of the increased amortization resulting from the increase in tax basis of certain of AlTi’s assets, we expect to pay approximately $24.9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 Liability</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June 30, 2024 and December 31, 2023, the fair value of the earn-out shares was $24.0 million and $62.4 million, respectively. See Note 2 (Summary of Significant Accounting Policies) for additional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total purchase consideration transferred includes cash consideration, equity consideration, deferred cash consideration, earn-out consideration, (or AWMS earn-out liability), and the payment of assumed liabilities. As of June 30, 2024 and December 31, 2023, the AWMS earn-out liability of $1.1 million and $1.1 million, respectively, is reported in Earn-</w:t>
      </w:r>
    </w:p>
    <w:p>
      <w:pPr>
        <w:spacing w:after="0"/>
        <w:rPr>
          <w:sz w:val="20"/>
          <w:szCs w:val="20"/>
          <w:color w:val="auto"/>
        </w:rPr>
      </w:pPr>
      <w:r>
        <w:rPr>
          <w:rFonts w:ascii="Times New Roman" w:cs="Times New Roman" w:eastAsia="Times New Roman" w:hAnsi="Times New Roman"/>
          <w:sz w:val="14"/>
          <w:szCs w:val="14"/>
          <w:color w:val="auto"/>
        </w:rPr>
        <w:t>out liability, at fair value, in the Condensed Consolidated Statement of Financial Position. Since the AWMS earn-out liability meets the definition of a derivative, it is recorded at</w:t>
      </w:r>
    </w:p>
    <w:p>
      <w:pPr>
        <w:spacing w:after="0" w:line="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fair value as a derivative liability on the Condensed Consolidated Statement of Financial Position and measured at fair value at each reporting date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with changes in fair value to be recognized in Gain (loss) on earn-out liability in the Condensed Consolidated Statement of Operations and in Fair value of</w:t>
      </w:r>
    </w:p>
    <w:p>
      <w:pPr>
        <w:spacing w:after="0"/>
        <w:rPr>
          <w:sz w:val="20"/>
          <w:szCs w:val="20"/>
          <w:color w:val="auto"/>
        </w:rPr>
      </w:pPr>
      <w:r>
        <w:rPr>
          <w:rFonts w:ascii="Times New Roman" w:cs="Times New Roman" w:eastAsia="Times New Roman" w:hAnsi="Times New Roman"/>
          <w:sz w:val="14"/>
          <w:szCs w:val="14"/>
          <w:color w:val="auto"/>
        </w:rPr>
        <w:t>earn-out liability in the Condensed Consolidated Statement of Cash Flows in the period of change. See Note 2 (Summary of Significant Accounting Policies) for additional detail.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EEA Earn-out Liability</w:t>
      </w:r>
    </w:p>
    <w:p>
      <w:pPr>
        <w:spacing w:after="0" w:line="18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June 30, 2024, the EEA earn-out liability of $24.0 million is reported in Earn-out liability, at fair value, in the Condensed Consolidated Statement of Financial Position and Consolidated Statement of Financial Position, respectively. Since the EEA earn-out liability meets the definition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of a derivative, it is recorded at fair value as a derivative liability on the Condensed Consolidated Statement of Financial Position and measured at fair value at each reporting date in accordance with ASC 820, Fair Value Measurement, with changes in fair value to be recognized in Gain (loss) on earn-out liability in the Condensed Consolidated Statement of Operations and in Fair value of earn-out liability in the Condensed Consolidated Statement of Cash Flows in the period of change. See Note 2 (Summary of Significant Accounting Policies) for additional detail.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we may be named as a defendant in legal or regulatory actions. Although there can be no assurance of the outcome of such matters, management’s current assessment is that no loss contingency reserve is required to be recorded as of June 30, 2024 for any potential liability related to any current legal or regulatory proceeding or claim that would individually or in the aggregate materially affect our results of operations, financial condition, or cash flows.</w:t>
      </w:r>
    </w:p>
    <w:p>
      <w:pPr>
        <w:spacing w:after="0" w:line="16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Home REIT is a real estate investment trust company listed on the London Stock Exchange. AFM UK was its alternative investment fund manager (“AIFM”) until August 21, 2023 and AHRA was its investment adviser until June 30, 2023. AFM UK is a wholly owned subsidiary of the Company. AHRA was owned by ARE (another 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spacing w:after="0" w:line="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It is not possible at this point in time for us to reliably assess what the quantum of such claims might be, or AFM UK’s and/or ARE’s potential exposure, though they may potentially be material to the Company. If any litigation or other action is commenced by current and/or former shareholders of Home REIT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pacing w:after="0" w:line="1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6"/>
          <w:szCs w:val="16"/>
          <w:color w:val="auto"/>
        </w:rPr>
        <w:t>On April 12, 2024, pre-action steps were commenced by Home REIT and its directors against AFM UK and ARE. This relates to the historic management of Home REIT by certain legacy Alvarium companies. In the pre-action correspondence, Home REIT and its directors assert potential claims against AFM 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conspiracy and deceit by AFM UK and/or AHRA, and, in the case of ARE, they assert that ARE is liable to Home REIT for any acts or omissions of AHRA under the UK’s appointed representative regime. It is not possible at this point in time for us to reliably assess what the quantum of such claims might be, or AFM UK’s and ARE’s potential exposure, though they may potentially be material to the Company. If any litigation or other action is commenced by Home REIT and/or its directors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HLIF is a private fund which pursues a similar investment strategy to Home REIT, and which we determined to exit and are in the process of transitioning to a new manager as previously disclosed.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6"/>
          <w:szCs w:val="16"/>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 misleading statements were made in relation to Home REIT and/or HLIF and/or whether these group entities breached other FCA rules and/or principles. ARE and AFM have voluntarily requested the imposition of requirements by the UK FCA which primarily involve the companies agreeing to maintain their current assets and not undertaking any new business without UK FCA consent.We no longer provide services to Home REIT and are in the process of transitioning the management of HLIF. Once this is completed, the legacy Alvarium companies that provided these services will cease operating.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to the Company.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June 30, 2024 and December 31, 2023, there were 72,167,195 and 65,110,875, respectively, shares of Class A Common Stock outstanding. Of those shares, 754,968 are subject to performance targets under the terms of the Business Combination Earn-out as of both June 30, 2024 and December 31, 2023. The holders of the Class A Common Stock represent the controlling interest of the Company.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B Common Stock</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June 30, 2024 and December 31, 2023, there were 47,978,953 and 53,219,713, respectively, shares of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Series C Preferred Stock</w:t>
      </w:r>
    </w:p>
    <w:p>
      <w:pPr>
        <w:spacing w:after="0" w:line="200"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In connection with the Constellation Transaction, the Company issued 150,000 shares of Series C Preferred Stock to Constellation. The Series C Preferred Stock is classified outside of permanent equity as mezzanine equity in the accompanying Consolidated Statement of Financial Position as they are not mandatorily redeemable as of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Management evaluated events and transactions through the date of issuance of these financial statements. Based on management’s evaluation there are no events subsequent to June 30, 2024 that require adjustment to or disclosure in the consolidated financial statements, except as noted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Envoi Acquisition</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On May 8, 2024, the Company entered into a purchase agreement to acquire substantially all the assets of Envoi, LLC (“Envoi”). The initial purchase price was approximately $25.2 million, and the transaction closed on July 1, 2024. Certain Envoi members are entitled to additional installment amounts over the next four years, calculated in accordance with revenue-based formulas.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Allianz</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As previously disclosed, on July 31, 2024, the Company completed the sale to Allianz of (i) 140,000 shares of a newly created class of preferred stock designated Series A Cumulative Convertible Preferred Stock (the “Series A Preferred Stock”) and (ii) 19,318,580.96 shares of Class A Common Stock for an aggregate purchase price equal to $250 million (the “Allianz Closing”) and issued to Allianz warrants (the “Allianz Warrants”) to purchase 5,000,000 shares of Class A Common Stock.</w:t>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shareholders, and (ii) entered into an Investor Rights Agreement with Allianz pursuant to which, among other items, Allianz will have the right to nominate two directors until such time as Allianz ceases to own at least 50% of the initial shares of Class A Common Stock acquired at the Allianz Closing.</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 Company’s Non-Voting Common Stock, which may be issued in the future to Allianz. The Umbrella LLC Agreement was also amended to reflect the creation of preferred units of AlTi Global Capital, LLC that mirror the rights, preferences, privileges and restrictions applicable to the Series C Preferred Stock previously issued to Constellation.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Strategic Review of Real Estate Co-Investment and Fund Management Businesses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Concurrent with the closing of the investment from Allianz at the end of July 2024, management commenced a strategic review of the Real Estate Co-investment and Fund Management businesses. This review, which is expected to be completed prior to the end of the third quarter of 2024 will consider, among other things, 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6"/>
          <w:szCs w:val="16"/>
          <w:b w:val="1"/>
          <w:bCs w:val="1"/>
          <w:color w:val="auto"/>
        </w:rPr>
        <w:t>AlTi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assessment of the future strategy of these businesses, including whether any changes to our legal entity structure or composition of operating segments may be needed, consistent with any changes in business strategy that may be determined necessary. At the completion of this review, should it be concluded that changes will be made to our operating segments, this would likely require an assessment of the allocation and carrying value of goodwill reported in the Company’s updated operating segments. As part of such assessment, if it is determined that goodwill allocated to any updated operating segment is impaired, an impairment charge would be required to be recorded in the Company’s financial statements in the period such determination is made.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Fourth Amendment to the Credit Agreement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On August 5, 2024, the Company entered into the Fourth Amendment. The Fourth Amendment amends the Credit Agreement to permit the Company to utilize proceeds from any drawdowns on the revolving credit facility on certain “Permitted Acquisitions,”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 OF ALTI GLOBAL, INC.</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unaudited financial statements and the related notes included in this Quarterly Report.</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Amounts and percentages presented throughout our discussion and analysis of the financial condition and results of operations may reflect rounded results in thousands (unless otherwise indicated) and consequently, totals may not appear to sum.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We are a global wealth management firm, with a diverse array of investment, advisory, and administrative capabilities with which we serve our clients and investors; and provide value to our shareholders. Our business is currently organized into two business segments: Wealth Management and Strategic Alternatives (formerly known as Asset Management):</w:t>
      </w:r>
    </w:p>
    <w:p>
      <w:pPr>
        <w:spacing w:after="0" w:line="56"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manage or advise approximately $71.9 billion in combined assets as of June 30, 2024;</w:t>
      </w:r>
    </w:p>
    <w:p>
      <w:pPr>
        <w:spacing w:after="0" w:line="144" w:lineRule="exact"/>
        <w:rPr>
          <w:rFonts w:ascii="Times New Roman" w:cs="Times New Roman" w:eastAsia="Times New Roman" w:hAnsi="Times New Roman"/>
          <w:sz w:val="16"/>
          <w:szCs w:val="16"/>
          <w:color w:val="auto"/>
        </w:rPr>
      </w:pPr>
    </w:p>
    <w:p>
      <w:pPr>
        <w:ind w:left="520" w:hanging="260"/>
        <w:spacing w:after="0" w:line="330" w:lineRule="auto"/>
        <w:tabs>
          <w:tab w:leader="none" w:pos="51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our Wealth Management segment, 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spacing w:after="0" w:line="13" w:lineRule="exact"/>
        <w:rPr>
          <w:rFonts w:ascii="Times New Roman" w:cs="Times New Roman" w:eastAsia="Times New Roman" w:hAnsi="Times New Roman"/>
          <w:sz w:val="14"/>
          <w:szCs w:val="14"/>
          <w:color w:val="auto"/>
        </w:rPr>
      </w:pPr>
    </w:p>
    <w:p>
      <w:pPr>
        <w:ind w:left="520" w:hanging="260"/>
        <w:spacing w:after="0" w:line="273" w:lineRule="auto"/>
        <w:tabs>
          <w:tab w:leader="none" w:pos="51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our Strategic Alternatives segment, we assist our investors with alternative investments and co-investments by providing access to highly differentiated opportunities in these areas as well as structuring and selecting partners with a proven track record in alternative asset classes, with attractive risk adjusted return characteristics.</w:t>
      </w:r>
    </w:p>
    <w:p>
      <w:pPr>
        <w:spacing w:after="0" w:line="1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Subsequent to June 30, 2024, management has commenced a strategic review of certain businesses within the currently defined Strategic Alternatives segment. This review, which is expected to be completed by the end of the third quarter of 2024, will consider, among other things, potential changes to our legal entity structure as well as the components included within the operating segments outlined above. Refer to Note 21 (Subsequent Events) in our accompanying interim consolidated financial statements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business is global, with approximately 430 professionals operating in 20 cities in 9 countries across three continents as of June 30, 2024.</w:t>
      </w:r>
    </w:p>
    <w:p>
      <w:pPr>
        <w:spacing w:after="0" w:line="18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services that we provide form a complementary ecosystem for our target markets of clients, investors, and businesses, many of whom share common interests and goals that we are able to connect and serve. The complementary nature of our services and a differentiated suite of capabilities position us well for organic growth across our business lines. Our strategy includes a focus on inorganic growth through acquisitions and investments in talented managers in exchange for a share of future revenues or profits. We also believe we are well positioned to capitalize on global market trends and dynamics that we see facing our world as well as the industry, clients, investors, and businesses we serve.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Fee Structure</w:t>
      </w:r>
    </w:p>
    <w:p>
      <w:pPr>
        <w:spacing w:after="0" w:line="20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Consistent with offering a diverse range of services, we generate a diverse range of revenue streams across our business lines. A high-level summary of these revenue streams is set forth below.</w:t>
      </w:r>
    </w:p>
    <w:p>
      <w:pPr>
        <w:spacing w:after="0" w:line="8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Broadly, our revenues fall into four categories: recurring management, advisory, or administration fees; performance or incentive fees; distribution from investments and other income or fees:</w:t>
      </w:r>
    </w:p>
    <w:p>
      <w:pPr>
        <w:spacing w:after="0" w:line="80" w:lineRule="exact"/>
        <w:rPr>
          <w:sz w:val="20"/>
          <w:szCs w:val="20"/>
          <w:color w:val="auto"/>
        </w:rPr>
      </w:pPr>
    </w:p>
    <w:p>
      <w:pPr>
        <w:jc w:val="both"/>
        <w:ind w:left="520" w:hanging="260"/>
        <w:spacing w:after="0" w:line="251" w:lineRule="auto"/>
        <w:tabs>
          <w:tab w:leader="none" w:pos="51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advisory, and administration fees are historically more predictable across market conditions than our other revenue sources. These fees are recurring in nature (usually being annual or quarterly fees) and are earned from both our wealth management division from investment management, investment advisory, trusts and administration, and family office services, and also from our fund management activities associated with our internally managed funds. Added to the recurring nature of these fees, our high client retention rate in our wealth management services, and the long-term nature of our fund management fees, means that these fees are also relatively stable.</w:t>
      </w:r>
    </w:p>
    <w:p>
      <w:pPr>
        <w:spacing w:after="0" w:line="98" w:lineRule="exact"/>
        <w:rPr>
          <w:rFonts w:ascii="Times New Roman" w:cs="Times New Roman" w:eastAsia="Times New Roman" w:hAnsi="Times New Roman"/>
          <w:sz w:val="16"/>
          <w:szCs w:val="16"/>
          <w:color w:val="auto"/>
        </w:rPr>
      </w:pPr>
    </w:p>
    <w:p>
      <w:pPr>
        <w:jc w:val="both"/>
        <w:ind w:left="520" w:hanging="260"/>
        <w:spacing w:after="0" w:line="252" w:lineRule="auto"/>
        <w:tabs>
          <w:tab w:leader="none" w:pos="51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or performance fees are comprised of both carried interest payments we earn on co-investments and annual performance or incentive fees earned in some cases from our investment management and advisory or fund management services associated with our internally managed funds.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107" w:lineRule="exact"/>
        <w:rPr>
          <w:rFonts w:ascii="Times New Roman" w:cs="Times New Roman" w:eastAsia="Times New Roman" w:hAnsi="Times New Roman"/>
          <w:sz w:val="16"/>
          <w:szCs w:val="16"/>
          <w:color w:val="auto"/>
        </w:rPr>
      </w:pPr>
    </w:p>
    <w:p>
      <w:pPr>
        <w:jc w:val="both"/>
        <w:ind w:left="520" w:hanging="260"/>
        <w:spacing w:after="0" w:line="238" w:lineRule="auto"/>
        <w:tabs>
          <w:tab w:leader="none" w:pos="51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from investments are generated from the equity interests we have in the three external managers pursuant to which we are entitled to distributions based on the terms of the respective arrangements. Distributions from each investment will be recorded upon receipt of the distribution. We receive distributions from our External Strategic Managers through our profit or revenue sharing arrangements that are generated through their management and incentive fees based on performance of the underlying investments. The management component of the distributions is recurring in nature, while the incentive portion is more susceptible to impact from exogenous factors.</w:t>
      </w:r>
    </w:p>
    <w:p>
      <w:pPr>
        <w:spacing w:after="0" w:line="106" w:lineRule="exact"/>
        <w:rPr>
          <w:rFonts w:ascii="Times New Roman" w:cs="Times New Roman" w:eastAsia="Times New Roman" w:hAnsi="Times New Roman"/>
          <w:sz w:val="16"/>
          <w:szCs w:val="16"/>
          <w:color w:val="auto"/>
        </w:rPr>
      </w:pPr>
    </w:p>
    <w:p>
      <w:pPr>
        <w:jc w:val="both"/>
        <w:ind w:left="520" w:hanging="260"/>
        <w:spacing w:after="0" w:line="247" w:lineRule="auto"/>
        <w:tabs>
          <w:tab w:leader="none" w:pos="51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or fees included transaction fees from businesses we have exited, or are in the process of exiting such as strategic advisory, corporate advisory, brokerage, and placement agency services. Transaction fees are generally non-recurring in nature, are typically commission based, and are payable on the successful completion of a transaction. Transactions are also susceptible to impact from exogenous factors.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Wealth Management Fees</w:t>
      </w:r>
    </w:p>
    <w:p>
      <w:pPr>
        <w:spacing w:after="0" w:line="1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Investment management or advisory fees are the primary source of revenue in our Wealth Management segment. These fees are generally calculated on the basis of a percentage of the value of each client’s assets (AUM or AUA) and are charged using either an average daily balance or ending balance, quarterly in arrears.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w:t>
      </w:r>
    </w:p>
    <w:p>
      <w:pPr>
        <w:spacing w:after="0"/>
        <w:rPr>
          <w:sz w:val="20"/>
          <w:szCs w:val="20"/>
          <w:color w:val="auto"/>
        </w:rPr>
      </w:pPr>
      <w:r>
        <w:rPr>
          <w:rFonts w:ascii="Times New Roman" w:cs="Times New Roman" w:eastAsia="Times New Roman" w:hAnsi="Times New Roman"/>
          <w:sz w:val="14"/>
          <w:szCs w:val="14"/>
          <w:color w:val="auto"/>
        </w:rPr>
        <w:t>differ from the calculation methodologies of other wealth managers and, as a result, this measure may not be comparable to similar measures presented by other wealth managers.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6"/>
          <w:szCs w:val="16"/>
          <w:color w:val="auto"/>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spacing w:after="0" w:line="1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Some clients in certain jurisdictions may also pay performance fees if their portfolio achieves returns in excess of an agreed benchmark or hurdle rate. Typically, such fees are paid annually upon crystallization and are not accrued prior to being earned.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Strategic Alternatives </w:t>
      </w:r>
      <w:r>
        <w:rPr>
          <w:rFonts w:ascii="Times New Roman" w:cs="Times New Roman" w:eastAsia="Times New Roman" w:hAnsi="Times New Roman"/>
          <w:sz w:val="16"/>
          <w:szCs w:val="16"/>
          <w:color w:val="auto"/>
        </w:rPr>
        <w:t>F</w:t>
      </w:r>
      <w:r>
        <w:rPr>
          <w:rFonts w:ascii="Times New Roman" w:cs="Times New Roman" w:eastAsia="Times New Roman" w:hAnsi="Times New Roman"/>
          <w:sz w:val="16"/>
          <w:szCs w:val="16"/>
          <w:b w:val="1"/>
          <w:bCs w:val="1"/>
          <w:i w:val="1"/>
          <w:iCs w:val="1"/>
          <w:color w:val="auto"/>
        </w:rPr>
        <w:t>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Fund Management Fees</w:t>
      </w:r>
    </w:p>
    <w:p>
      <w:pPr>
        <w:spacing w:after="0" w:line="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We earn management fees in our Strategic Alternatives segment through our alternatives platform (compensation for internal fund management and advisory services), private real estate fund management and private real estate recurring fees. The management fees for the alternatives platform are approximately 0.75% to 1.5% of the net asset value of the funds’ underlying investments. In addition, we generate income from managing and advising a private real estate investment fund. Our fees from managing and advising this vehicle are contained in management and advisory contracts relating to the relevant fund and are typically calculated on a sliding scale of percentages of the asset value, market capitalization or the investor capital of the relevant fund as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TIG Arbitrage is entitled to receive incentive fees if certain performance returns have been achieved as stipulated in our governing documents. The incentive fees for TIG Arbitrage are calculated using 15% to 20% of the net profit/income. We recognize our incentive fees when it is no longer probable that a significant reversal of revenue will occur. Our incentive fees are not subject to clawback provisions.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Distributions from investments are earned through our profit or revenue sharing arrangements with the External Strategic Managers. Our economic interests in the External Strategic Managers are as follows:</w:t>
      </w:r>
    </w:p>
    <w:p>
      <w:pPr>
        <w:spacing w:after="0" w:line="59" w:lineRule="exact"/>
        <w:rPr>
          <w:sz w:val="20"/>
          <w:szCs w:val="20"/>
          <w:color w:val="auto"/>
        </w:rPr>
      </w:pPr>
    </w:p>
    <w:p>
      <w:pPr>
        <w:ind w:left="500" w:hanging="240"/>
        <w:spacing w:after="0"/>
        <w:tabs>
          <w:tab w:leader="none" w:pos="5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Bridge Lending Strategy—20.92% profit share;</w:t>
      </w:r>
    </w:p>
    <w:p>
      <w:pPr>
        <w:spacing w:after="0" w:line="7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European Equities—25% revenue share; and</w:t>
      </w:r>
    </w:p>
    <w:p>
      <w:pPr>
        <w:spacing w:after="0" w:line="81"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Asian Credit and Special Situations—12% revenue share</w:t>
      </w:r>
    </w:p>
    <w:p>
      <w:pPr>
        <w:spacing w:after="0" w:line="113"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4"/>
          <w:szCs w:val="14"/>
          <w:color w:val="auto"/>
        </w:rPr>
        <w:t>Our distributions from investments from European equities and Asian credit and special situations are comprised of a management fee component and, depending on performance, an incentive fee component. Depending on the fund, the incentive fee component can range from 15% to 35% of the net profit/income, in excess of a 10% return hurdle.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 Estate Co-investment</w:t>
      </w:r>
    </w:p>
    <w:p>
      <w:pPr>
        <w:spacing w:after="0" w:line="11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As sponsors of private market direct and co-investment transactions, we generate income from debt and equity structures relating to specified real estate investments or investments in other alternative asset classes. Private market fees include arrangement, retainer, management, advisory, performance, acquisition, promote and other associated fees as well as interest arbitrage for debt structures.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typically medium to long-term (three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85" w:name="page86"/>
    <w:bookmarkEnd w:id="85"/>
    <w:p>
      <w:pPr>
        <w:jc w:val="both"/>
        <w:spacing w:after="0" w:line="231" w:lineRule="auto"/>
        <w:rPr>
          <w:sz w:val="20"/>
          <w:szCs w:val="20"/>
          <w:color w:val="auto"/>
        </w:rPr>
      </w:pPr>
      <w:r>
        <w:rPr>
          <w:rFonts w:ascii="Times New Roman" w:cs="Times New Roman" w:eastAsia="Times New Roman" w:hAnsi="Times New Roman"/>
          <w:sz w:val="16"/>
          <w:szCs w:val="16"/>
          <w:color w:val="auto"/>
        </w:rPr>
        <w:t>We may be entitled to a portion of the performance-related entitlements (such as carried interest or promote) that may be payable on exit from Co-investment transactions. Such revenues are only received if the investor hurdle (i.e. a minimum return to the investor) is reached and may include a catch-up. Carried interest entitlements are based on a percentage of the investor return above such hurdle and are set on a deal and fund basis. Typically, carried interest entitlements represent 10% to 20% of the investors’ equity internal rate of return in excess of an 8% to 15% hurdle, with no carried interest entitlement being payable if the hurdle is not met. In relation to our co-investments, a group company will typically have entered into an advisory or management agreement, or other arrangement, that entitles us to receive a share of base management fees (whether directly or through a joint venture entity) from the inception of the relevant investment or joint venture, through to exit and the liquidation of the relevant transaction vehicle, or as otherwise set out in an approved business plan. Where we have established feeder vehicles for clients, there may also be administration and advisory fees associated with those vehicles (these are earned by our trusts and administration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Trends and Business Environment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Our business is directly and indirectly affected by conditions in the financial markets and economic conditions, particularly in the U.S. and to a lesser extent in Europe and Asia. Our business is also sensitive to current and expected interest rates, as well as the currency markets.</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After significant market gains in 2023, the first half of 2024 continued the pattern of strong equity market performance. The S&amp;P 500 and the MSCI All Country World Index increased by 15.3% and 11.6 % total return, respectively, over the first half, after rising by 26.3% and 22.8% total return, respectively, for the year 2023. Government fixed income markets over the same time frame, the first half to the end of June, came under modest pressure as generally yields rose and bond prices fell. The U.S. Municipal Bond and U.S. Treasury Indices both declined by 0.5%, while the Barclays Global Aggregate Index rose a modest 0.1% over the same time frame. While government bond prices had a more volatile start to the year, it is noteworthy that credit conditions in the U.S. continued to improve with credit spreads — the extra yield over Treasuries that corporate bonds must pay to compensate for extra risk — continued to narrow, resulting in the U.S. High Yield index (iShares iBoxx $ High Yield Corporate Bond ETF) rising by 2.3% year to date to the end of June 2024.</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catalysts for recent market stock market strength have been a combination of factors, including: the U.S. economy continuing to show solid economic growth, which bodes well for earnings growth as the year progresses. The U.S. stock market as measured by the S&amp;P 500 also benefits from the trend of generative AI, as close to 37% of its shares are represented by leading technology companies, that are both investing in and likely to continue to benefit from monetization of this innovation over time. The largest of these companies, including Nvidia, Microsoft, Alphabet, Meta, Amazon and Apple, also known as the Super Six, accounted for 60% of the gain in the U.S. stock market in the first half. As the year progresses, earnings estimates (as measured by Bloomberg consensus estimates) expect that other parts of the U.S. economy should deliver both positive and accelerating earnings leading to a broadening in market gains.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Stock market gains in Q2 also benefited from signs that U.S. inflation in the months of May and June has come in lower than expectations and is resuming its downtrend, after having stalled in Q1. This in combination with signs of cooling in the U.S. labor market (the unemployment ticking up to above 4% and recent increases in unemployment claims) and weakness in manufacturing data have increased expectations that the Federal Reserve will be able to cut short-term rates starting in September. Better disinflationary data in Europe, the UK and Canada have also led these central banks to cut short-term rates. China has embarked on further easing its monetary policy to help achieve its GDP growth target for 2024 of 5%. Economic growth and thus earnings globally are expected to benefit from these rate-cutting decisions.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fee-based revenue streams are driven by the value of our clients’ portfolio holdings, in the case of our Wealth Management segment or the performance of our varied funds and direct investments in our Strategic Alternatives segment. The overall level of revenues in these businesses, however, does not correlate completely with changes in global equity and fixed income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86" w:name="page87"/>
    <w:bookmarkEnd w:id="86"/>
    <w:p>
      <w:pPr>
        <w:jc w:val="both"/>
        <w:spacing w:after="0" w:line="248" w:lineRule="auto"/>
        <w:rPr>
          <w:sz w:val="20"/>
          <w:szCs w:val="20"/>
          <w:color w:val="auto"/>
        </w:rPr>
      </w:pPr>
      <w:r>
        <w:rPr>
          <w:rFonts w:ascii="Times New Roman" w:cs="Times New Roman" w:eastAsia="Times New Roman" w:hAnsi="Times New Roman"/>
          <w:sz w:val="16"/>
          <w:szCs w:val="16"/>
          <w:color w:val="auto"/>
        </w:rPr>
        <w:t>In our Wealth Management segment, while our client portfolios are well diversified across a range of asset classes and thus are not solely impacted by changes in equities or government bonds, they benefited in the year from the strong performance of our various equity exposures. Client portfolios also include holdings such as gold, credit, infrastructure, and hedge funds that also delivered positive returns in the year. Portfolio fluctuations also depend on multiple additional factors that include, but are not limited to, the level of alternative and private market holdings and the geographic and industry mix of client’s equity assets. We also note that our UHNW client base generally does not need to draw down from their portfolios to support day-to-day living needs and, accordingly, are able to approach portfolio investing with a long-term time horizon. Hence, in terms of behavior, they are less sensitive to short-term changes in market conditions.</w:t>
      </w:r>
    </w:p>
    <w:p>
      <w:pPr>
        <w:spacing w:after="0" w:line="1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In our Strategic Alternatives segment, the majority of our fees are derived from alternative funds which are structured to have low correlation to equity and fixed income markets and in some cases benefit in times of market stress. Our European long-short equity and Asian Credit manager continue to perform well in the first half of the year. With respect to incentive fees earned by our event-driven strategy, US GAAP only permits recognition of such fees when they are fully crystallized, which typically occurs in the fourth quarter of each year.</w:t>
      </w:r>
    </w:p>
    <w:p>
      <w:pPr>
        <w:spacing w:after="0" w:line="17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higher cost of capital environment, ongoing increases in construction costs and generally stagnating real estate prices are negatively impacting some of the real estate segments in which we operate. These declines impact the level of management fees that we earn. In addition, following completion of the sale of LXi REIT Advisors during the first quarter, the level of management fees we earn from public real estate will decline in future periods. On the private real estate side, the more difficult market and interest rate conditions may reduce the ultimate return expected from some of these investments. It is important to note that these assets are utilized in conjunction with longer-term investment strategies and are not subject to daily market pricing. Given the uncertainty in outlook, and the potential for diminution in value at realization, we modified our billing methodology for certain of our private real estate holdings, which will result in lower fees earned, until monetization.</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generally do not hedge investment currency risk associated with client portfolios and investor holdings across global markets. Hence, as we report our revenues in U.S. dollars, the translation impact from changes in the value of currencies outside the U.S. dollar can impact our results in any given financial reporting period.</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believe that the combination of our Wealth Management and Strategic Alternatives segments differentiates us from pure-play firms in both sectors and provides a growing base of recurring and diversified revenues. Since the Business Combination, total AUM/AUA increased by approximately 9%, and within our Wealth Management segment, these have grown 26% since the Business Combination.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first half of 2024, we generated revenues of $100.3 million. We believe these results, generated through a combination of strong market performance and organic client wins, are starting to reflect the power of our franchise, which we believe will continue to flow to an improved bottom line as we look forward to the remainder of 2024. Net income was $12.8 million and adjusted earnings before interest, taxes, depreciation, and amortization (“EBITDA”) was approximately $12.3 million for the six months ended June 30, 2024, respectively.</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continued to right-size the organization, simplify our business lines, and initiate processes to reduce the number of our regulated entities, while securing important client wins and adding key revenue-generating talent. Since the beginning of the year, we have reported AUM/AUA growth amidst a volatile market environment.</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core businesses continue to perform well. Based on the new initiatives undertaken this year and those that we embarked on during 2023, we expect operating expenses to continue to trend downward in 2024. As these cost savings and other growth initiatives take hold next year, we hope to see the impact of operating leverage-driven improvements and greater consistency in our US GAAP results and Adjusted EBITDA. In addition, we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7" w:name="page88"/>
    <w:bookmarkEnd w:id="87"/>
    <w:p>
      <w:pPr>
        <w:jc w:val="both"/>
        <w:spacing w:after="0" w:line="273" w:lineRule="auto"/>
        <w:rPr>
          <w:sz w:val="20"/>
          <w:szCs w:val="20"/>
          <w:color w:val="auto"/>
        </w:rPr>
      </w:pPr>
      <w:r>
        <w:rPr>
          <w:rFonts w:ascii="Times New Roman" w:cs="Times New Roman" w:eastAsia="Times New Roman" w:hAnsi="Times New Roman"/>
          <w:sz w:val="16"/>
          <w:szCs w:val="16"/>
          <w:color w:val="auto"/>
        </w:rPr>
        <w:t>believe that we will be able to deploy the capital raised from the investments from Allianz and Constellation to make accretive investments that will benefit our GAAP results and Adjusted EBITDA in 2024, and beyond.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Managing Business Performance and Key Financial Measures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financial measures. Adjusted EBITDA is derived from and reconciled to, but not equivalent to, its most directly comparable US GAAP measure of net income (loss). Adjusted Net Income represents net income (loss) before taxes plus (a) equity-settled share-based payments, (b) transaction-related costs, including professional fees, (c) impairment of equity method 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 (d) depreciation and amortization expense.</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track our performance and assess our ability to service our borrowings. These non-US GAAP 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non-US GAAP measures, as well as a reconciliation of these measures to the most comparable measure in accordance with US GAAP, see “Reconciliation of Consolidated US GAAP Financial Measures to Certain Non-US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color w:val="auto"/>
        </w:rPr>
        <w:t>The following tables present the non-US GAAP financial measures for the periods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3"/>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6"/>
              </w:rPr>
              <w:t>For the 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Favorable (Unfavorable)</w:t>
            </w:r>
          </w:p>
        </w:tc>
      </w:tr>
      <w:tr>
        <w:trPr>
          <w:trHeight w:val="28"/>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5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w w:val="96"/>
              </w:rPr>
              <w:t>June 30, 2023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5"/>
              </w:rPr>
              <w:t>Change</w:t>
            </w:r>
          </w:p>
        </w:tc>
      </w:tr>
      <w:tr>
        <w:trPr>
          <w:trHeight w:val="20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47,029</w:t>
            </w:r>
          </w:p>
        </w:tc>
        <w:tc>
          <w:tcPr>
            <w:tcW w:w="80" w:type="dxa"/>
            <w:vAlign w:val="bottom"/>
          </w:tcPr>
          <w:p>
            <w:pPr>
              <w:spacing w:after="0"/>
              <w:rPr>
                <w:sz w:val="17"/>
                <w:szCs w:val="17"/>
                <w:color w:val="auto"/>
              </w:rPr>
            </w:pPr>
          </w:p>
        </w:tc>
        <w:tc>
          <w:tcPr>
            <w:tcW w:w="1560" w:type="dxa"/>
            <w:vAlign w:val="bottom"/>
          </w:tcPr>
          <w:p>
            <w:pPr>
              <w:jc w:val="center"/>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46,844</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income/fees</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w:t>
            </w: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49,453</w:t>
            </w: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51,285</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(37,089)</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14,690</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Reported</w:t>
            </w: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19,710</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(20,761)</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(a)</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(c)</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liability (d)</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on investments (e)</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(12,224)</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liability (f)</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(66,083)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67,992</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TRA liability (g)</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Organization streamlining cost (h)</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(non-cash) (i)</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31,535</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(25,368)</w:t>
            </w: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on EMI/Carried Interest (non-cash) (j)</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w:t>
            </w: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EMI Adjustments (Interest, Depreciation, Taxes &amp; Amortization) (k)</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21"/>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(5,606)</w:t>
            </w: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3"/>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For the Six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Favorable (Unfavorable)</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w:t>
            </w:r>
          </w:p>
        </w:tc>
        <w:tc>
          <w:tcPr>
            <w:tcW w:w="3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5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w w:val="96"/>
              </w:rPr>
              <w:t>June 30, 2023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0" w:type="dxa"/>
            <w:vAlign w:val="bottom"/>
          </w:tcPr>
          <w:p>
            <w:pPr>
              <w:spacing w:after="0"/>
              <w:rPr>
                <w:sz w:val="1"/>
                <w:szCs w:val="1"/>
                <w:color w:val="auto"/>
              </w:rPr>
            </w:pPr>
          </w:p>
        </w:tc>
      </w:tr>
      <w:tr>
        <w:trPr>
          <w:trHeight w:val="20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62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Management/advisory fees</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93,253</w:t>
            </w:r>
          </w:p>
        </w:tc>
        <w:tc>
          <w:tcPr>
            <w:tcW w:w="80" w:type="dxa"/>
            <w:vAlign w:val="bottom"/>
          </w:tcPr>
          <w:p>
            <w:pPr>
              <w:spacing w:after="0"/>
              <w:rPr>
                <w:sz w:val="17"/>
                <w:szCs w:val="17"/>
                <w:color w:val="auto"/>
              </w:rPr>
            </w:pPr>
          </w:p>
        </w:tc>
        <w:tc>
          <w:tcPr>
            <w:tcW w:w="1560" w:type="dxa"/>
            <w:vAlign w:val="bottom"/>
          </w:tcPr>
          <w:p>
            <w:pPr>
              <w:jc w:val="center"/>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93,314</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fees</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investments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(5,823)</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income/fees</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100,265</w:t>
            </w: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109,332</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12,786</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74,946</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Reported</w:t>
            </w:r>
          </w:p>
        </w:tc>
        <w:tc>
          <w:tcPr>
            <w:tcW w:w="3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28,464</w:t>
            </w: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(58,152)</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86,616</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 (a)</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 - Legacy (b)</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(24,774)</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expenses (c)</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17,197</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warrant liability (d)</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0" w:type="dxa"/>
            <w:vAlign w:val="bottom"/>
          </w:tcPr>
          <w:p>
            <w:pPr>
              <w:spacing w:after="0"/>
              <w:rPr>
                <w:sz w:val="1"/>
                <w:szCs w:val="1"/>
                <w:color w:val="auto"/>
              </w:rPr>
            </w:pPr>
          </w:p>
        </w:tc>
      </w:tr>
      <w:tr>
        <w:trPr>
          <w:trHeight w:val="19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8"/>
              </w:rPr>
              <w:t>Change in fair value on investments and non-recurring realized gain/losses on sales</w:t>
            </w:r>
          </w:p>
        </w:tc>
        <w:tc>
          <w:tcPr>
            <w:tcW w:w="32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(7,903)</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3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earn-out liability (f)</w:t>
            </w:r>
          </w:p>
        </w:tc>
        <w:tc>
          <w:tcPr>
            <w:tcW w:w="3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(37,545)</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(36,877)</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TRA liability (g)</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Organization streamlining cost (h)</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(non-cash) (i)</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(25,308)</w:t>
            </w:r>
          </w:p>
        </w:tc>
        <w:tc>
          <w:tcPr>
            <w:tcW w:w="0" w:type="dxa"/>
            <w:vAlign w:val="bottom"/>
          </w:tcPr>
          <w:p>
            <w:pPr>
              <w:spacing w:after="0"/>
              <w:rPr>
                <w:sz w:val="1"/>
                <w:szCs w:val="1"/>
                <w:color w:val="auto"/>
              </w:rPr>
            </w:pPr>
          </w:p>
        </w:tc>
      </w:tr>
      <w:tr>
        <w:trPr>
          <w:trHeight w:val="28"/>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EMI/Carried Interest (non-cash) (j)</w:t>
            </w: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EMI Adjustments (Interest, Depreciation, Taxes &amp; Amortization) (k)</w:t>
            </w:r>
          </w:p>
        </w:tc>
        <w:tc>
          <w:tcPr>
            <w:tcW w:w="3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8"/>
        </w:trPr>
        <w:tc>
          <w:tcPr>
            <w:tcW w:w="5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12,285</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center"/>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21,908</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post-Business Combination).</w:t>
      </w:r>
    </w:p>
    <w:p>
      <w:pPr>
        <w:spacing w:after="0" w:line="18" w:lineRule="exact"/>
        <w:rPr>
          <w:rFonts w:ascii="Times New Roman" w:cs="Times New Roman" w:eastAsia="Times New Roman" w:hAnsi="Times New Roman"/>
          <w:sz w:val="16"/>
          <w:szCs w:val="16"/>
          <w:color w:val="auto"/>
        </w:rPr>
      </w:pPr>
    </w:p>
    <w:p>
      <w:pPr>
        <w:ind w:left="500" w:hanging="240"/>
        <w:spacing w:after="0" w:line="229" w:lineRule="auto"/>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pre-Business Combination).</w:t>
      </w: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and subsequent business combinations/divestitures, including professional fees.</w:t>
      </w: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warrant liability.</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unrealized gains/losses related to Investments held at fair value and includes the non-recurring realized gain for the sale of FOS ($9.4 million).</w:t>
      </w:r>
    </w:p>
    <w:p>
      <w:pPr>
        <w:ind w:left="520" w:hanging="260"/>
        <w:spacing w:after="0"/>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earn-out liability.</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unrealized gains/losses related primarily to the TRA liability.</w:t>
      </w: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 to implement organization change to derive cost synergy.</w:t>
      </w:r>
    </w:p>
    <w:p>
      <w:pPr>
        <w:spacing w:after="0" w:line="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of carried interest/equity method investments.</w:t>
      </w:r>
    </w:p>
    <w:p>
      <w:pPr>
        <w:spacing w:after="0" w:line="2"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the step-up in equity method investments.</w:t>
      </w:r>
    </w:p>
    <w:p>
      <w:pPr>
        <w:ind w:left="500" w:hanging="240"/>
        <w:spacing w:after="0"/>
        <w:tabs>
          <w:tab w:leader="none" w:pos="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reported interest, depreciation, amortization, and tax adjustments of the Company's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8"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color w:val="auto"/>
        </w:rPr>
        <w:t>Reconciliation of Consolidated US GAAP Financial Measures to Certain Non-US GAAP Measures</w:t>
      </w:r>
    </w:p>
    <w:p>
      <w:pPr>
        <w:spacing w:after="0" w:line="14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We use Adjusted Net Income and Adjusted EBITDA as non-US GAAP measures to assess and track our performance. Adjusted Net Income and Adjusted EBITDA as presented in this Quarterly Report are supplemental measures of our performance that are not required by, or presented in accordance with, US GAAP.</w:t>
      </w:r>
    </w:p>
    <w:p>
      <w:pPr>
        <w:spacing w:after="0" w:line="14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The following table presents the reconciliation of net income as reported in our Condensed Consolidated Statement of Operations to Adjusted Net Income and Adjusted EBITDA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
        </w:trPr>
        <w:tc>
          <w:tcPr>
            <w:tcW w:w="3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3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180" w:type="dxa"/>
            <w:vAlign w:val="bottom"/>
            <w:tcBorders>
              <w:bottom w:val="single" w:sz="8" w:color="auto"/>
            </w:tcBorders>
          </w:tcPr>
          <w:p>
            <w:pPr>
              <w:spacing w:after="0"/>
              <w:rPr>
                <w:sz w:val="15"/>
                <w:szCs w:val="15"/>
                <w:color w:val="auto"/>
              </w:rPr>
            </w:pPr>
          </w:p>
        </w:tc>
      </w:tr>
      <w:tr>
        <w:trPr>
          <w:trHeight w:val="166"/>
        </w:trPr>
        <w:tc>
          <w:tcPr>
            <w:tcW w:w="314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Strategic Alternatives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Strategic Alternatives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1180" w:type="dxa"/>
            <w:vAlign w:val="bottom"/>
          </w:tcPr>
          <w:p>
            <w:pPr>
              <w:spacing w:after="0"/>
              <w:rPr>
                <w:sz w:val="14"/>
                <w:szCs w:val="14"/>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 except share data)</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1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and Adjusted EBITDA</w:t>
            </w: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bl>
    <w:p>
      <w:pPr>
        <w:spacing w:after="0" w:line="7" w:lineRule="exact"/>
        <w:rPr>
          <w:sz w:val="20"/>
          <w:szCs w:val="20"/>
          <w:color w:val="auto"/>
        </w:rPr>
      </w:pPr>
    </w:p>
    <w:p>
      <w:pPr>
        <w:sectPr>
          <w:pgSz w:w="11900" w:h="16838" w:orient="portrait"/>
          <w:cols w:equalWidth="0" w:num="1">
            <w:col w:w="11280"/>
          </w:cols>
          <w:pgMar w:left="300" w:top="925" w:right="319" w:bottom="1440" w:gutter="0" w:footer="0" w:header="0"/>
        </w:sectPr>
      </w:pPr>
    </w:p>
    <w:p>
      <w:pPr>
        <w:ind w:left="20"/>
        <w:spacing w:after="0"/>
        <w:tabs>
          <w:tab w:leader="none" w:pos="3140" w:val="left"/>
        </w:tabs>
        <w:rPr>
          <w:sz w:val="20"/>
          <w:szCs w:val="20"/>
          <w:color w:val="auto"/>
        </w:rPr>
      </w:pPr>
      <w:r>
        <w:rPr>
          <w:rFonts w:ascii="Times New Roman" w:cs="Times New Roman" w:eastAsia="Times New Roman" w:hAnsi="Times New Roman"/>
          <w:sz w:val="13"/>
          <w:szCs w:val="13"/>
          <w:b w:val="1"/>
          <w:bCs w:val="1"/>
          <w:color w:val="auto"/>
        </w:rPr>
        <w:t>Net income before taxes</w:t>
      </w:r>
      <w:r>
        <w:rPr>
          <w:sz w:val="20"/>
          <w:szCs w:val="20"/>
          <w:color w:val="auto"/>
        </w:rPr>
        <w:tab/>
      </w:r>
      <w:r>
        <w:rPr>
          <w:rFonts w:ascii="Times New Roman" w:cs="Times New Roman" w:eastAsia="Times New Roman" w:hAnsi="Times New Roman"/>
          <w:sz w:val="14"/>
          <w:szCs w:val="14"/>
          <w:color w:val="auto"/>
        </w:rPr>
        <w:t>$</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 based compensation (a)</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Transaction expenses (c)</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 (d)</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(gains)/losses on TRA (e)</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Changes in fair value of (gains)/losses on investments (f)</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earn-out liability (g)</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Organization streamlining cost (h)</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Impairment (non-cash) (i)</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(Gains)/Losses on EMI/Carried Interest (non-cash) (j)</w:t>
      </w:r>
    </w:p>
    <w:p>
      <w:pPr>
        <w:spacing w:after="0" w:line="41" w:lineRule="exact"/>
        <w:rPr>
          <w:sz w:val="20"/>
          <w:szCs w:val="20"/>
          <w:color w:val="auto"/>
        </w:rPr>
      </w:pPr>
    </w:p>
    <w:p>
      <w:pPr>
        <w:ind w:left="160" w:right="500"/>
        <w:spacing w:after="0" w:line="281" w:lineRule="auto"/>
        <w:rPr>
          <w:sz w:val="20"/>
          <w:szCs w:val="20"/>
          <w:color w:val="auto"/>
        </w:rPr>
      </w:pPr>
      <w:r>
        <w:rPr>
          <w:rFonts w:ascii="Times New Roman" w:cs="Times New Roman" w:eastAsia="Times New Roman" w:hAnsi="Times New Roman"/>
          <w:sz w:val="13"/>
          <w:szCs w:val="13"/>
          <w:color w:val="auto"/>
        </w:rPr>
        <w:t>EMI Adjustments (Interest, Depreciation, Taxes &amp; Amortization) (k)</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Adjusted income (loss) before taxes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Adjusted income tax (expense) benefit</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w:t>
      </w:r>
    </w:p>
    <w:p>
      <w:pPr>
        <w:spacing w:after="0" w:line="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Interest expense</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Net income tax adjustments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p>
      <w:pPr>
        <w:spacing w:after="0" w:line="48" w:lineRule="exact"/>
        <w:rPr>
          <w:sz w:val="20"/>
          <w:szCs w:val="20"/>
          <w:color w:val="auto"/>
        </w:rPr>
      </w:pPr>
    </w:p>
    <w:p>
      <w:pPr>
        <w:ind w:left="20"/>
        <w:spacing w:after="0"/>
        <w:tabs>
          <w:tab w:leader="none" w:pos="3140" w:val="left"/>
        </w:tabs>
        <w:rPr>
          <w:sz w:val="20"/>
          <w:szCs w:val="20"/>
          <w:color w:val="auto"/>
        </w:rPr>
      </w:pPr>
      <w:r>
        <w:rPr>
          <w:rFonts w:ascii="Times New Roman" w:cs="Times New Roman" w:eastAsia="Times New Roman" w:hAnsi="Times New Roman"/>
          <w:sz w:val="13"/>
          <w:szCs w:val="13"/>
          <w:b w:val="1"/>
          <w:bCs w:val="1"/>
          <w:color w:val="auto"/>
        </w:rPr>
        <w:t>Adjusted EBITDA</w:t>
      </w:r>
      <w:r>
        <w:rPr>
          <w:sz w:val="20"/>
          <w:szCs w:val="20"/>
          <w:color w:val="auto"/>
        </w:rPr>
        <w:tab/>
      </w:r>
      <w:r>
        <w:rPr>
          <w:rFonts w:ascii="Times New Roman" w:cs="Times New Roman" w:eastAsia="Times New Roman" w:hAnsi="Times New Roman"/>
          <w:sz w:val="24"/>
          <w:szCs w:val="24"/>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6"/>
              </w:rPr>
              <w:t>(13,611)</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8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14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(13,150)</w:t>
            </w: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25,834</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865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4,099</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2,008</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12,021</w:t>
            </w:r>
          </w:p>
        </w:tc>
      </w:tr>
      <w:tr>
        <w:trPr>
          <w:trHeight w:val="21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w:t>
            </w:r>
          </w:p>
        </w:tc>
      </w:tr>
      <w:tr>
        <w:trPr>
          <w:trHeight w:val="21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(1,525)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593</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(66,083)</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1,261</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3,813</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31,535</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274</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r>
      <w:tr>
        <w:trPr>
          <w:trHeight w:val="350"/>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5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22"/>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(6,776)</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4,047</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1,836</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22"/>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(4,940)</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2,390</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3,371</w:t>
            </w:r>
          </w:p>
        </w:tc>
      </w:tr>
      <w:tr>
        <w:trPr>
          <w:trHeight w:val="21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(836)</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(15,446)</w:t>
            </w:r>
          </w:p>
        </w:tc>
      </w:tr>
      <w:tr>
        <w:trPr>
          <w:trHeight w:val="212"/>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(1,000)</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17,123</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406</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r>
      <w:tr>
        <w:trPr>
          <w:trHeight w:val="22"/>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1"/>
        </w:trPr>
        <w:tc>
          <w:tcPr>
            <w:tcW w:w="6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(3,980)</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9,447</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14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11,073</w:t>
            </w:r>
          </w:p>
        </w:tc>
      </w:tr>
      <w:tr>
        <w:trPr>
          <w:trHeight w:val="22"/>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-2559685</wp:posOffset>
            </wp:positionV>
            <wp:extent cx="7161530"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-2289810</wp:posOffset>
            </wp:positionV>
            <wp:extent cx="7161530"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-2020570</wp:posOffset>
            </wp:positionV>
            <wp:extent cx="7161530"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-1751330</wp:posOffset>
            </wp:positionV>
            <wp:extent cx="7161530"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-1481455</wp:posOffset>
            </wp:positionV>
            <wp:extent cx="7161530" cy="13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-572135</wp:posOffset>
            </wp:positionV>
            <wp:extent cx="7161530"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-302260</wp:posOffset>
            </wp:positionV>
            <wp:extent cx="7161530" cy="302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30289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-848360</wp:posOffset>
            </wp:positionV>
            <wp:extent cx="7161530" cy="141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-1124585</wp:posOffset>
            </wp:positionV>
            <wp:extent cx="7161530" cy="141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240" w:space="660"/>
            <w:col w:w="7380"/>
          </w:cols>
          <w:pgMar w:left="300" w:top="925" w:right="319" w:bottom="1440" w:gutter="0" w:footer="0" w:header="0"/>
          <w:type w:val="continuous"/>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5" w:right="3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
        </w:trPr>
        <w:tc>
          <w:tcPr>
            <w:tcW w:w="3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4"/>
        </w:trPr>
        <w:tc>
          <w:tcPr>
            <w:tcW w:w="3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180" w:type="dxa"/>
            <w:vAlign w:val="bottom"/>
            <w:tcBorders>
              <w:bottom w:val="single" w:sz="8" w:color="auto"/>
            </w:tcBorders>
          </w:tcPr>
          <w:p>
            <w:pPr>
              <w:spacing w:after="0"/>
              <w:rPr>
                <w:sz w:val="15"/>
                <w:szCs w:val="15"/>
                <w:color w:val="auto"/>
              </w:rPr>
            </w:pPr>
          </w:p>
        </w:tc>
      </w:tr>
      <w:tr>
        <w:trPr>
          <w:trHeight w:val="166"/>
        </w:trPr>
        <w:tc>
          <w:tcPr>
            <w:tcW w:w="314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Strategic Alternatives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Strategic Alternatives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Wealth Management</w:t>
            </w:r>
          </w:p>
        </w:tc>
        <w:tc>
          <w:tcPr>
            <w:tcW w:w="1180" w:type="dxa"/>
            <w:vAlign w:val="bottom"/>
          </w:tcPr>
          <w:p>
            <w:pPr>
              <w:spacing w:after="0"/>
              <w:rPr>
                <w:sz w:val="14"/>
                <w:szCs w:val="14"/>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 except share data)</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Segment</w:t>
            </w:r>
          </w:p>
        </w:tc>
        <w:tc>
          <w:tcPr>
            <w:tcW w:w="11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and Adjusted EBITDA</w:t>
            </w: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bl>
    <w:p>
      <w:pPr>
        <w:spacing w:after="0" w:line="7" w:lineRule="exact"/>
        <w:rPr>
          <w:sz w:val="20"/>
          <w:szCs w:val="20"/>
          <w:color w:val="auto"/>
        </w:rPr>
      </w:pPr>
    </w:p>
    <w:p>
      <w:pPr>
        <w:sectPr>
          <w:pgSz w:w="11900" w:h="16838" w:orient="portrait"/>
          <w:cols w:equalWidth="0" w:num="1">
            <w:col w:w="11280"/>
          </w:cols>
          <w:pgMar w:left="300" w:top="940" w:right="319" w:bottom="1440" w:gutter="0" w:footer="0" w:header="0"/>
        </w:sectPr>
      </w:pPr>
    </w:p>
    <w:p>
      <w:pPr>
        <w:ind w:left="20"/>
        <w:spacing w:after="0"/>
        <w:tabs>
          <w:tab w:leader="none" w:pos="3140" w:val="left"/>
        </w:tabs>
        <w:rPr>
          <w:sz w:val="20"/>
          <w:szCs w:val="20"/>
          <w:color w:val="auto"/>
        </w:rPr>
      </w:pPr>
      <w:r>
        <w:rPr>
          <w:rFonts w:ascii="Times New Roman" w:cs="Times New Roman" w:eastAsia="Times New Roman" w:hAnsi="Times New Roman"/>
          <w:sz w:val="13"/>
          <w:szCs w:val="13"/>
          <w:b w:val="1"/>
          <w:bCs w:val="1"/>
          <w:color w:val="auto"/>
        </w:rPr>
        <w:t>Net income before taxes</w:t>
      </w:r>
      <w:r>
        <w:rPr>
          <w:sz w:val="20"/>
          <w:szCs w:val="20"/>
          <w:color w:val="auto"/>
        </w:rPr>
        <w:tab/>
      </w:r>
      <w:r>
        <w:rPr>
          <w:rFonts w:ascii="Times New Roman" w:cs="Times New Roman" w:eastAsia="Times New Roman" w:hAnsi="Times New Roman"/>
          <w:sz w:val="14"/>
          <w:szCs w:val="14"/>
          <w:color w:val="auto"/>
        </w:rPr>
        <w:t>$</w:t>
      </w:r>
    </w:p>
    <w:p>
      <w:pPr>
        <w:spacing w:after="0" w:line="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 based compensation (a)</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Stock based compensation - Legacy (b)</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Transaction expenses (c)</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warrant liability (d)</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(gains)/losses on TRA (e)</w:t>
      </w:r>
    </w:p>
    <w:p>
      <w:pPr>
        <w:spacing w:after="0" w:line="41" w:lineRule="exact"/>
        <w:rPr>
          <w:sz w:val="20"/>
          <w:szCs w:val="20"/>
          <w:color w:val="auto"/>
        </w:rPr>
      </w:pPr>
    </w:p>
    <w:p>
      <w:pPr>
        <w:ind w:left="160" w:right="100"/>
        <w:spacing w:after="0" w:line="281" w:lineRule="auto"/>
        <w:rPr>
          <w:sz w:val="20"/>
          <w:szCs w:val="20"/>
          <w:color w:val="auto"/>
        </w:rPr>
      </w:pPr>
      <w:r>
        <w:rPr>
          <w:rFonts w:ascii="Times New Roman" w:cs="Times New Roman" w:eastAsia="Times New Roman" w:hAnsi="Times New Roman"/>
          <w:sz w:val="13"/>
          <w:szCs w:val="13"/>
          <w:color w:val="auto"/>
        </w:rPr>
        <w:t>Changes in fair value of (gains)/losses on investments and non-recurring realized gain/losses on sales (f)</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Change in fair value of earn-out liability (g)</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Organization streamlining cost (h)</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Impairment (non-cash) (i)</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(Gains)/Losses on EMI/Carried Interest (non-cash) (j)</w:t>
      </w:r>
    </w:p>
    <w:p>
      <w:pPr>
        <w:spacing w:after="0" w:line="41" w:lineRule="exact"/>
        <w:rPr>
          <w:sz w:val="20"/>
          <w:szCs w:val="20"/>
          <w:color w:val="auto"/>
        </w:rPr>
      </w:pPr>
    </w:p>
    <w:p>
      <w:pPr>
        <w:ind w:left="160" w:right="500"/>
        <w:spacing w:after="0" w:line="281" w:lineRule="auto"/>
        <w:rPr>
          <w:sz w:val="20"/>
          <w:szCs w:val="20"/>
          <w:color w:val="auto"/>
        </w:rPr>
      </w:pPr>
      <w:r>
        <w:rPr>
          <w:rFonts w:ascii="Times New Roman" w:cs="Times New Roman" w:eastAsia="Times New Roman" w:hAnsi="Times New Roman"/>
          <w:sz w:val="13"/>
          <w:szCs w:val="13"/>
          <w:color w:val="auto"/>
        </w:rPr>
        <w:t>EMI Adjustments (Interest, Depreciation, Taxes &amp; Amortization) (k)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18,284</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12,393</w:t>
            </w:r>
          </w:p>
        </w:tc>
        <w:tc>
          <w:tcPr>
            <w:tcW w:w="5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(51,690)</w:t>
            </w:r>
          </w:p>
        </w:tc>
        <w:tc>
          <w:tcPr>
            <w:tcW w:w="5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(21,266)</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(72,956)</w:t>
            </w:r>
          </w:p>
        </w:tc>
      </w:tr>
      <w:tr>
        <w:trPr>
          <w:trHeight w:val="212"/>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2,087</w:t>
            </w:r>
          </w:p>
        </w:tc>
        <w:tc>
          <w:tcPr>
            <w:tcW w:w="5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8,002</w:t>
            </w:r>
          </w:p>
        </w:tc>
        <w:tc>
          <w:tcPr>
            <w:tcW w:w="44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10,089</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708</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9,229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9,937</w:t>
            </w:r>
          </w:p>
        </w:tc>
      </w:tr>
      <w:tr>
        <w:trPr>
          <w:trHeight w:val="21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4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13,148</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11,549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24,697</w:t>
            </w:r>
          </w:p>
        </w:tc>
      </w:tr>
      <w:tr>
        <w:trPr>
          <w:trHeight w:val="212"/>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6,628</w:t>
            </w:r>
          </w:p>
        </w:tc>
        <w:tc>
          <w:tcPr>
            <w:tcW w:w="5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10,569</w:t>
            </w:r>
          </w:p>
        </w:tc>
        <w:tc>
          <w:tcPr>
            <w:tcW w:w="44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17,197</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14,136</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15,658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29,794</w:t>
            </w:r>
          </w:p>
        </w:tc>
      </w:tr>
      <w:tr>
        <w:trPr>
          <w:trHeight w:val="21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4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6,433</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6,433</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12,866</w:t>
            </w:r>
          </w:p>
        </w:tc>
      </w:tr>
      <w:tr>
        <w:trPr>
          <w:trHeight w:val="21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4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(6,322)</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1,046</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1,046</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r>
      <w:tr>
        <w:trPr>
          <w:trHeight w:val="350"/>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1,544</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(9,447)</w:t>
            </w:r>
          </w:p>
        </w:tc>
        <w:tc>
          <w:tcPr>
            <w:tcW w:w="44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(7,903)</w:t>
            </w:r>
          </w:p>
        </w:tc>
        <w:tc>
          <w:tcPr>
            <w:tcW w:w="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52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212"/>
        </w:trPr>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(19,167)</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(18,378)</w:t>
            </w:r>
          </w:p>
        </w:tc>
        <w:tc>
          <w:tcPr>
            <w:tcW w:w="4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(37,545)</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(36,877)</w:t>
            </w:r>
          </w:p>
        </w:tc>
      </w:tr>
      <w:tr>
        <w:trPr>
          <w:trHeight w:val="212"/>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3,071</w:t>
            </w:r>
          </w:p>
        </w:tc>
        <w:tc>
          <w:tcPr>
            <w:tcW w:w="5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1,935</w:t>
            </w:r>
          </w:p>
        </w:tc>
        <w:tc>
          <w:tcPr>
            <w:tcW w:w="44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5,006</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2,739</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1,527</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r>
      <w:tr>
        <w:trPr>
          <w:trHeight w:val="212"/>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3,873</w:t>
            </w:r>
          </w:p>
        </w:tc>
        <w:tc>
          <w:tcPr>
            <w:tcW w:w="540" w:type="dxa"/>
            <w:vAlign w:val="bottom"/>
          </w:tcPr>
          <w:p>
            <w:pPr>
              <w:spacing w:after="0"/>
              <w:rPr>
                <w:sz w:val="18"/>
                <w:szCs w:val="18"/>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2,354</w:t>
            </w:r>
          </w:p>
        </w:tc>
        <w:tc>
          <w:tcPr>
            <w:tcW w:w="44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6,227</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31,535</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31,535</w:t>
            </w:r>
          </w:p>
        </w:tc>
      </w:tr>
      <w:tr>
        <w:trPr>
          <w:trHeight w:val="212"/>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667</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44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(3,766)</w:t>
            </w:r>
          </w:p>
        </w:tc>
        <w:tc>
          <w:tcPr>
            <w:tcW w:w="500" w:type="dxa"/>
            <w:vAlign w:val="bottom"/>
          </w:tcPr>
          <w:p>
            <w:pPr>
              <w:spacing w:after="0"/>
              <w:rPr>
                <w:sz w:val="18"/>
                <w:szCs w:val="18"/>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2,671</w:t>
            </w:r>
          </w:p>
        </w:tc>
        <w:tc>
          <w:tcPr>
            <w:tcW w:w="520" w:type="dxa"/>
            <w:vAlign w:val="bottom"/>
          </w:tcPr>
          <w:p>
            <w:pPr>
              <w:spacing w:after="0"/>
              <w:rPr>
                <w:sz w:val="18"/>
                <w:szCs w:val="18"/>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r>
      <w:tr>
        <w:trPr>
          <w:trHeight w:val="350"/>
        </w:trPr>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984</w:t>
            </w:r>
          </w:p>
        </w:tc>
        <w:tc>
          <w:tcPr>
            <w:tcW w:w="540" w:type="dxa"/>
            <w:vAlign w:val="bottom"/>
          </w:tcPr>
          <w:p>
            <w:pPr>
              <w:spacing w:after="0"/>
              <w:rPr>
                <w:sz w:val="24"/>
                <w:szCs w:val="24"/>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984</w:t>
            </w:r>
          </w:p>
        </w:tc>
        <w:tc>
          <w:tcPr>
            <w:tcW w:w="500" w:type="dxa"/>
            <w:vAlign w:val="bottom"/>
          </w:tcPr>
          <w:p>
            <w:pPr>
              <w:spacing w:after="0"/>
              <w:rPr>
                <w:sz w:val="24"/>
                <w:szCs w:val="24"/>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851</w:t>
            </w:r>
          </w:p>
        </w:tc>
        <w:tc>
          <w:tcPr>
            <w:tcW w:w="52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w:t>
            </w: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-1642745</wp:posOffset>
            </wp:positionV>
            <wp:extent cx="7161530" cy="13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-1373505</wp:posOffset>
            </wp:positionV>
            <wp:extent cx="7161530" cy="134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-1104265</wp:posOffset>
            </wp:positionV>
            <wp:extent cx="7161530" cy="134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-746760</wp:posOffset>
            </wp:positionV>
            <wp:extent cx="7161530" cy="134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-477520</wp:posOffset>
            </wp:positionV>
            <wp:extent cx="7161530"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-207645</wp:posOffset>
            </wp:positionV>
            <wp:extent cx="7161530" cy="229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240" w:space="660"/>
            <w:col w:w="7380"/>
          </w:cols>
          <w:pgMar w:left="300" w:top="940" w:right="3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income (loss) before taxes</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w:t>
            </w:r>
          </w:p>
        </w:tc>
      </w:tr>
      <w:tr>
        <w:trPr>
          <w:trHeight w:val="212"/>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Adjusted income tax (expense) benefit</w:t>
            </w: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r>
      <w:tr>
        <w:trPr>
          <w:trHeight w:val="203"/>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w:t>
            </w:r>
          </w:p>
        </w:tc>
      </w:tr>
      <w:tr>
        <w:trPr>
          <w:trHeight w:val="220"/>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r>
      <w:tr>
        <w:trPr>
          <w:trHeight w:val="205"/>
        </w:trPr>
        <w:tc>
          <w:tcPr>
            <w:tcW w:w="31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(10,796)</w:t>
            </w:r>
          </w:p>
        </w:tc>
      </w:tr>
      <w:tr>
        <w:trPr>
          <w:trHeight w:val="220"/>
        </w:trPr>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income tax adjustments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w:t>
            </w:r>
          </w:p>
        </w:tc>
      </w:tr>
      <w:tr>
        <w:trPr>
          <w:trHeight w:val="205"/>
        </w:trPr>
        <w:tc>
          <w:tcPr>
            <w:tcW w:w="3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8,172</w:t>
            </w:r>
          </w:p>
        </w:tc>
      </w:tr>
      <w:tr>
        <w:trPr>
          <w:trHeight w:val="235"/>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post-Business Combination).</w:t>
      </w:r>
    </w:p>
    <w:p>
      <w:pPr>
        <w:spacing w:after="0" w:line="18"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non-cash expense related to awards of Class A Common stock (approved pre-Business Combination).</w:t>
      </w:r>
    </w:p>
    <w:p>
      <w:pPr>
        <w:spacing w:after="0" w:line="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Add-back of transaction expenses related to the Business Combination and subsequent business combinations/divestitures, including professional fees.</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warrant liability.</w:t>
      </w: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unrealized gains/losses related primarily to the TRA liability.</w:t>
      </w:r>
    </w:p>
    <w:p>
      <w:pPr>
        <w:spacing w:after="0" w:line="2"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unrealized gains/losses related to Investments held at fair value and includes the non-recurring realized gain for the sale of FOS ($9.4 million).</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change in fair value of the earn-out liability.</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 to implement organization change to derive cost synergy.</w:t>
      </w:r>
    </w:p>
    <w:p>
      <w:pPr>
        <w:ind w:left="520" w:hanging="260"/>
        <w:spacing w:after="0"/>
        <w:tabs>
          <w:tab w:leader="none" w:pos="5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of carried interest/equity method investments.</w:t>
      </w:r>
    </w:p>
    <w:p>
      <w:pPr>
        <w:spacing w:after="0" w:line="6" w:lineRule="exact"/>
        <w:rPr>
          <w:rFonts w:ascii="Times New Roman" w:cs="Times New Roman" w:eastAsia="Times New Roman" w:hAnsi="Times New Roman"/>
          <w:sz w:val="16"/>
          <w:szCs w:val="16"/>
          <w:color w:val="auto"/>
        </w:rPr>
      </w:pPr>
    </w:p>
    <w:p>
      <w:pPr>
        <w:ind w:left="520" w:hanging="260"/>
        <w:spacing w:after="0"/>
        <w:tabs>
          <w:tab w:leader="none" w:pos="5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the step-up in equity method investments.</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reported interest, depreciation, amortization, and tax adjustments of the Company's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color w:val="auto"/>
        </w:rPr>
        <w:t>Operating Metrics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monitor certain operating metrics that are common to the wealth and asset management industry, which are discussed below.</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4260" w:type="dxa"/>
            <w:vAlign w:val="bottom"/>
            <w:tcBorders>
              <w:top w:val="single" w:sz="8" w:color="auto"/>
              <w:left w:val="single" w:sz="8" w:color="auto"/>
            </w:tcBorders>
            <w:shd w:val="clear" w:color="auto" w:fill="2F5496"/>
          </w:tcPr>
          <w:p>
            <w:pPr>
              <w:spacing w:after="0"/>
              <w:rPr>
                <w:sz w:val="16"/>
                <w:szCs w:val="16"/>
                <w:color w:val="auto"/>
              </w:rPr>
            </w:pPr>
          </w:p>
        </w:tc>
        <w:tc>
          <w:tcPr>
            <w:tcW w:w="7040" w:type="dxa"/>
            <w:vAlign w:val="bottom"/>
            <w:tcBorders>
              <w:top w:val="single" w:sz="8" w:color="auto"/>
              <w:right w:val="single" w:sz="8" w:color="auto"/>
            </w:tcBorders>
            <w:gridSpan w:val="3"/>
            <w:shd w:val="clear" w:color="auto" w:fill="2F5496"/>
          </w:tcPr>
          <w:p>
            <w:pPr>
              <w:jc w:val="center"/>
              <w:ind w:right="4189"/>
              <w:spacing w:after="0"/>
              <w:rPr>
                <w:sz w:val="20"/>
                <w:szCs w:val="20"/>
                <w:color w:val="auto"/>
              </w:rPr>
            </w:pPr>
            <w:r>
              <w:rPr>
                <w:rFonts w:ascii="Times New Roman" w:cs="Times New Roman" w:eastAsia="Times New Roman" w:hAnsi="Times New Roman"/>
                <w:sz w:val="14"/>
                <w:szCs w:val="14"/>
                <w:b w:val="1"/>
                <w:bCs w:val="1"/>
                <w:color w:val="FFFFFF"/>
              </w:rPr>
              <w:t>AlTi Global, Inc.</w:t>
            </w:r>
          </w:p>
        </w:tc>
      </w:tr>
      <w:tr>
        <w:trPr>
          <w:trHeight w:val="170"/>
        </w:trPr>
        <w:tc>
          <w:tcPr>
            <w:tcW w:w="4260" w:type="dxa"/>
            <w:vAlign w:val="bottom"/>
            <w:tcBorders>
              <w:left w:val="single" w:sz="8" w:color="auto"/>
            </w:tcBorders>
            <w:shd w:val="clear" w:color="auto" w:fill="2F5496"/>
          </w:tcPr>
          <w:p>
            <w:pPr>
              <w:spacing w:after="0"/>
              <w:rPr>
                <w:sz w:val="14"/>
                <w:szCs w:val="14"/>
                <w:color w:val="auto"/>
              </w:rPr>
            </w:pPr>
          </w:p>
        </w:tc>
        <w:tc>
          <w:tcPr>
            <w:tcW w:w="7040" w:type="dxa"/>
            <w:vAlign w:val="bottom"/>
            <w:tcBorders>
              <w:right w:val="single" w:sz="8" w:color="auto"/>
            </w:tcBorders>
            <w:gridSpan w:val="3"/>
            <w:shd w:val="clear" w:color="auto" w:fill="2F5496"/>
          </w:tcPr>
          <w:p>
            <w:pPr>
              <w:jc w:val="center"/>
              <w:ind w:right="4189"/>
              <w:spacing w:after="0"/>
              <w:rPr>
                <w:sz w:val="20"/>
                <w:szCs w:val="20"/>
                <w:color w:val="auto"/>
              </w:rPr>
            </w:pPr>
            <w:r>
              <w:rPr>
                <w:rFonts w:ascii="Times New Roman" w:cs="Times New Roman" w:eastAsia="Times New Roman" w:hAnsi="Times New Roman"/>
                <w:sz w:val="14"/>
                <w:szCs w:val="14"/>
                <w:b w:val="1"/>
                <w:bCs w:val="1"/>
                <w:color w:val="FFFFFF"/>
                <w:w w:val="99"/>
              </w:rPr>
              <w:t>AUM: $42.8 billion</w:t>
            </w:r>
          </w:p>
        </w:tc>
      </w:tr>
      <w:tr>
        <w:trPr>
          <w:trHeight w:val="213"/>
        </w:trPr>
        <w:tc>
          <w:tcPr>
            <w:tcW w:w="4260" w:type="dxa"/>
            <w:vAlign w:val="bottom"/>
            <w:tcBorders>
              <w:left w:val="single" w:sz="8" w:color="auto"/>
              <w:bottom w:val="single" w:sz="8" w:color="2F5496"/>
            </w:tcBorders>
            <w:shd w:val="clear" w:color="auto" w:fill="2F5496"/>
          </w:tcPr>
          <w:p>
            <w:pPr>
              <w:spacing w:after="0"/>
              <w:rPr>
                <w:sz w:val="18"/>
                <w:szCs w:val="18"/>
                <w:color w:val="auto"/>
              </w:rPr>
            </w:pPr>
          </w:p>
        </w:tc>
        <w:tc>
          <w:tcPr>
            <w:tcW w:w="7040" w:type="dxa"/>
            <w:vAlign w:val="bottom"/>
            <w:tcBorders>
              <w:bottom w:val="single" w:sz="8" w:color="2F5496"/>
              <w:right w:val="single" w:sz="8" w:color="auto"/>
            </w:tcBorders>
            <w:gridSpan w:val="3"/>
            <w:shd w:val="clear" w:color="auto" w:fill="2F5496"/>
          </w:tcPr>
          <w:p>
            <w:pPr>
              <w:jc w:val="center"/>
              <w:ind w:right="4189"/>
              <w:spacing w:after="0"/>
              <w:rPr>
                <w:sz w:val="20"/>
                <w:szCs w:val="20"/>
                <w:color w:val="auto"/>
              </w:rPr>
            </w:pPr>
            <w:r>
              <w:rPr>
                <w:rFonts w:ascii="Times New Roman" w:cs="Times New Roman" w:eastAsia="Times New Roman" w:hAnsi="Times New Roman"/>
                <w:sz w:val="14"/>
                <w:szCs w:val="14"/>
                <w:b w:val="1"/>
                <w:bCs w:val="1"/>
                <w:color w:val="FFFFFF"/>
              </w:rPr>
              <w:t>AUA: $71.9 billion</w:t>
            </w:r>
          </w:p>
        </w:tc>
      </w:tr>
      <w:tr>
        <w:trPr>
          <w:trHeight w:val="192"/>
        </w:trPr>
        <w:tc>
          <w:tcPr>
            <w:tcW w:w="4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5600" w:type="dxa"/>
            <w:vAlign w:val="bottom"/>
            <w:tcBorders>
              <w:top w:val="single" w:sz="8" w:color="auto"/>
              <w:bottom w:val="single" w:sz="8" w:color="auto"/>
            </w:tcBorders>
          </w:tcPr>
          <w:p>
            <w:pPr>
              <w:spacing w:after="0"/>
              <w:rPr>
                <w:sz w:val="16"/>
                <w:szCs w:val="16"/>
                <w:color w:val="auto"/>
              </w:rPr>
            </w:pPr>
          </w:p>
        </w:tc>
      </w:tr>
      <w:tr>
        <w:trPr>
          <w:trHeight w:val="165"/>
        </w:trPr>
        <w:tc>
          <w:tcPr>
            <w:tcW w:w="4260" w:type="dxa"/>
            <w:vAlign w:val="bottom"/>
            <w:tcBorders>
              <w:left w:val="single" w:sz="8" w:color="auto"/>
            </w:tcBorders>
            <w:shd w:val="clear" w:color="auto" w:fill="7B7B7B"/>
          </w:tcPr>
          <w:p>
            <w:pPr>
              <w:jc w:val="center"/>
              <w:ind w:left="1289"/>
              <w:spacing w:after="0"/>
              <w:rPr>
                <w:sz w:val="20"/>
                <w:szCs w:val="20"/>
                <w:color w:val="auto"/>
              </w:rPr>
            </w:pPr>
            <w:r>
              <w:rPr>
                <w:rFonts w:ascii="Times New Roman" w:cs="Times New Roman" w:eastAsia="Times New Roman" w:hAnsi="Times New Roman"/>
                <w:sz w:val="14"/>
                <w:szCs w:val="14"/>
                <w:b w:val="1"/>
                <w:bCs w:val="1"/>
                <w:color w:val="FFFFFF"/>
              </w:rPr>
              <w:t>Wealth Management</w:t>
            </w:r>
          </w:p>
        </w:tc>
        <w:tc>
          <w:tcPr>
            <w:tcW w:w="1360" w:type="dxa"/>
            <w:vAlign w:val="bottom"/>
            <w:tcBorders>
              <w:right w:val="single" w:sz="8" w:color="auto"/>
            </w:tcBorders>
            <w:shd w:val="clear" w:color="auto" w:fill="7B7B7B"/>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560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Strategic Alternatives</w:t>
            </w:r>
          </w:p>
        </w:tc>
      </w:tr>
      <w:tr>
        <w:trPr>
          <w:trHeight w:val="170"/>
        </w:trPr>
        <w:tc>
          <w:tcPr>
            <w:tcW w:w="4260" w:type="dxa"/>
            <w:vAlign w:val="bottom"/>
            <w:tcBorders>
              <w:left w:val="single" w:sz="8" w:color="auto"/>
            </w:tcBorders>
            <w:shd w:val="clear" w:color="auto" w:fill="7B7B7B"/>
          </w:tcPr>
          <w:p>
            <w:pPr>
              <w:jc w:val="center"/>
              <w:ind w:left="1269"/>
              <w:spacing w:after="0"/>
              <w:rPr>
                <w:sz w:val="20"/>
                <w:szCs w:val="20"/>
                <w:color w:val="auto"/>
              </w:rPr>
            </w:pPr>
            <w:r>
              <w:rPr>
                <w:rFonts w:ascii="Times New Roman" w:cs="Times New Roman" w:eastAsia="Times New Roman" w:hAnsi="Times New Roman"/>
                <w:sz w:val="14"/>
                <w:szCs w:val="14"/>
                <w:b w:val="1"/>
                <w:bCs w:val="1"/>
                <w:color w:val="FFFFFF"/>
              </w:rPr>
              <w:t>AUM: $40.4 billion</w:t>
            </w:r>
          </w:p>
        </w:tc>
        <w:tc>
          <w:tcPr>
            <w:tcW w:w="1360" w:type="dxa"/>
            <w:vAlign w:val="bottom"/>
            <w:tcBorders>
              <w:right w:val="single" w:sz="8" w:color="auto"/>
            </w:tcBorders>
            <w:shd w:val="clear" w:color="auto" w:fill="7B7B7B"/>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560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AUM: $2.4 billion</w:t>
            </w:r>
          </w:p>
        </w:tc>
      </w:tr>
      <w:tr>
        <w:trPr>
          <w:trHeight w:val="188"/>
        </w:trPr>
        <w:tc>
          <w:tcPr>
            <w:tcW w:w="4260" w:type="dxa"/>
            <w:vAlign w:val="bottom"/>
            <w:tcBorders>
              <w:left w:val="single" w:sz="8" w:color="auto"/>
              <w:bottom w:val="single" w:sz="8" w:color="7B7B7B"/>
            </w:tcBorders>
            <w:shd w:val="clear" w:color="auto" w:fill="7B7B7B"/>
          </w:tcPr>
          <w:p>
            <w:pPr>
              <w:jc w:val="center"/>
              <w:ind w:left="1269"/>
              <w:spacing w:after="0"/>
              <w:rPr>
                <w:sz w:val="20"/>
                <w:szCs w:val="20"/>
                <w:color w:val="auto"/>
              </w:rPr>
            </w:pPr>
            <w:r>
              <w:rPr>
                <w:rFonts w:ascii="Times New Roman" w:cs="Times New Roman" w:eastAsia="Times New Roman" w:hAnsi="Times New Roman"/>
                <w:sz w:val="14"/>
                <w:szCs w:val="14"/>
                <w:b w:val="1"/>
                <w:bCs w:val="1"/>
                <w:color w:val="FFFFFF"/>
              </w:rPr>
              <w:t>AUA: $55.9 billion</w:t>
            </w:r>
          </w:p>
        </w:tc>
        <w:tc>
          <w:tcPr>
            <w:tcW w:w="1360" w:type="dxa"/>
            <w:vAlign w:val="bottom"/>
            <w:tcBorders>
              <w:bottom w:val="single" w:sz="8" w:color="7B7B7B"/>
              <w:right w:val="single" w:sz="8" w:color="auto"/>
            </w:tcBorders>
            <w:shd w:val="clear" w:color="auto" w:fill="7B7B7B"/>
          </w:tcPr>
          <w:p>
            <w:pPr>
              <w:spacing w:after="0"/>
              <w:rPr>
                <w:sz w:val="16"/>
                <w:szCs w:val="16"/>
                <w:color w:val="auto"/>
              </w:rPr>
            </w:pPr>
          </w:p>
        </w:tc>
        <w:tc>
          <w:tcPr>
            <w:tcW w:w="80" w:type="dxa"/>
            <w:vAlign w:val="bottom"/>
            <w:tcBorders>
              <w:bottom w:val="single" w:sz="8" w:color="CCEEFF"/>
              <w:right w:val="single" w:sz="8" w:color="auto"/>
            </w:tcBorders>
            <w:shd w:val="clear" w:color="auto" w:fill="CCEEFF"/>
          </w:tcPr>
          <w:p>
            <w:pPr>
              <w:spacing w:after="0"/>
              <w:rPr>
                <w:sz w:val="16"/>
                <w:szCs w:val="16"/>
                <w:color w:val="auto"/>
              </w:rPr>
            </w:pPr>
          </w:p>
        </w:tc>
        <w:tc>
          <w:tcPr>
            <w:tcW w:w="5600" w:type="dxa"/>
            <w:vAlign w:val="bottom"/>
            <w:tcBorders>
              <w:bottom w:val="single" w:sz="8" w:color="538135"/>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4"/>
                <w:szCs w:val="14"/>
                <w:b w:val="1"/>
                <w:bCs w:val="1"/>
                <w:color w:val="FFFFFF"/>
              </w:rPr>
              <w:t>AUA: $16.0 billion</w:t>
            </w:r>
          </w:p>
        </w:tc>
      </w:tr>
      <w:tr>
        <w:trPr>
          <w:trHeight w:val="20"/>
        </w:trPr>
        <w:tc>
          <w:tcPr>
            <w:tcW w:w="4260" w:type="dxa"/>
            <w:vAlign w:val="bottom"/>
            <w:tcBorders>
              <w:lef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0" w:type="dxa"/>
            <w:vAlign w:val="bottom"/>
            <w:tcBorders>
              <w:right w:val="single" w:sz="8" w:color="auto"/>
            </w:tcBorders>
            <w:shd w:val="clear" w:color="auto" w:fill="000000"/>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Wealth Management - AUM</w:t>
      </w:r>
    </w:p>
    <w:p>
      <w:pPr>
        <w:spacing w:after="0" w:line="1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w:t>
      </w:r>
    </w:p>
    <w:p>
      <w:pPr>
        <w:spacing w:after="0" w:line="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4"/>
          <w:szCs w:val="14"/>
          <w:color w:val="auto"/>
        </w:rPr>
        <w:t>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w:t>
      </w:r>
    </w:p>
    <w:p>
      <w:pPr>
        <w:spacing w:after="0"/>
        <w:rPr>
          <w:sz w:val="20"/>
          <w:szCs w:val="20"/>
          <w:color w:val="auto"/>
        </w:rPr>
      </w:pPr>
      <w:r>
        <w:rPr>
          <w:rFonts w:ascii="Times New Roman" w:cs="Times New Roman" w:eastAsia="Times New Roman" w:hAnsi="Times New Roman"/>
          <w:sz w:val="14"/>
          <w:szCs w:val="14"/>
          <w:color w:val="auto"/>
        </w:rPr>
        <w:t>differ from the calculation methodologies of other wealth managers and, as a result, this measure may not be comparable to similar measures presented by other wealth managers.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 for our Wealth Management segment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80" w:type="dxa"/>
            <w:vAlign w:val="bottom"/>
          </w:tcPr>
          <w:p>
            <w:pPr>
              <w:spacing w:after="0"/>
              <w:rPr>
                <w:sz w:val="17"/>
                <w:szCs w:val="17"/>
                <w:color w:val="auto"/>
              </w:rPr>
            </w:pPr>
          </w:p>
        </w:tc>
        <w:tc>
          <w:tcPr>
            <w:tcW w:w="34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0" w:type="dxa"/>
            <w:vAlign w:val="bottom"/>
          </w:tcPr>
          <w:p>
            <w:pPr>
              <w:spacing w:after="0"/>
              <w:rPr>
                <w:sz w:val="17"/>
                <w:szCs w:val="17"/>
                <w:color w:val="auto"/>
              </w:rPr>
            </w:pPr>
          </w:p>
        </w:tc>
        <w:tc>
          <w:tcPr>
            <w:tcW w:w="3380" w:type="dxa"/>
            <w:vAlign w:val="bottom"/>
            <w:gridSpan w:val="4"/>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8"/>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AUM</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7"/>
                <w:szCs w:val="17"/>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7"/>
                <w:szCs w:val="17"/>
                <w:color w:val="auto"/>
              </w:rPr>
            </w:pPr>
          </w:p>
        </w:tc>
        <w:tc>
          <w:tcPr>
            <w:tcW w:w="15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8"/>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27,961</w:t>
            </w:r>
          </w:p>
        </w:tc>
        <w:tc>
          <w:tcPr>
            <w:tcW w:w="0" w:type="dxa"/>
            <w:vAlign w:val="bottom"/>
          </w:tcPr>
          <w:p>
            <w:pPr>
              <w:spacing w:after="0"/>
              <w:rPr>
                <w:sz w:val="1"/>
                <w:szCs w:val="1"/>
                <w:color w:val="auto"/>
              </w:rPr>
            </w:pPr>
          </w:p>
        </w:tc>
      </w:tr>
      <w:tr>
        <w:trPr>
          <w:trHeight w:val="205"/>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New Clients, net</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Flow, net</w:t>
            </w:r>
          </w:p>
        </w:tc>
        <w:tc>
          <w:tcPr>
            <w:tcW w:w="2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5"/>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 Performance, net</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Assets subject to change in billing methodology</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Prior Quarter Adj / Regulation change</w:t>
            </w:r>
          </w:p>
        </w:tc>
        <w:tc>
          <w:tcPr>
            <w:tcW w:w="2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
        </w:trPr>
        <w:tc>
          <w:tcPr>
            <w:tcW w:w="3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38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40,383</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32,774</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40,383</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32,774</w:t>
            </w:r>
          </w:p>
        </w:tc>
        <w:tc>
          <w:tcPr>
            <w:tcW w:w="0" w:type="dxa"/>
            <w:vAlign w:val="bottom"/>
          </w:tcPr>
          <w:p>
            <w:pPr>
              <w:spacing w:after="0"/>
              <w:rPr>
                <w:sz w:val="1"/>
                <w:szCs w:val="1"/>
                <w:color w:val="auto"/>
              </w:rPr>
            </w:pPr>
          </w:p>
        </w:tc>
      </w:tr>
      <w:tr>
        <w:trPr>
          <w:trHeight w:val="28"/>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30,368</w:t>
            </w:r>
          </w:p>
        </w:tc>
        <w:tc>
          <w:tcPr>
            <w:tcW w:w="0" w:type="dxa"/>
            <w:vAlign w:val="bottom"/>
          </w:tcPr>
          <w:p>
            <w:pPr>
              <w:spacing w:after="0"/>
              <w:rPr>
                <w:sz w:val="1"/>
                <w:szCs w:val="1"/>
                <w:color w:val="auto"/>
              </w:rPr>
            </w:pPr>
          </w:p>
        </w:tc>
      </w:tr>
      <w:tr>
        <w:trPr>
          <w:trHeight w:val="28"/>
        </w:trPr>
        <w:tc>
          <w:tcPr>
            <w:tcW w:w="3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Wealth Management - AUA</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auto"/>
        </w:rPr>
        <w:t>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w:t>
      </w:r>
    </w:p>
    <w:p>
      <w:pPr>
        <w:spacing w:after="0" w:line="222" w:lineRule="auto"/>
        <w:rPr>
          <w:sz w:val="20"/>
          <w:szCs w:val="20"/>
          <w:color w:val="auto"/>
        </w:rPr>
      </w:pPr>
      <w:r>
        <w:rPr>
          <w:rFonts w:ascii="Times New Roman" w:cs="Times New Roman" w:eastAsia="Times New Roman" w:hAnsi="Times New Roman"/>
          <w:sz w:val="16"/>
          <w:szCs w:val="16"/>
          <w:color w:val="auto"/>
        </w:rPr>
        <w:t>charge fees upon and do not have responsibility for investment execution responsibility, but the reporting of which is valued by our clients. AUA includes the value of all assets</w:t>
      </w:r>
    </w:p>
    <w:p>
      <w:pPr>
        <w:jc w:val="both"/>
        <w:ind w:right="20"/>
        <w:spacing w:after="0" w:line="245" w:lineRule="auto"/>
        <w:rPr>
          <w:sz w:val="20"/>
          <w:szCs w:val="20"/>
          <w:color w:val="auto"/>
        </w:rPr>
      </w:pPr>
      <w:r>
        <w:rPr>
          <w:rFonts w:ascii="Times New Roman" w:cs="Times New Roman" w:eastAsia="Times New Roman" w:hAnsi="Times New Roman"/>
          <w:sz w:val="14"/>
          <w:szCs w:val="14"/>
          <w:color w:val="auto"/>
        </w:rPr>
        <w:t>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w:t>
      </w:r>
    </w:p>
    <w:p>
      <w:pPr>
        <w:spacing w:after="0"/>
        <w:rPr>
          <w:sz w:val="20"/>
          <w:szCs w:val="20"/>
          <w:color w:val="auto"/>
        </w:rPr>
      </w:pPr>
      <w:r>
        <w:rPr>
          <w:rFonts w:ascii="Times New Roman" w:cs="Times New Roman" w:eastAsia="Times New Roman" w:hAnsi="Times New Roman"/>
          <w:sz w:val="16"/>
          <w:szCs w:val="16"/>
          <w:color w:val="auto"/>
        </w:rPr>
        <w:t>managers.</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93"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AUA for our Wealth Management segment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20" w:type="dxa"/>
            <w:vAlign w:val="bottom"/>
          </w:tcPr>
          <w:p>
            <w:pPr>
              <w:spacing w:after="0"/>
              <w:rPr>
                <w:sz w:val="17"/>
                <w:szCs w:val="17"/>
                <w:color w:val="auto"/>
              </w:rPr>
            </w:pPr>
          </w:p>
        </w:tc>
        <w:tc>
          <w:tcPr>
            <w:tcW w:w="320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7"/>
                <w:szCs w:val="17"/>
                <w:color w:val="auto"/>
              </w:rPr>
            </w:pPr>
          </w:p>
        </w:tc>
        <w:tc>
          <w:tcPr>
            <w:tcW w:w="3100" w:type="dxa"/>
            <w:vAlign w:val="bottom"/>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AUA</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2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7"/>
                <w:szCs w:val="17"/>
                <w:color w:val="auto"/>
              </w:rPr>
            </w:pPr>
          </w:p>
        </w:tc>
        <w:tc>
          <w:tcPr>
            <w:tcW w:w="14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8"/>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42,541</w:t>
            </w:r>
          </w:p>
        </w:tc>
        <w:tc>
          <w:tcPr>
            <w:tcW w:w="0" w:type="dxa"/>
            <w:vAlign w:val="bottom"/>
          </w:tcPr>
          <w:p>
            <w:pPr>
              <w:spacing w:after="0"/>
              <w:rPr>
                <w:sz w:val="1"/>
                <w:szCs w:val="1"/>
                <w:color w:val="auto"/>
              </w:rPr>
            </w:pPr>
          </w:p>
        </w:tc>
      </w:tr>
      <w:tr>
        <w:trPr>
          <w:trHeight w:val="205"/>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w:t>
            </w:r>
          </w:p>
        </w:tc>
        <w:tc>
          <w:tcPr>
            <w:tcW w:w="0" w:type="dxa"/>
            <w:vAlign w:val="bottom"/>
          </w:tcPr>
          <w:p>
            <w:pPr>
              <w:spacing w:after="0"/>
              <w:rPr>
                <w:sz w:val="1"/>
                <w:szCs w:val="1"/>
                <w:color w:val="auto"/>
              </w:rPr>
            </w:pPr>
          </w:p>
        </w:tc>
      </w:tr>
      <w:tr>
        <w:trPr>
          <w:trHeight w:val="28"/>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48,595</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AUA</w:t>
            </w:r>
          </w:p>
        </w:tc>
        <w:tc>
          <w:tcPr>
            <w:tcW w:w="2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54,705</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53,473</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45,568</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Alternatives - AUM/AUA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Strategic Alternatives AUM/AUA includes the following:</w:t>
      </w:r>
    </w:p>
    <w:p>
      <w:pPr>
        <w:spacing w:after="0" w:line="145" w:lineRule="exact"/>
        <w:rPr>
          <w:sz w:val="20"/>
          <w:szCs w:val="20"/>
          <w:color w:val="auto"/>
        </w:rPr>
      </w:pPr>
    </w:p>
    <w:p>
      <w:pPr>
        <w:ind w:left="260" w:hanging="255"/>
        <w:spacing w:after="0" w:line="273" w:lineRule="auto"/>
        <w:tabs>
          <w:tab w:leader="none" w:pos="251" w:val="left"/>
        </w:tabs>
        <w:numPr>
          <w:ilvl w:val="0"/>
          <w:numId w:val="68"/>
        </w:numPr>
        <w:rPr>
          <w:rFonts w:ascii="Times New Roman" w:cs="Times New Roman" w:eastAsia="Times New Roman" w:hAnsi="Times New Roman"/>
          <w:sz w:val="16"/>
          <w:szCs w:val="16"/>
          <w:b w:val="1"/>
          <w:bCs w:val="1"/>
          <w:i w:val="1"/>
          <w:iCs w:val="1"/>
          <w:color w:val="231F20"/>
        </w:rPr>
      </w:pPr>
      <w:r>
        <w:rPr>
          <w:rFonts w:ascii="Times New Roman" w:cs="Times New Roman" w:eastAsia="Times New Roman" w:hAnsi="Times New Roman"/>
          <w:sz w:val="16"/>
          <w:szCs w:val="16"/>
          <w:color w:val="auto"/>
        </w:rPr>
        <w:t>Assets managed by the alternatives platform, including by TIG Arbitrage (AUM $2.1 billion and $2.4 billion as of June 30, 2024 and December 31, 2023, respectively), and the External Strategic Managers (AUA $5.2 billion and $5.3 billion as of June 30, 2024 and December 31, 2023, respectively);</w:t>
      </w:r>
    </w:p>
    <w:p>
      <w:pPr>
        <w:spacing w:after="0" w:line="101" w:lineRule="exact"/>
        <w:rPr>
          <w:rFonts w:ascii="Times New Roman" w:cs="Times New Roman" w:eastAsia="Times New Roman" w:hAnsi="Times New Roman"/>
          <w:sz w:val="16"/>
          <w:szCs w:val="16"/>
          <w:b w:val="1"/>
          <w:bCs w:val="1"/>
          <w:i w:val="1"/>
          <w:iCs w:val="1"/>
          <w:color w:val="231F20"/>
        </w:rPr>
      </w:pPr>
    </w:p>
    <w:p>
      <w:pPr>
        <w:ind w:left="260" w:hanging="255"/>
        <w:spacing w:after="0" w:line="259" w:lineRule="auto"/>
        <w:tabs>
          <w:tab w:leader="none" w:pos="251" w:val="left"/>
        </w:tabs>
        <w:numPr>
          <w:ilvl w:val="0"/>
          <w:numId w:val="68"/>
        </w:numPr>
        <w:rPr>
          <w:rFonts w:ascii="Times New Roman" w:cs="Times New Roman" w:eastAsia="Times New Roman" w:hAnsi="Times New Roman"/>
          <w:sz w:val="16"/>
          <w:szCs w:val="16"/>
          <w:b w:val="1"/>
          <w:bCs w:val="1"/>
          <w:i w:val="1"/>
          <w:iCs w:val="1"/>
          <w:color w:val="231F20"/>
        </w:rPr>
      </w:pPr>
      <w:r>
        <w:rPr>
          <w:rFonts w:ascii="Times New Roman" w:cs="Times New Roman" w:eastAsia="Times New Roman" w:hAnsi="Times New Roman"/>
          <w:sz w:val="16"/>
          <w:szCs w:val="16"/>
          <w:color w:val="auto"/>
        </w:rPr>
        <w:t>Co-investment real estate advisory services, where we include the value of our private market direct and co-investment real estate investments (AUA $8.3 billion and $10.1 billion as of June 30, 2024 and December 31, 2023, respectively); and</w:t>
      </w:r>
    </w:p>
    <w:p>
      <w:pPr>
        <w:spacing w:after="0" w:line="112" w:lineRule="exact"/>
        <w:rPr>
          <w:rFonts w:ascii="Times New Roman" w:cs="Times New Roman" w:eastAsia="Times New Roman" w:hAnsi="Times New Roman"/>
          <w:sz w:val="16"/>
          <w:szCs w:val="16"/>
          <w:b w:val="1"/>
          <w:bCs w:val="1"/>
          <w:i w:val="1"/>
          <w:iCs w:val="1"/>
          <w:color w:val="231F20"/>
        </w:rPr>
      </w:pPr>
    </w:p>
    <w:p>
      <w:pPr>
        <w:ind w:left="260" w:hanging="255"/>
        <w:spacing w:after="0" w:line="273" w:lineRule="auto"/>
        <w:tabs>
          <w:tab w:leader="none" w:pos="251" w:val="left"/>
        </w:tabs>
        <w:numPr>
          <w:ilvl w:val="0"/>
          <w:numId w:val="68"/>
        </w:numPr>
        <w:rPr>
          <w:rFonts w:ascii="Times New Roman" w:cs="Times New Roman" w:eastAsia="Times New Roman" w:hAnsi="Times New Roman"/>
          <w:sz w:val="16"/>
          <w:szCs w:val="16"/>
          <w:b w:val="1"/>
          <w:bCs w:val="1"/>
          <w:i w:val="1"/>
          <w:iCs w:val="1"/>
          <w:color w:val="231F20"/>
        </w:rPr>
      </w:pPr>
      <w:r>
        <w:rPr>
          <w:rFonts w:ascii="Times New Roman" w:cs="Times New Roman" w:eastAsia="Times New Roman" w:hAnsi="Times New Roman"/>
          <w:sz w:val="16"/>
          <w:szCs w:val="16"/>
          <w:color w:val="auto"/>
        </w:rPr>
        <w:t>Assets managed in a private real estate investment fund (AUM $0.3 billion and $2.6 billion as of June 30, 2024 and December 31, 2023, respectively) from which we generate fee revenue. The Company’s reported value of these assets is either the net asset value or the market capitalization of the fund.</w:t>
      </w:r>
    </w:p>
    <w:p>
      <w:pPr>
        <w:spacing w:after="0" w:line="1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tables below present the change in our total AUM/AUA by strategy and product for our alternatives platform for the three and six months ended June 30, 2024 and June 30,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Alternatives Platform</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June</w:t>
            </w:r>
          </w:p>
        </w:tc>
        <w:tc>
          <w:tcPr>
            <w:tcW w:w="100" w:type="dxa"/>
            <w:vAlign w:val="bottom"/>
          </w:tcPr>
          <w:p>
            <w:pPr>
              <w:spacing w:after="0"/>
              <w:rPr>
                <w:sz w:val="11"/>
                <w:szCs w:val="11"/>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April 1, 2024</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30, 2024</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2,181</w:t>
            </w: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7"/>
                <w:szCs w:val="7"/>
                <w:b w:val="1"/>
                <w:bCs w:val="1"/>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2,112</w:t>
            </w:r>
          </w:p>
        </w:tc>
        <w:tc>
          <w:tcPr>
            <w:tcW w:w="0" w:type="dxa"/>
            <w:vAlign w:val="bottom"/>
          </w:tcPr>
          <w:p>
            <w:pPr>
              <w:spacing w:after="0"/>
              <w:rPr>
                <w:sz w:val="1"/>
                <w:szCs w:val="1"/>
                <w:color w:val="auto"/>
              </w:rPr>
            </w:pPr>
          </w:p>
        </w:tc>
      </w:tr>
      <w:tr>
        <w:trPr>
          <w:trHeight w:val="151"/>
        </w:trPr>
        <w:tc>
          <w:tcPr>
            <w:tcW w:w="2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1,708</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1,423</w:t>
            </w:r>
          </w:p>
        </w:tc>
        <w:tc>
          <w:tcPr>
            <w:tcW w:w="0" w:type="dxa"/>
            <w:vAlign w:val="bottom"/>
          </w:tcPr>
          <w:p>
            <w:pPr>
              <w:spacing w:after="0"/>
              <w:rPr>
                <w:sz w:val="1"/>
                <w:szCs w:val="1"/>
                <w:color w:val="auto"/>
              </w:rPr>
            </w:pPr>
          </w:p>
        </w:tc>
      </w:tr>
      <w:tr>
        <w:trPr>
          <w:trHeight w:val="14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5,239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5,243</w:t>
            </w:r>
          </w:p>
        </w:tc>
        <w:tc>
          <w:tcPr>
            <w:tcW w:w="0" w:type="dxa"/>
            <w:vAlign w:val="bottom"/>
          </w:tcPr>
          <w:p>
            <w:pPr>
              <w:spacing w:after="0"/>
              <w:rPr>
                <w:sz w:val="1"/>
                <w:szCs w:val="1"/>
                <w:color w:val="auto"/>
              </w:rPr>
            </w:pPr>
          </w:p>
        </w:tc>
      </w:tr>
      <w:tr>
        <w:trPr>
          <w:trHeight w:val="30"/>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7,499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7,424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6"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120" w:type="dxa"/>
            <w:vAlign w:val="bottom"/>
          </w:tcPr>
          <w:p>
            <w:pPr>
              <w:spacing w:after="0"/>
              <w:rPr>
                <w:sz w:val="11"/>
                <w:szCs w:val="11"/>
                <w:color w:val="auto"/>
              </w:rPr>
            </w:pPr>
          </w:p>
        </w:tc>
        <w:tc>
          <w:tcPr>
            <w:tcW w:w="84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June</w:t>
            </w:r>
          </w:p>
        </w:tc>
        <w:tc>
          <w:tcPr>
            <w:tcW w:w="100" w:type="dxa"/>
            <w:vAlign w:val="bottom"/>
          </w:tcPr>
          <w:p>
            <w:pPr>
              <w:spacing w:after="0"/>
              <w:rPr>
                <w:sz w:val="11"/>
                <w:szCs w:val="11"/>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April 1, 2023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30, 2023</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center"/>
              <w:ind w:left="783"/>
              <w:spacing w:after="0"/>
              <w:rPr>
                <w:sz w:val="20"/>
                <w:szCs w:val="20"/>
                <w:color w:val="auto"/>
              </w:rPr>
            </w:pPr>
            <w:r>
              <w:rPr>
                <w:rFonts w:ascii="Times New Roman" w:cs="Times New Roman" w:eastAsia="Times New Roman" w:hAnsi="Times New Roman"/>
                <w:sz w:val="11"/>
                <w:szCs w:val="11"/>
                <w:color w:val="auto"/>
                <w:w w:val="97"/>
              </w:rPr>
              <w:t>(11)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2,768</w:t>
            </w: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14"/>
                <w:szCs w:val="14"/>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center"/>
              <w:ind w:left="80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2,165</w:t>
            </w:r>
          </w:p>
        </w:tc>
        <w:tc>
          <w:tcPr>
            <w:tcW w:w="0" w:type="dxa"/>
            <w:vAlign w:val="bottom"/>
          </w:tcPr>
          <w:p>
            <w:pPr>
              <w:spacing w:after="0"/>
              <w:rPr>
                <w:sz w:val="1"/>
                <w:szCs w:val="1"/>
                <w:color w:val="auto"/>
              </w:rPr>
            </w:pPr>
          </w:p>
        </w:tc>
      </w:tr>
      <w:tr>
        <w:trPr>
          <w:trHeight w:val="151"/>
        </w:trPr>
        <w:tc>
          <w:tcPr>
            <w:tcW w:w="2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center"/>
              <w:ind w:left="783"/>
              <w:spacing w:after="0"/>
              <w:rPr>
                <w:sz w:val="20"/>
                <w:szCs w:val="20"/>
                <w:color w:val="auto"/>
              </w:rPr>
            </w:pPr>
            <w:r>
              <w:rPr>
                <w:rFonts w:ascii="Times New Roman" w:cs="Times New Roman" w:eastAsia="Times New Roman" w:hAnsi="Times New Roman"/>
                <w:sz w:val="11"/>
                <w:szCs w:val="11"/>
                <w:color w:val="auto"/>
                <w:w w:val="97"/>
              </w:rPr>
              <w:t>(26)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1,753</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center"/>
              <w:ind w:left="783"/>
              <w:spacing w:after="0"/>
              <w:rPr>
                <w:sz w:val="20"/>
                <w:szCs w:val="20"/>
                <w:color w:val="auto"/>
              </w:rPr>
            </w:pPr>
            <w:r>
              <w:rPr>
                <w:rFonts w:ascii="Times New Roman" w:cs="Times New Roman" w:eastAsia="Times New Roman" w:hAnsi="Times New Roman"/>
                <w:sz w:val="11"/>
                <w:szCs w:val="11"/>
                <w:color w:val="auto"/>
                <w:w w:val="97"/>
              </w:rPr>
              <w:t>(40)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1,422</w:t>
            </w:r>
          </w:p>
        </w:tc>
        <w:tc>
          <w:tcPr>
            <w:tcW w:w="0" w:type="dxa"/>
            <w:vAlign w:val="bottom"/>
          </w:tcPr>
          <w:p>
            <w:pPr>
              <w:spacing w:after="0"/>
              <w:rPr>
                <w:sz w:val="1"/>
                <w:szCs w:val="1"/>
                <w:color w:val="auto"/>
              </w:rPr>
            </w:pPr>
          </w:p>
        </w:tc>
      </w:tr>
      <w:tr>
        <w:trPr>
          <w:trHeight w:val="14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5,337</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center"/>
              <w:ind w:left="783"/>
              <w:spacing w:after="0"/>
              <w:rPr>
                <w:sz w:val="20"/>
                <w:szCs w:val="20"/>
                <w:color w:val="auto"/>
              </w:rPr>
            </w:pPr>
            <w:r>
              <w:rPr>
                <w:rFonts w:ascii="Times New Roman" w:cs="Times New Roman" w:eastAsia="Times New Roman" w:hAnsi="Times New Roman"/>
                <w:sz w:val="11"/>
                <w:szCs w:val="11"/>
                <w:color w:val="auto"/>
                <w:w w:val="97"/>
              </w:rPr>
              <w:t>(21)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5,342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5,340</w:t>
            </w:r>
          </w:p>
        </w:tc>
        <w:tc>
          <w:tcPr>
            <w:tcW w:w="0" w:type="dxa"/>
            <w:vAlign w:val="bottom"/>
          </w:tcPr>
          <w:p>
            <w:pPr>
              <w:spacing w:after="0"/>
              <w:rPr>
                <w:sz w:val="1"/>
                <w:szCs w:val="1"/>
                <w:color w:val="auto"/>
              </w:rPr>
            </w:pPr>
          </w:p>
        </w:tc>
      </w:tr>
      <w:tr>
        <w:trPr>
          <w:trHeight w:val="30"/>
        </w:trPr>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center"/>
              <w:ind w:left="783"/>
              <w:spacing w:after="0"/>
              <w:rPr>
                <w:sz w:val="20"/>
                <w:szCs w:val="20"/>
                <w:color w:val="auto"/>
              </w:rPr>
            </w:pPr>
            <w:r>
              <w:rPr>
                <w:rFonts w:ascii="Times New Roman" w:cs="Times New Roman" w:eastAsia="Times New Roman" w:hAnsi="Times New Roman"/>
                <w:sz w:val="11"/>
                <w:szCs w:val="11"/>
                <w:color w:val="auto"/>
                <w:w w:val="97"/>
              </w:rPr>
              <w:t>(32)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8,108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June</w:t>
            </w:r>
          </w:p>
        </w:tc>
        <w:tc>
          <w:tcPr>
            <w:tcW w:w="100" w:type="dxa"/>
            <w:vAlign w:val="bottom"/>
          </w:tcPr>
          <w:p>
            <w:pPr>
              <w:spacing w:after="0"/>
              <w:rPr>
                <w:sz w:val="11"/>
                <w:szCs w:val="11"/>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82"/>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January 1, 2024</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30, 2024</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w:t>
            </w:r>
          </w:p>
        </w:tc>
      </w:tr>
      <w:tr>
        <w:trPr>
          <w:trHeight w:val="15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center"/>
              <w:ind w:left="703"/>
              <w:spacing w:after="0"/>
              <w:rPr>
                <w:sz w:val="20"/>
                <w:szCs w:val="20"/>
                <w:color w:val="auto"/>
              </w:rPr>
            </w:pPr>
            <w:r>
              <w:rPr>
                <w:rFonts w:ascii="Times New Roman" w:cs="Times New Roman" w:eastAsia="Times New Roman" w:hAnsi="Times New Roman"/>
                <w:sz w:val="11"/>
                <w:szCs w:val="11"/>
                <w:color w:val="auto"/>
                <w:w w:val="97"/>
              </w:rPr>
              <w:t>(11)</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2,245</w:t>
            </w:r>
          </w:p>
        </w:tc>
      </w:tr>
      <w:tr>
        <w:trPr>
          <w:trHeight w:val="15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14"/>
                <w:szCs w:val="14"/>
                <w:b w:val="1"/>
                <w:bCs w:val="1"/>
                <w:color w:val="auto"/>
                <w:vertAlign w:val="superscript"/>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center"/>
              <w:ind w:left="723"/>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2,138</w:t>
            </w:r>
          </w:p>
        </w:tc>
      </w:tr>
      <w:tr>
        <w:trPr>
          <w:trHeight w:val="151"/>
        </w:trPr>
        <w:tc>
          <w:tcPr>
            <w:tcW w:w="2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center"/>
              <w:ind w:left="703"/>
              <w:spacing w:after="0"/>
              <w:rPr>
                <w:sz w:val="20"/>
                <w:szCs w:val="20"/>
                <w:color w:val="auto"/>
              </w:rPr>
            </w:pPr>
            <w:r>
              <w:rPr>
                <w:rFonts w:ascii="Times New Roman" w:cs="Times New Roman" w:eastAsia="Times New Roman" w:hAnsi="Times New Roman"/>
                <w:sz w:val="11"/>
                <w:szCs w:val="11"/>
                <w:color w:val="auto"/>
                <w:w w:val="97"/>
              </w:rPr>
              <w:t>(16)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1,704</w:t>
            </w: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center"/>
              <w:ind w:left="703"/>
              <w:spacing w:after="0"/>
              <w:rPr>
                <w:sz w:val="20"/>
                <w:szCs w:val="20"/>
                <w:color w:val="auto"/>
              </w:rPr>
            </w:pPr>
            <w:r>
              <w:rPr>
                <w:rFonts w:ascii="Times New Roman" w:cs="Times New Roman" w:eastAsia="Times New Roman" w:hAnsi="Times New Roman"/>
                <w:sz w:val="11"/>
                <w:szCs w:val="11"/>
                <w:color w:val="auto"/>
                <w:w w:val="97"/>
              </w:rPr>
              <w:t>(28)</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1,407</w:t>
            </w:r>
          </w:p>
        </w:tc>
      </w:tr>
      <w:tr>
        <w:trPr>
          <w:trHeight w:val="14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5,258</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center"/>
              <w:ind w:left="703"/>
              <w:spacing w:after="0"/>
              <w:rPr>
                <w:sz w:val="20"/>
                <w:szCs w:val="20"/>
                <w:color w:val="auto"/>
              </w:rPr>
            </w:pPr>
            <w:r>
              <w:rPr>
                <w:rFonts w:ascii="Times New Roman" w:cs="Times New Roman" w:eastAsia="Times New Roman" w:hAnsi="Times New Roman"/>
                <w:sz w:val="11"/>
                <w:szCs w:val="11"/>
                <w:color w:val="auto"/>
                <w:w w:val="97"/>
              </w:rPr>
              <w:t>(29)</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5,239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5,249</w:t>
            </w:r>
          </w:p>
        </w:tc>
      </w:tr>
      <w:tr>
        <w:trPr>
          <w:trHeight w:val="30"/>
        </w:trPr>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center"/>
              <w:ind w:left="703"/>
              <w:spacing w:after="0"/>
              <w:rPr>
                <w:sz w:val="20"/>
                <w:szCs w:val="20"/>
                <w:color w:val="auto"/>
              </w:rPr>
            </w:pPr>
            <w:r>
              <w:rPr>
                <w:rFonts w:ascii="Times New Roman" w:cs="Times New Roman" w:eastAsia="Times New Roman" w:hAnsi="Times New Roman"/>
                <w:sz w:val="11"/>
                <w:szCs w:val="11"/>
                <w:color w:val="auto"/>
                <w:w w:val="97"/>
              </w:rPr>
              <w:t>(40)</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7,494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80" w:type="dxa"/>
            <w:vAlign w:val="bottom"/>
          </w:tcPr>
          <w:p>
            <w:pPr>
              <w:spacing w:after="0"/>
              <w:rPr>
                <w:sz w:val="11"/>
                <w:szCs w:val="11"/>
                <w:color w:val="auto"/>
              </w:rPr>
            </w:pPr>
          </w:p>
        </w:tc>
        <w:tc>
          <w:tcPr>
            <w:tcW w:w="88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AUM/AUA at June</w:t>
            </w:r>
          </w:p>
        </w:tc>
        <w:tc>
          <w:tcPr>
            <w:tcW w:w="100" w:type="dxa"/>
            <w:vAlign w:val="bottom"/>
          </w:tcPr>
          <w:p>
            <w:pPr>
              <w:spacing w:after="0"/>
              <w:rPr>
                <w:sz w:val="11"/>
                <w:szCs w:val="11"/>
                <w:color w:val="auto"/>
              </w:rPr>
            </w:pPr>
          </w:p>
        </w:tc>
        <w:tc>
          <w:tcPr>
            <w:tcW w:w="72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January 1, 2023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Gross Appreciation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30, 2023</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AUM/AUA</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(907)</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2,813</w:t>
            </w:r>
          </w:p>
        </w:tc>
        <w:tc>
          <w:tcPr>
            <w:tcW w:w="0" w:type="dxa"/>
            <w:vAlign w:val="bottom"/>
          </w:tcPr>
          <w:p>
            <w:pPr>
              <w:spacing w:after="0"/>
              <w:rPr>
                <w:sz w:val="1"/>
                <w:szCs w:val="1"/>
                <w:color w:val="auto"/>
              </w:rPr>
            </w:pPr>
          </w:p>
        </w:tc>
      </w:tr>
      <w:tr>
        <w:trPr>
          <w:trHeight w:val="15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 xml:space="preserve">Real Estate Bridge Lending Strategy </w:t>
            </w:r>
            <w:r>
              <w:rPr>
                <w:rFonts w:ascii="Times New Roman" w:cs="Times New Roman" w:eastAsia="Times New Roman" w:hAnsi="Times New Roman"/>
                <w:sz w:val="7"/>
                <w:szCs w:val="7"/>
                <w:b w:val="1"/>
                <w:bCs w:val="1"/>
                <w:color w:val="auto"/>
              </w:rPr>
              <w:t>(1)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2,168</w:t>
            </w:r>
          </w:p>
        </w:tc>
        <w:tc>
          <w:tcPr>
            <w:tcW w:w="0" w:type="dxa"/>
            <w:vAlign w:val="bottom"/>
          </w:tcPr>
          <w:p>
            <w:pPr>
              <w:spacing w:after="0"/>
              <w:rPr>
                <w:sz w:val="1"/>
                <w:szCs w:val="1"/>
                <w:color w:val="auto"/>
              </w:rPr>
            </w:pPr>
          </w:p>
        </w:tc>
      </w:tr>
      <w:tr>
        <w:trPr>
          <w:trHeight w:val="151"/>
        </w:trPr>
        <w:tc>
          <w:tcPr>
            <w:tcW w:w="2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1,704</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Asian Credit and Special 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1,441</w:t>
            </w:r>
          </w:p>
        </w:tc>
        <w:tc>
          <w:tcPr>
            <w:tcW w:w="0" w:type="dxa"/>
            <w:vAlign w:val="bottom"/>
          </w:tcPr>
          <w:p>
            <w:pPr>
              <w:spacing w:after="0"/>
              <w:rPr>
                <w:sz w:val="1"/>
                <w:szCs w:val="1"/>
                <w:color w:val="auto"/>
              </w:rPr>
            </w:pPr>
          </w:p>
        </w:tc>
      </w:tr>
      <w:tr>
        <w:trPr>
          <w:trHeight w:val="141"/>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External Strategic Managers Subtotal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5,342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5,313</w:t>
            </w:r>
          </w:p>
        </w:tc>
        <w:tc>
          <w:tcPr>
            <w:tcW w:w="0" w:type="dxa"/>
            <w:vAlign w:val="bottom"/>
          </w:tcPr>
          <w:p>
            <w:pPr>
              <w:spacing w:after="0"/>
              <w:rPr>
                <w:sz w:val="1"/>
                <w:szCs w:val="1"/>
                <w:color w:val="auto"/>
              </w:rPr>
            </w:pPr>
          </w:p>
        </w:tc>
      </w:tr>
      <w:tr>
        <w:trPr>
          <w:trHeight w:val="30"/>
        </w:trPr>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(1,124)</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8,126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firstLine="5"/>
        <w:spacing w:after="0" w:line="270" w:lineRule="auto"/>
        <w:tabs>
          <w:tab w:leader="none" w:pos="117" w:val="left"/>
        </w:tabs>
        <w:numPr>
          <w:ilvl w:val="0"/>
          <w:numId w:val="69"/>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The fair value of this investment is reported on a one-month lag from the fund financial statements due to timing of the information provided by the fund and third-party entity unless information is available on a more timely basis. As a result, any changes in the markets in which our managed funds operate, and the impact market conditions have on underlying asset valuations, may not yet be reflected in reported amounts.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presents the change in our total AUM/AUA for our Real Estate - Private Funds for our Strategic Alternatives segment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7"/>
                <w:szCs w:val="17"/>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8"/>
        </w:trPr>
        <w:tc>
          <w:tcPr>
            <w:tcW w:w="4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5"/>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(Dollars in Millions)</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4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1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6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CCEEFF"/>
            </w:tcBorders>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w w:val="99"/>
              </w:rPr>
              <w:t>9,973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14,130</w:t>
            </w:r>
          </w:p>
        </w:tc>
      </w:tr>
      <w:tr>
        <w:trPr>
          <w:trHeight w:val="205"/>
        </w:trPr>
        <w:tc>
          <w:tcPr>
            <w:tcW w:w="4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w:t>
            </w:r>
          </w:p>
        </w:tc>
        <w:tc>
          <w:tcPr>
            <w:tcW w:w="260" w:type="dxa"/>
            <w:vAlign w:val="bottom"/>
          </w:tcPr>
          <w:p>
            <w:pPr>
              <w:spacing w:after="0"/>
              <w:rPr>
                <w:sz w:val="17"/>
                <w:szCs w:val="17"/>
                <w:color w:val="auto"/>
              </w:rPr>
            </w:pPr>
          </w:p>
        </w:tc>
        <w:tc>
          <w:tcPr>
            <w:tcW w:w="1400" w:type="dxa"/>
            <w:vAlign w:val="bottom"/>
          </w:tcPr>
          <w:p>
            <w:pPr>
              <w:jc w:val="center"/>
              <w:ind w:left="823"/>
              <w:spacing w:after="0"/>
              <w:rPr>
                <w:sz w:val="20"/>
                <w:szCs w:val="20"/>
                <w:color w:val="auto"/>
              </w:rPr>
            </w:pPr>
            <w:r>
              <w:rPr>
                <w:rFonts w:ascii="Times New Roman" w:cs="Times New Roman" w:eastAsia="Times New Roman" w:hAnsi="Times New Roman"/>
                <w:sz w:val="16"/>
                <w:szCs w:val="16"/>
                <w:color w:val="auto"/>
                <w:w w:val="98"/>
              </w:rPr>
              <w:t>(1,360)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ind w:left="940"/>
              <w:spacing w:after="0"/>
              <w:rPr>
                <w:sz w:val="20"/>
                <w:szCs w:val="20"/>
                <w:color w:val="auto"/>
              </w:rPr>
            </w:pPr>
            <w:r>
              <w:rPr>
                <w:rFonts w:ascii="Times New Roman" w:cs="Times New Roman" w:eastAsia="Times New Roman" w:hAnsi="Times New Roman"/>
                <w:sz w:val="16"/>
                <w:szCs w:val="16"/>
                <w:color w:val="auto"/>
                <w:w w:val="98"/>
              </w:rPr>
              <w:t>(1,775)</w:t>
            </w:r>
          </w:p>
        </w:tc>
      </w:tr>
      <w:tr>
        <w:trPr>
          <w:trHeight w:val="28"/>
        </w:trPr>
        <w:tc>
          <w:tcPr>
            <w:tcW w:w="4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CCEEFF"/>
            </w:tcBorders>
            <w:shd w:val="clear" w:color="auto" w:fill="CCEEFF"/>
          </w:tcPr>
          <w:p>
            <w:pPr>
              <w:jc w:val="center"/>
              <w:ind w:left="843"/>
              <w:spacing w:after="0"/>
              <w:rPr>
                <w:sz w:val="20"/>
                <w:szCs w:val="20"/>
                <w:color w:val="auto"/>
              </w:rPr>
            </w:pPr>
            <w:r>
              <w:rPr>
                <w:rFonts w:ascii="Times New Roman" w:cs="Times New Roman" w:eastAsia="Times New Roman" w:hAnsi="Times New Roman"/>
                <w:sz w:val="16"/>
                <w:szCs w:val="16"/>
                <w:color w:val="auto"/>
                <w:w w:val="99"/>
              </w:rPr>
              <w:t>8,613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12,355</w:t>
            </w:r>
          </w:p>
        </w:tc>
      </w:tr>
      <w:tr>
        <w:trPr>
          <w:trHeight w:val="196"/>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AUM/AUA</w:t>
            </w:r>
          </w:p>
        </w:tc>
        <w:tc>
          <w:tcPr>
            <w:tcW w:w="2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tcPr>
          <w:p>
            <w:pPr>
              <w:jc w:val="center"/>
              <w:ind w:left="843"/>
              <w:spacing w:after="0"/>
              <w:rPr>
                <w:sz w:val="20"/>
                <w:szCs w:val="20"/>
                <w:color w:val="auto"/>
              </w:rPr>
            </w:pPr>
            <w:r>
              <w:rPr>
                <w:rFonts w:ascii="Times New Roman" w:cs="Times New Roman" w:eastAsia="Times New Roman" w:hAnsi="Times New Roman"/>
                <w:sz w:val="16"/>
                <w:szCs w:val="16"/>
                <w:color w:val="auto"/>
                <w:w w:val="99"/>
              </w:rPr>
              <w:t>9,293</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12,589</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6"/>
                <w:szCs w:val="16"/>
                <w:color w:val="auto"/>
              </w:rPr>
              <w:t>13,243</w:t>
            </w:r>
          </w:p>
        </w:tc>
      </w:tr>
    </w:tbl>
    <w:p>
      <w:pPr>
        <w:spacing w:after="0" w:line="167" w:lineRule="exact"/>
        <w:rPr>
          <w:sz w:val="20"/>
          <w:szCs w:val="20"/>
          <w:color w:val="auto"/>
        </w:rPr>
      </w:pPr>
    </w:p>
    <w:p>
      <w:pPr>
        <w:ind w:left="5560" w:right="5320" w:hanging="5555"/>
        <w:spacing w:after="0" w:line="627" w:lineRule="auto"/>
        <w:tabs>
          <w:tab w:leader="none" w:pos="115"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AUA is reported with a one quarter lag for HLIF as management fees are billed on that basis. </w:t>
      </w: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313055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Components of Consolidated Results of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Management/Advisory Fees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47" w:lineRule="exact"/>
        <w:rPr>
          <w:sz w:val="20"/>
          <w:szCs w:val="20"/>
          <w:color w:val="auto"/>
        </w:rPr>
      </w:pPr>
    </w:p>
    <w:p>
      <w:pPr>
        <w:jc w:val="both"/>
        <w:spacing w:after="0" w:line="346" w:lineRule="auto"/>
        <w:rPr>
          <w:sz w:val="20"/>
          <w:szCs w:val="20"/>
          <w:color w:val="auto"/>
        </w:rPr>
      </w:pPr>
      <w:r>
        <w:rPr>
          <w:rFonts w:ascii="Times New Roman" w:cs="Times New Roman" w:eastAsia="Times New Roman" w:hAnsi="Times New Roman"/>
          <w:sz w:val="14"/>
          <w:szCs w:val="14"/>
          <w:color w:val="auto"/>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from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External Strategic Managers through profit or revenue sharing arrangements that are generated through management and incentive fees based on performance of the underlying investments.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Fees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Compensation and Employee Benefits: </w:t>
      </w:r>
      <w:r>
        <w:rPr>
          <w:rFonts w:ascii="Times New Roman" w:cs="Times New Roman" w:eastAsia="Times New Roman" w:hAnsi="Times New Roman"/>
          <w:sz w:val="16"/>
          <w:szCs w:val="16"/>
          <w:color w:val="auto"/>
        </w:rPr>
        <w:t>Compensation generally includes salaries, bonuses, other performance-based compensation such as commissions, long-term deferral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programs, benefits, and payroll taxes. Compensation is accrued over the related service period and long-term deferral program awards are paid out based on the various vesting dates.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General, Administrative and Other Expenses: </w:t>
      </w:r>
      <w:r>
        <w:rPr>
          <w:rFonts w:ascii="Times New Roman" w:cs="Times New Roman" w:eastAsia="Times New Roman" w:hAnsi="Times New Roman"/>
          <w:sz w:val="16"/>
          <w:szCs w:val="16"/>
          <w:color w:val="auto"/>
        </w:rPr>
        <w:t>General, administrative and other expenses include costs primarily related to professional services, occupancy, travel, communication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information services, distribution costs, and other general operating items.</w:t>
      </w:r>
    </w:p>
    <w:p>
      <w:pPr>
        <w:spacing w:after="0" w:line="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Expenses: </w:t>
      </w:r>
      <w:r>
        <w:rPr>
          <w:rFonts w:ascii="Times New Roman" w:cs="Times New Roman" w:eastAsia="Times New Roman" w:hAnsi="Times New Roman"/>
          <w:sz w:val="16"/>
          <w:szCs w:val="16"/>
          <w:color w:val="auto"/>
        </w:rPr>
        <w:t>Fixed assets are depreciated or amortized on a straight-line basis, with the corresponding depreciation and amortization expense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within depreciation and amortization in the Company’s Condensed Consolidated Statement of Operations. The estimated useful life for leasehold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color w:val="auto"/>
        </w:rPr>
        <w:t>improvements is the lesser of the remaining lease term or the life of the asset, while other fixed assets are generally depreciated over a period of three to fifteen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Interest Expense: </w:t>
      </w:r>
      <w:r>
        <w:rPr>
          <w:rFonts w:ascii="Times New Roman" w:cs="Times New Roman" w:eastAsia="Times New Roman" w:hAnsi="Times New Roman"/>
          <w:sz w:val="16"/>
          <w:szCs w:val="16"/>
          <w:color w:val="auto"/>
        </w:rPr>
        <w:t>Interest expense consists of the interest expense on our outstanding debt, amortization of deferred financing costs, and amortization of original issue discount.</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Income tax expense consists of taxes paid or payable by our consolidated operating subsidiaries. Certain of our subsidiaries are treated as flow-through entities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Condensed Results of Operations – For the Three Months Ended June 30, 2024 and June 30,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8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5"/>
                <w:szCs w:val="15"/>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4,941</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Non-compensation expenses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80" w:type="dxa"/>
            <w:vAlign w:val="bottom"/>
          </w:tcPr>
          <w:p>
            <w:pPr>
              <w:spacing w:after="0"/>
              <w:rPr>
                <w:sz w:val="16"/>
                <w:szCs w:val="16"/>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3"/>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12"/>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before taxes</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28,130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(37,089)</w:t>
            </w:r>
          </w:p>
        </w:tc>
        <w:tc>
          <w:tcPr>
            <w:tcW w:w="8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Management/Advisory fees. </w:t>
      </w:r>
      <w:r>
        <w:rPr>
          <w:rFonts w:ascii="Times New Roman" w:cs="Times New Roman" w:eastAsia="Times New Roman" w:hAnsi="Times New Roman"/>
          <w:sz w:val="16"/>
          <w:szCs w:val="16"/>
          <w:color w:val="auto"/>
        </w:rPr>
        <w:t>Management and advisory fees were essentially flat compared to the prior period. Lower management fees in Strategic Alternatives, reflecting lower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AUM in that segment due to the disposal of LRA on March 6, 2024 and the deconsolidation of AHRA on June 30, 2023, were offset by higher management fees in Wealth Management, primarily due to the acquisition of EEA at the beginning of the quarter and organic growth over the past year, resulting in higher year over year AUM.</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Incentive fees were $(0.4) million lower for the three months ended June 30, 2024 as compared to the three months ended June 30, 2023. The prior period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impact of higher investor redemptions in the Arbitrage strategy within our Strategic Alternatives segment, resulting in higher crystallized incentive fees.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97" w:name="page98"/>
    <w:bookmarkEnd w:id="97"/>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Distributions from investments. </w:t>
      </w:r>
      <w:r>
        <w:rPr>
          <w:rFonts w:ascii="Times New Roman" w:cs="Times New Roman" w:eastAsia="Times New Roman" w:hAnsi="Times New Roman"/>
          <w:sz w:val="16"/>
          <w:szCs w:val="16"/>
          <w:color w:val="auto"/>
        </w:rPr>
        <w:t>Distributions from investments in Strategic Alternatives were also essentially flat period over period, with an increase of $37.0 thousand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 months ended June 30, 2024 as compared to the three months ended June 30, 2023. Higher distributions related to management fees from the European Equities strategy were largely offset by lower distributions related to management fees from the Real Estate Bridging strategy.</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Other fees / income. </w:t>
      </w:r>
      <w:r>
        <w:rPr>
          <w:rFonts w:ascii="Times New Roman" w:cs="Times New Roman" w:eastAsia="Times New Roman" w:hAnsi="Times New Roman"/>
          <w:sz w:val="16"/>
          <w:szCs w:val="16"/>
          <w:color w:val="auto"/>
        </w:rPr>
        <w:t>The decrease in other fees / income of $(1.6) million for the three months ended June 30, 2024 as compared to the three months ended June 30, 2023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driven by lower transactional income in Strategic Alternatives in the current period, which generated $1.6 million of other fees for the three months ended June 30, 2023 and $0.2 million for the three months ended June 30,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The increase in compensation expense of $4.9 million for the three months ended June 30, 2024 as compared to the three months ended June 30, 2023 was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driven by the inclusion of EEA in our results this quarter and higher equity based compensation in the current year period.</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Non-compensation Expense. </w:t>
      </w:r>
      <w:r>
        <w:rPr>
          <w:rFonts w:ascii="Times New Roman" w:cs="Times New Roman" w:eastAsia="Times New Roman" w:hAnsi="Times New Roman"/>
          <w:sz w:val="16"/>
          <w:szCs w:val="16"/>
          <w:color w:val="auto"/>
        </w:rPr>
        <w:t>The decrease in non-compensation expenses of $(4.9) million for the three months ended June 30, 2024 as compared to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2023 was primarily driven by lower professional fees, which declined $7.3 million compared to the prior year period, as we continue to work to rationalize spend on consultants and outside advisors, partially offset by higher technology, marketing and distribution and occupancy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Other income (expenses) for the three months ended June 30, 2024 declined by $(20.5) million as compared to the three months ended June 30, 2023. The prior year period included unrealized gains of $66.1 million related to earn-out liabilities arising primarily from the Business Combination. In the current period, an unrealized loss of $1.9 million was recorded on earn-out liabilities. This decline was partially offset by lower impairment losses in the current period. The prior period included a $29.4 million impairment of intangibles related to the deconsolidation of AHRA, while the current period included $0.7 million related to impairment of customer intangibles. In addition, gains on investments in the current quarter of $12.6 million were $17.4 million higher than the prior year period. In the current quarter we recorded a $9.4 million realized gain on the disposal of the FOS business, a $5.6 million unrealized gain in connection with the purchase acquisition accounting for Pointwise and net unrealized gains of $1.7 million related to investments in external managers. These gains were offset by impairment and disposal losses on real estate related equity method investments. In the prior year period we recorded a $4.8 million net loss on investments.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The Company's effective tax rate was 7.8% for the three months ended June 30, 2024 compared to (121.8)% for the three months ended June 30, 2023. The effective tax rate for the 3-month period ending June 30, 2023 differs from the U.S. statutory rate primarily due to the tax implications of the legal entity organizational changes which occurred with respect to the Business Combination, the tax impact of mark-to-market losses associated with contingent liabilities and equity consideration in the Business Combination, and nondeductible professional fees incurred in connection with the Business Combination. The effective tax rate for the 3-month period ending June 30, 2024 differs from this rate for the 3-month period ending June 30, 2023 generally due to the impact of a forecasted valuation allowance with respect to deferred tax assets generated in the Company’s subsidiaries in the U.K., the portion of income allocated to noncontrolling interests, and an increase in the Company’s net income in the current period,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color w:val="auto"/>
        </w:rPr>
        <w:t>Consolidated Condensed Results of Operations – For the Six Months Ended June 30, 2024 and June 30,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0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(Dollars in Thousands)</w:t>
            </w:r>
          </w:p>
        </w:tc>
        <w:tc>
          <w:tcPr>
            <w:tcW w:w="18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5"/>
                <w:szCs w:val="15"/>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93,253</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93,314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100,265</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109,332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1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97,124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Non-compensation expenses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(17,269)</w:t>
            </w:r>
          </w:p>
        </w:tc>
        <w:tc>
          <w:tcPr>
            <w:tcW w:w="80" w:type="dxa"/>
            <w:vAlign w:val="bottom"/>
          </w:tcPr>
          <w:p>
            <w:pPr>
              <w:spacing w:after="0"/>
              <w:rPr>
                <w:sz w:val="16"/>
                <w:szCs w:val="16"/>
                <w:color w:val="auto"/>
              </w:rPr>
            </w:pP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3"/>
        </w:trPr>
        <w:tc>
          <w:tcPr>
            <w:tcW w:w="6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129,888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165,831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(35,943)</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2"/>
        </w:trPr>
        <w:tc>
          <w:tcPr>
            <w:tcW w:w="6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before taxes</w:t>
            </w: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12,393</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(72,956)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85,349</w:t>
            </w:r>
          </w:p>
        </w:tc>
        <w:tc>
          <w:tcPr>
            <w:tcW w:w="80" w:type="dxa"/>
            <w:vAlign w:val="bottom"/>
          </w:tcPr>
          <w:p>
            <w:pPr>
              <w:spacing w:after="0"/>
              <w:rPr>
                <w:sz w:val="15"/>
                <w:szCs w:val="15"/>
                <w:color w:val="auto"/>
              </w:rPr>
            </w:pPr>
          </w:p>
        </w:tc>
      </w:tr>
      <w:tr>
        <w:trPr>
          <w:trHeight w:val="22"/>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3"/>
        </w:trPr>
        <w:tc>
          <w:tcPr>
            <w:tcW w:w="6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74,946</w:t>
            </w:r>
          </w:p>
        </w:tc>
        <w:tc>
          <w:tcPr>
            <w:tcW w:w="8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Management/Advisory fees. </w:t>
      </w:r>
      <w:r>
        <w:rPr>
          <w:rFonts w:ascii="Times New Roman" w:cs="Times New Roman" w:eastAsia="Times New Roman" w:hAnsi="Times New Roman"/>
          <w:sz w:val="16"/>
          <w:szCs w:val="16"/>
          <w:color w:val="auto"/>
        </w:rPr>
        <w:t>Management and advisory fees for the the six months ended June 30, 2024 are essentially flat compared to the six months ended June 30, 2023. Higher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management and advisory fees in the current period in Wealth Management, driven by the inclusion of East End Advisors in our results and due to market performance and other organic growth over the past year, was offset by lower management fees in Strategic Alternatives, reflecting the disposition of LRA on March 6, 2024, the deconsolidation of AHRA as of the end of the prior year period and the repositioning of that segment over the past year.</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Incentive fees. </w:t>
      </w:r>
      <w:r>
        <w:rPr>
          <w:rFonts w:ascii="Times New Roman" w:cs="Times New Roman" w:eastAsia="Times New Roman" w:hAnsi="Times New Roman"/>
          <w:sz w:val="16"/>
          <w:szCs w:val="16"/>
          <w:color w:val="auto"/>
        </w:rPr>
        <w:t>Incentive fees for the six months ended June 30, 2024 decreased by $0.8 million compared to the six months ended June 30, 2023, as the prior year period included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impact of higher investor redemptions in the Arbitrage strategy within our Strategic Alternatives segment, resulting in higher crystallized incentive fees.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Distributions from investments. </w:t>
      </w:r>
      <w:r>
        <w:rPr>
          <w:rFonts w:ascii="Times New Roman" w:cs="Times New Roman" w:eastAsia="Times New Roman" w:hAnsi="Times New Roman"/>
          <w:sz w:val="16"/>
          <w:szCs w:val="16"/>
          <w:color w:val="auto"/>
        </w:rPr>
        <w:t>The decrease in distributions from investments of $(5.8) million for the six months ended June 30, 2024 as compared to the six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2023 was driven by lower distributions related to incentive fees from the European equities strategy in Strategic Alternatives in the current period. Prior year performance was particularly strong for that strategy, resulting in significant distributions related to incentive fees in the prior period. Distributions related to management fees were essentially flat period over period.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Other fees / income. </w:t>
      </w:r>
      <w:r>
        <w:rPr>
          <w:rFonts w:ascii="Times New Roman" w:cs="Times New Roman" w:eastAsia="Times New Roman" w:hAnsi="Times New Roman"/>
          <w:sz w:val="16"/>
          <w:szCs w:val="16"/>
          <w:color w:val="auto"/>
        </w:rPr>
        <w:t>The decrease in other fees / income of $(2.4) million for the six months ended June 30, 2024 as compared to the six months ended June 30, 2023 was primarily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driven by lower transactional income in Strategic Alternatives in the current period, which generated $0.2 million of other fees for the six months ended June 30, 2023 and $2.5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color w:val="auto"/>
        </w:rPr>
        <w:t>Expenses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Compensation Expense. </w:t>
      </w:r>
      <w:r>
        <w:rPr>
          <w:rFonts w:ascii="Times New Roman" w:cs="Times New Roman" w:eastAsia="Times New Roman" w:hAnsi="Times New Roman"/>
          <w:sz w:val="16"/>
          <w:szCs w:val="16"/>
          <w:color w:val="auto"/>
        </w:rPr>
        <w:t>Compensation expense for the six months ended June 30, 2024 was $78.5 million, an $(18.7) million decrease when compared to the six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June 30, 2023. The decrease was primarily driven by lower non-cash stock based compensation as the prior year period included $24.7 million of expense related to both legacy TWMH and Alvarium incentive plans as well as the issuance of AlTi equity following the Business Combination.</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Non-compensation Expense. </w:t>
      </w:r>
      <w:r>
        <w:rPr>
          <w:rFonts w:ascii="Times New Roman" w:cs="Times New Roman" w:eastAsia="Times New Roman" w:hAnsi="Times New Roman"/>
          <w:sz w:val="16"/>
          <w:szCs w:val="16"/>
          <w:color w:val="auto"/>
        </w:rPr>
        <w:t>The decrease in non-compensation expenses of $(17.3) million for the six months ended June 30, 2024 as compared to the six months ended June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2023 was primarily driven by lower professional fees, which declined $18.8 million compared to the prior year period, as we continue to work to rationalize spend on consultants and outside advisors, and lower depreciation and amortization expense, partially offset by higher technology, marketing and distribution and occupancy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(expenses)</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4"/>
          <w:szCs w:val="14"/>
          <w:color w:val="auto"/>
        </w:rPr>
        <w:t>Other income (expenses) for the six months ended June 30, 2024 increased by $58.5 million as compared to the six months ended June 30, 2023. The prior year period included a $29.4 million impairment of intangibles related to the deconsolidation of AHRA, while the current year period included $0.7 million related to impairment of customer intangibles. In addition, the prior period included $12.9 million of losses on warrants originally issued in connection with the Business Combination, that were exchanged for common stock during the prior year period. Further, the prior year period included a loss on investments and on the Tax Receivable Agreement, compared to gains in the current year period. These period over period increases in Other income were partially offset by higher interest expense, which was $3.1 million higher in the current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effective tax rate was (3.2)% for the six months ended June 30, 2024 compared to 14.8% for six months ended June 30, 2023. The effective tax rate for the 6-month period ending June 30, 2023 differs from the statutory U.S. corporate tax rate primarily due to the tax implications of the legal entity organizational changes which occurred with respect to the Business Combination, the tax impact of mark-to-market losses associated with contingent liabilities and equity consideration in the Business Combination, and nondeductible professional fees incurred in connection with the Business Combination. The effective tax rate for the 6-month period ending June 30, 2024 differs from this rate for the 6-month period ending June 30, 2023 generally due to the impact of a forecasted valuation allowance with respect to deferred tax assets generated in the Company’s subsidiaries in the U.K., the portion of income allocated to noncontrolling interests, and an increase in the Company’s net income in the current period, as compared to the prior period.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January 3, 2023, concurrent with the consummation of the Business Combination, the Company entered into a $250.0 million credit facility with a syndicate led by BMO Capital Markets Corp. The facility, which has a term of five years and is comprised of a $150.0 million revolving credit facility and a $100.0 million term loan facility, was to be used to pay down subsidiary debt and fund growth initiatives. As of June 30, 2024, the Company had $41.4 million outstanding on the term loan facility and $126.0 million outstanding on the revolving credit facility. See Note 14 (Debt, net of unamortized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i w:val="1"/>
          <w:iCs w:val="1"/>
          <w:u w:val="single" w:color="auto"/>
          <w:color w:val="auto"/>
        </w:rPr>
        <w:t>Allianz and Constellation Investment</w:t>
      </w:r>
    </w:p>
    <w:p>
      <w:pPr>
        <w:spacing w:after="0" w:line="18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February 22, 2024, the Company entered into an Investment Agreement (the “Allianz Investment Agreement”) with Allianz, pursuant to which, among other things, at the closing of the transaction, and based on the terms and subject to the conditions set forth therein: (i) Allianz will purchase in the aggregate $250 million of the Company’s capital securities, consisting of (a) 140,000 shares of a newly created class of preferred stock to be designated Series A Cumulative Convertible Preferred Stock, with a liquidation preference of $1,000 per share (the “Series A Preferred Stock”) and (b) 19,318,580.96 shares of the Company’s Class A Common Stock at a purchase price of $5.69 per share, and</w:t>
      </w:r>
    </w:p>
    <w:p>
      <w:pPr>
        <w:spacing w:after="0" w:line="2" w:lineRule="exact"/>
        <w:rPr>
          <w:sz w:val="20"/>
          <w:szCs w:val="20"/>
          <w:color w:val="auto"/>
        </w:rPr>
      </w:pPr>
    </w:p>
    <w:p>
      <w:pPr>
        <w:jc w:val="both"/>
        <w:ind w:firstLine="5"/>
        <w:spacing w:after="0" w:line="227" w:lineRule="auto"/>
        <w:tabs>
          <w:tab w:leader="none" w:pos="23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issue to Allianz warrants to purchase 5,000,000 shares of Class A Common Stock at an exercise price of $7.40 per share of Class A Common Stock, subject to customary adjustments (collectively, the “Allianz Transaction”). Consummation of the Allianz Transaction closed as of July 31, 2024. Refer to Note 21 (Subsequent Events) in our accompanying interim consolidated financial statements for additional details.</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additional shares of Series A Preferred Stock up to an aggregate amount equal to $50,000,000.</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the Constellation Warrants to purchase 1,533,333 shares of the Company’s Class A Common Stock in each case on terms consistent with the Constellation Investment Agreement, dated February 22, 2024 and previously disclosed on the Company’s Current Report on Form 8-K filed with the Securities and Exchange Commission on February 23, 2024.</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May 15, 2024, in accordance with the Constellation Investment Agreement, the Company completed the sale to Constellation of 35,000 additional shares of Series C Preferred Stock for a purchase price equal to $35 million and issued to Constellation additional warrants to purchase 466,667 shares of the Company’s Class A Common Stock. As of June 30, 2024, none of the Constellation Warrants have been exercised.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 Compared to the Six Months Ended June 30, 2023</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 following tables and discussion summarize our Condensed Consolidated Statement of Cash Flows by activity attributable to AlTi. Negative amounts represent an outflow or use of cash.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960" w:type="dxa"/>
            <w:vAlign w:val="bottom"/>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60" w:type="dxa"/>
            <w:vAlign w:val="bottom"/>
          </w:tcPr>
          <w:p>
            <w:pPr>
              <w:spacing w:after="0"/>
              <w:rPr>
                <w:sz w:val="16"/>
                <w:szCs w:val="16"/>
                <w:color w:val="auto"/>
              </w:rPr>
            </w:pPr>
          </w:p>
        </w:tc>
        <w:tc>
          <w:tcPr>
            <w:tcW w:w="17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Favorable (unfavorable)</w:t>
            </w:r>
          </w:p>
        </w:tc>
      </w:tr>
      <w:tr>
        <w:trPr>
          <w:trHeight w:val="22"/>
        </w:trPr>
        <w:tc>
          <w:tcPr>
            <w:tcW w:w="5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1"/>
        </w:trPr>
        <w:tc>
          <w:tcPr>
            <w:tcW w:w="54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60" w:type="dxa"/>
            <w:vAlign w:val="bottom"/>
          </w:tcPr>
          <w:p>
            <w:pPr>
              <w:spacing w:after="0"/>
              <w:rPr>
                <w:sz w:val="15"/>
                <w:szCs w:val="15"/>
                <w:color w:val="auto"/>
              </w:rPr>
            </w:pPr>
          </w:p>
        </w:tc>
        <w:tc>
          <w:tcPr>
            <w:tcW w:w="17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80" w:type="dxa"/>
            <w:vAlign w:val="bottom"/>
            <w:tcBorders>
              <w:bottom w:val="single" w:sz="8" w:color="CCEEFF"/>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(45,656)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20,873</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(23,654)</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104,894</w:t>
            </w:r>
          </w:p>
        </w:tc>
      </w:tr>
      <w:tr>
        <w:trPr>
          <w:trHeight w:val="22"/>
        </w:trPr>
        <w:tc>
          <w:tcPr>
            <w:tcW w:w="5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80" w:type="dxa"/>
            <w:vAlign w:val="bottom"/>
            <w:tcBorders>
              <w:bottom w:val="single" w:sz="8" w:color="CCEEFF"/>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112,225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82,553</w:t>
            </w: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on cash balances</w:t>
            </w:r>
          </w:p>
        </w:tc>
        <w:tc>
          <w:tcPr>
            <w:tcW w:w="138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380" w:type="dxa"/>
            <w:vAlign w:val="bottom"/>
            <w:tcBorders>
              <w:bottom w:val="single" w:sz="8" w:color="auto"/>
            </w:tcBorders>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(166,932)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208,670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and cash equivalents increased $208.7 million as of June 30, 2024 as compared to June 30, 2023, primarily due to the Company’s completed sale to Constellation of 150,000 shares of a newly created class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color w:val="auto"/>
        </w:rPr>
        <w:t>preferred stock designated Series C Preferred Stock for a purchase price equal to $150.0 million. See “Liquidity and Capital Resources” above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cash inflows from operating activities are comprised of cash collected through management and advisory fees, incentive fees, distributions from investments, and other income/fees. Our cash outflows from operating activities consist of operating expenses, the most significant components of which included compensation and benefits, professional fees, and interest on our debt obligations. Our net operating cash outflow of $(45.7) million for the six months ended June 30, 2024 primarily reflects the Company’s net operating loss for the period, as our operating expenses exceeded our revenues. Compared to the prior year period, net operating cash outflows declined by $20.9 million, primarily due to lower professional fees, which were higher in the prior year period due to high usage of professional services firms in connection with capital raising and other financing activities and related to supporting the Company’s evolving financial reporting infrastructure. Management believes its continued efforts to implement cost rationalization initiatives as well as deploy recently raised capital on accretive businesses will result in further reduction of operating cash outflows as the Company matures and achieves the appropriate scale.</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net operating cash outflow of $(66.5) million for the six months ended June 30, 2023 was driven by cash outflows of $(33.9) million related to compensation and benefits expenses as well as approximately $(26.5) million of professional fees in connection with the close of the Business Combination.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Net cash used in investing activities of $(23.7) million during the six months ended June 30, 2024 resulted primarily from deployment of approximately $70 million of capital related to the acquisition of EEA and PW, partially offset by approximately $49 million of proceeds from the sale of FOS and LRA.</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Net cash used in investing activities of $128.5 million during the six months ended June 30, 2023 resulted primarily from transactions with legacy TWMH and TIG shareholders in connection with the Business Combination, as well as the acquisition of ALWP and additional investments in certain external managers.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Net cash provided by financing activities of $112.2 million during the six months ended June 30, 2024 results primarily from the issuance of preferred equity to Constellation, net of transaction costs paid, partially offset by the net pay down of amounts outstanding under our credit facility, member distributions and tax payments associated with settlements of equity compensation awards.</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Net cash provided by financing activities of $29.7 million for the six months ended June 30, 2023, primarily reflects the net proceeds from issuance and retirement of debt, partially offset by member distributions.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Future Sources and Uses of Liquidity</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normal course of business, we may engage in off-balance sheet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discussed in Note 19 (Commitments and Contingencies) to our condensed consolidated financial statements included in this Quarterly Report, we may in the future be required to make payments under the TRA.</w:t>
      </w:r>
    </w:p>
    <w:p>
      <w:pPr>
        <w:spacing w:after="0" w:line="1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Amounts payable under the TRA are contingent upon (i) the generation of taxable income over the life of the TRA, (ii) the tax rates in effect as of time periods in which tax benefits are used, and (iii) certain terms governing the rate of interest to be applied to payments under the TRA.</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As of June 30, 2024 and December 31, 2023, the liability associated with the TRA was approximately $24.9 million and $17.6 million, respectively. Payments under the TRA that are on account of liabilities arising in connection with the Business Combination will be revalued at the end of each reporting period with the gain or loss recognized in earnings. As of June 30, 2024 and December 31, 2023, the Company carried $6.9 million and $13.2 million, respectively of its TRA liability at fair value, as it is contingent consideration from the Business Combination. The remaining portion of the TRA liability is carried at a value equal to the expected future payments under the TRA.</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 xml:space="preserve">In connection with the TRA, certain parties to the Business Combination who received Class B Units in Umbrella have the ability to exchange Class B Units in Umbrella (along with their paired Class B shares)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 On August 31, 2023, holders of Class B Units exchanged 1,813,248 Class B Paired Interests with the Company, for shares of Class A Common Stock on a 1:1 basis totaling an amount equal to $7.31 multiplied by the total number of shares of Class A Common Stock received at the time of the transaction. On March 11, 2024, holders of Class B Common Stock exchanged 4,954,518 Class B Paired Interests with the Company, for shares of Class A Common Stock on a 1:1 basis totaling an amount equal to $6.61 multiplied by the total number of shares of Class B Common Stock exchanged at the time of the transaction. On May 14, 2024, holders of Class B Common Stock exchanged 286,242 Class B Paired Interests with the Company, for shares of Class A Common Stock on a 1:1 basis totaling an amount equal to $4.69 multiplied by the total number of shares of Class B Common Stock exchanged at the time of the transaction.</w:t>
      </w:r>
    </w:p>
    <w:p>
      <w:pPr>
        <w:spacing w:after="0" w:line="12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June 30, 2024, assuming no material changes in the relevant tax laws and that the Company generates sufficient taxable income to realize the full tax benefit of the increased amortization resulting from the increase in tax basis of certain of AlTi’s assets, we expect to pay approximately $24.9 million under the TRA. Future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103" w:name="page104"/>
    <w:bookmarkEnd w:id="103"/>
    <w:p>
      <w:pPr>
        <w:jc w:val="both"/>
        <w:spacing w:after="0" w:line="273" w:lineRule="auto"/>
        <w:rPr>
          <w:sz w:val="20"/>
          <w:szCs w:val="20"/>
          <w:color w:val="auto"/>
        </w:rPr>
      </w:pPr>
      <w:r>
        <w:rPr>
          <w:rFonts w:ascii="Times New Roman" w:cs="Times New Roman" w:eastAsia="Times New Roman" w:hAnsi="Times New Roman"/>
          <w:sz w:val="16"/>
          <w:szCs w:val="16"/>
          <w:color w:val="auto"/>
        </w:rPr>
        <w:t>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Prior to the Business Combination, the Company issued Warrants to purchase shares of Class A Common Stock at a price of $11.50 per share. Throughout the period from January 1, 2023 to March 31, 2023, 428,626 Warrants were exercised. On April 3, 2023, 78,864 Warrants were exercised. On June 7, 2023, the Company closed an offer and consent solicitation and entered into a warrant amendment, pursuant to which the remaining 19,892,387 Warrants were exchanged for 4,962,147 shares of Class A Common Stock. The exercises and exchanges throughout the period from January 1, 2023 to June 30, 2023 resulted in an increase in Additional paid-in-capital amount of $29.5 million. As of June 30, 2024, none of such Warrants are outstanding.</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On March 27, 2024, the Company completed the initial issuance of Constellation Warrants to purchase 1,533,333 shares of the Company’s Class A Common Stock at an exercise price of $7.40 per share. On May 15, 2024, the Company completed the issuance of an additional tranche of Constellation Warrants to purchase 466,667 shares of the Company’s Class A Common Stock. As of June 30, 2024, none of the Constellation Warrants have been exercised.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Earn-out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June 30, 2024 and December 31, 2023, the fair value of the earn-out share liability was $24.0 million and $62.4 million, respectively. See Note 2 (Summary of Significant Accounting Policies) for additional detail.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AWMS Earn-out Liability</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On August 2, 2023, the Company acquired the remaining 70% of the issued and outstanding ownership and membership interests of AWMS, increasing its interest from 30% to 100%. The AWMS Acquisition was accounted for using the acquisition method of accounting and the fair value of the total purchase consideration transferred was $16.8 million. The total purchase consideration transferred includes cash consideration, equity consideration, deferred cash consideration, earn-out consideration, (or AWMS earn-out liability), and the payment of assumed liabilities. As of June 30, 2024 and December 31, 2023, the AWMS earn-out liability of $1.1 million and $1.1 million is reported in Earn-out liability, at fair value, in the Condensed Consolidated Statement of Financial Position and Consolidated Statement of Financial Position, respectively. Since the AWMS earn-out liability meets the definition of a derivative, it is recorded at fair value as a derivative liability on the Condensed Consolidated Statement of Financial Position and measured at fair value at each reporting date in accordance with ASC 820, Fair Value Measurement, with changes in fair value to be recognized in Gain (loss) on earn-out liability in the Condensed Consolidated Statement of Operations and in Fair value of earn-out liability in the Condensed Consolidated Statement of Cash Flows in the period of change.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East End Advisors Contingent Consideration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color w:val="auto"/>
        </w:rPr>
        <w:t>acquisition date and recorded as within the Earn-out liability line item in the Condensed Consolidated Statement of Financial Position.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Pointwise Deferred Consideration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recorded within the Other liabilities line item in the Condensed Consolidated Statement of Financial Position.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Arrangements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 Position. As of June 30, 2024, the Company has not had prior claims or losses pursuant to these contracts and expects the risk of material loss to be remote.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 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interim condensed consolidated financial statements included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Estimation of Fair Values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Investments at Fair Value – External Strategic Managers: </w:t>
      </w:r>
      <w:r>
        <w:rPr>
          <w:rFonts w:ascii="Times New Roman" w:cs="Times New Roman" w:eastAsia="Times New Roman" w:hAnsi="Times New Roman"/>
          <w:sz w:val="16"/>
          <w:szCs w:val="16"/>
          <w:color w:val="auto"/>
        </w:rPr>
        <w:t>The fair values of our Investments in External Strategic Managers were determined using significant unobservable inputs.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TRA Liability: </w:t>
      </w:r>
      <w:r>
        <w:rPr>
          <w:rFonts w:ascii="Times New Roman" w:cs="Times New Roman" w:eastAsia="Times New Roman" w:hAnsi="Times New Roman"/>
          <w:sz w:val="16"/>
          <w:szCs w:val="16"/>
          <w:color w:val="auto"/>
        </w:rPr>
        <w:t>We carry a portion of our TRA liability at fair value, as it is a contingent consideration related to the Business Combination. The valuation of the TRA liability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5" w:name="page106"/>
    <w:bookmarkEnd w:id="105"/>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Business Combination Earn-out Liability and AWMS Earn-out Liability: </w:t>
      </w:r>
      <w:r>
        <w:rPr>
          <w:rFonts w:ascii="Times New Roman" w:cs="Times New Roman" w:eastAsia="Times New Roman" w:hAnsi="Times New Roman"/>
          <w:sz w:val="16"/>
          <w:szCs w:val="16"/>
          <w:color w:val="auto"/>
        </w:rPr>
        <w:t>The fair values of our Business Combination Earn-out Securities liability and our AWMS earn-out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Equity-based Compensation: </w:t>
      </w:r>
      <w:r>
        <w:rPr>
          <w:rFonts w:ascii="Times New Roman" w:cs="Times New Roman" w:eastAsia="Times New Roman" w:hAnsi="Times New Roman"/>
          <w:sz w:val="16"/>
          <w:szCs w:val="16"/>
          <w:color w:val="auto"/>
        </w:rPr>
        <w:t>The Company issued stock grants to certain employees as bonus compensation. The fair value of the grants was determined based on the share price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date of issuance.</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Fair Value of Assets Acquired and Liabilities Assumed in Business Combinations: </w:t>
      </w:r>
      <w:r>
        <w:rPr>
          <w:rFonts w:ascii="Times New Roman" w:cs="Times New Roman" w:eastAsia="Times New Roman" w:hAnsi="Times New Roman"/>
          <w:sz w:val="14"/>
          <w:szCs w:val="14"/>
          <w:color w:val="auto"/>
        </w:rPr>
        <w:t>The determination of the fair values of assets acquired and liabilities assumed in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 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Fair Value of Reporting Units for Goodwill Impairment Testing: </w:t>
      </w:r>
      <w:r>
        <w:rPr>
          <w:rFonts w:ascii="Times New Roman" w:cs="Times New Roman" w:eastAsia="Times New Roman" w:hAnsi="Times New Roman"/>
          <w:sz w:val="16"/>
          <w:szCs w:val="16"/>
          <w:color w:val="auto"/>
        </w:rPr>
        <w:t>In assessing goodwill impairment, we determine the fair value of reporting units using established valuation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spacing w:after="0" w:line="16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i w:val="1"/>
          <w:iCs w:val="1"/>
          <w:color w:val="auto"/>
        </w:rPr>
        <w:t xml:space="preserve">Fair Value of Constellation Warrants: </w:t>
      </w:r>
      <w:r>
        <w:rPr>
          <w:rFonts w:ascii="Times New Roman" w:cs="Times New Roman" w:eastAsia="Times New Roman" w:hAnsi="Times New Roman"/>
          <w:sz w:val="14"/>
          <w:szCs w:val="14"/>
          <w:color w:val="auto"/>
        </w:rPr>
        <w:t>The fair value of our Constellation Warrants uses various significant unobservable inputs and was determined by using the Black-Scholes-Merton Model.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Variable Interest Entities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Changes in Accounting on Recent and Future Trends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Company has considered all newly issued accounting guidance that is applicable to its operations and the preparation of its unaudited condensed consolidated statements, including those it has not yet adopted. We believe that none of the changes to US GAAP that went into effect during the six months ended June 30, 2024, or that have been issued but that we have not yet adopted have substantively impacted our recent trends or are expected to substantively impact our future trends.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Our primary exposure to market risk is related to our role as wealth management advisor to our investment products and the sensitivity to movements in the market value of their investments, including the effect on management fees and investment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Risk</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107" w:name="page108"/>
    <w:bookmarkEnd w:id="107"/>
    <w:p>
      <w:pPr>
        <w:jc w:val="both"/>
        <w:spacing w:after="0" w:line="245" w:lineRule="auto"/>
        <w:rPr>
          <w:sz w:val="20"/>
          <w:szCs w:val="20"/>
          <w:color w:val="auto"/>
        </w:rPr>
      </w:pPr>
      <w:r>
        <w:rPr>
          <w:rFonts w:ascii="Times New Roman" w:cs="Times New Roman" w:eastAsia="Times New Roman" w:hAnsi="Times New Roman"/>
          <w:sz w:val="16"/>
          <w:szCs w:val="16"/>
          <w:color w:val="auto"/>
        </w:rPr>
        <w:t>competitive conditions within an industry. The impact of changes in market risk on client specific liquidity or overall financial position, may result in client changing the asset holdings, including increasing or decreasing the non-billable portion of their asset portfolios. Such changes will also impact our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We are party to agreements providing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 client portfolios. For clients that generate fees from carried interest and/or preferred return, we periodically review the receivables for collectability and will make appropriate provision for credit losses, should circumstances warrant.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6"/>
          <w:szCs w:val="16"/>
          <w:color w:val="auto"/>
        </w:rPr>
        <w:t>As of June 30, 2024, the Company had $167.4 million outstanding under our borrowing agreements, including $41.4 million outstanding on the Term Loan facility and $126.0 million outstanding on the Revolving Credit Facility:</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interest rate on our financing agreements fluctuates with changes in 6-month SOFR, which at June 30, 2024 were 5.33% and 5.52%, respectively. The weighted average interest rate on outstanding borrowings as of June 30, 2024, was 9.49%.</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Based on the floating rate component of our financing agreements payable as of June 30, 2024, we estimate that a 100 basis point increase in interest rates would result in increased interest expense of approximately $1.7 million over the next 12 months.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Rate Risk</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6"/>
          <w:szCs w:val="16"/>
          <w:color w:val="auto"/>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auto"/>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June 30, 2024. 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June 30, 2024, our disclosure controls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8" w:name="page109"/>
    <w:bookmarkEnd w:id="108"/>
    <w:p>
      <w:pPr>
        <w:jc w:val="both"/>
        <w:spacing w:after="0" w:line="273" w:lineRule="auto"/>
        <w:rPr>
          <w:sz w:val="20"/>
          <w:szCs w:val="20"/>
          <w:color w:val="auto"/>
        </w:rPr>
      </w:pPr>
      <w:r>
        <w:rPr>
          <w:rFonts w:ascii="Times New Roman" w:cs="Times New Roman" w:eastAsia="Times New Roman" w:hAnsi="Times New Roman"/>
          <w:sz w:val="16"/>
          <w:szCs w:val="16"/>
          <w:color w:val="auto"/>
        </w:rPr>
        <w:t>procedures were not effective due to material weaknesses in internal control over financial reporting, as further described below in Management’s Report on Internal Control Over Financial Reporting.</w:t>
      </w:r>
    </w:p>
    <w:p>
      <w:pPr>
        <w:spacing w:after="0" w:line="14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As previously disclosed in Part II, Item 9 of our Annual Report,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but as of June 30, 2024 has not completed its efforts to design and implement a testing plan to determine the effectiveness of controls that support our financial statements and reporting. As a result, several specific material weaknesses in our internal control over financial reporting remain as of June 30, 2024, as discussed below.</w:t>
      </w:r>
    </w:p>
    <w:p>
      <w:pPr>
        <w:spacing w:after="0" w:line="1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is in the process of implementing a remediation plan for these material weaknesses, including, among other things, hiring additional accounting personnel, completing its efforts to design and implement process level and management review controls and to sufficiently document and implement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There was no change in our internal control over financial reporting that occurred during the six months ended June 30, 2024,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19 (Commitments and Contingencies) there are no material legal or regulatory proceedings currently pending or threatened against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April 12, 2024, pre-action steps were commenced by Home REIT and its directors against AFM UK and ARE. This relates to the historic management of Home REIT by certain</w:t>
      </w:r>
    </w:p>
    <w:p>
      <w:pPr>
        <w:spacing w:after="0" w:line="5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legacy Alvarium companies. In the pre-action correspondence, Home REIT and its directors assert potential claims against AFM 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It is not possible at this point in time for us to reliably assess what the quantum of such claims might be, or AFM UK’s and ARE’s potential exposure, though they may potentially be material to the Company. If any litigation or other action is commenced by Home REIT and/or its directors against AFM UK and/or ARE, we intend to defend ourselves in any such matters vigorously. However, if any claims were commenced, we would anticipate that such claims may involve complex questions of law and fact and we may incur significant legal expenses in defending such 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0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This section supplements and updates certain of the information found under Part I, Item 1A. “Risk Factors” of our Annual Report, based on information currently known to us and recent developments since the date of the Annual Report filing. The matters discussed below should be read in conjunction with the risks described in Part I. Item 1A. “Risk Factors” of our Annual Report. However, the risks and uncertainties that we face are not limited to those described below and those set forth in the Annual Report. Additional risks and uncertainties not presently known to us or that we currently believe to be immaterial may also adversely affect our business and the trading price of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damage to our professional reputation and legal liability if our services are not regarded as satisfactory or for other reasons.</w:t>
      </w:r>
    </w:p>
    <w:p>
      <w:pPr>
        <w:spacing w:after="0" w:line="17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6"/>
          <w:szCs w:val="16"/>
          <w:color w:val="auto"/>
        </w:rPr>
        <w:t>In recent years, the volume of claims and amount of damages claimed in litigation and regulatory proceedings against financial advisors and investment managers has been increasing. Our asset management and advisory activities may expose us to the risk of significant legal liabilities to our clients and third parties, including our clients’ stockholders or beneficiaries, under securities or other laws and regulations for, for example, materially false or misleading statements made in connection with securities and other transactions. We make investment decisions on behalf of our clients that could result in substantial losses. Since November 2022, Home REIT and AHRA, which served as its investment advisor until June 30, 2023, have been the subject of allegations regarding Home REIT’s operations, stemming from a report issued by a short seller and Home REIT has seen its financial performance materially decline. AlTi was formed on January 3, 2023 through a business combination transaction that included certain legacy Alvarium companies. Although AHRA was sold prior to the business combination and has never been a subsidiary of AlTi, we were required under GAAP to consolidate its results in our financial statements until June 30, 2023, when it was deconsolidated. HLIF pursues a similar investment strategy to Home REIT and its financial performance has similarly declined significantly since the end of 2021. The historic management of these funds by certain legacy Alvarium companies is now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110" w:name="page111"/>
    <w:bookmarkEnd w:id="110"/>
    <w:p>
      <w:pPr>
        <w:jc w:val="both"/>
        <w:spacing w:after="0" w:line="266" w:lineRule="auto"/>
        <w:rPr>
          <w:sz w:val="20"/>
          <w:szCs w:val="20"/>
          <w:color w:val="auto"/>
        </w:rPr>
      </w:pPr>
      <w:r>
        <w:rPr>
          <w:rFonts w:ascii="Times New Roman" w:cs="Times New Roman" w:eastAsia="Times New Roman" w:hAnsi="Times New Roman"/>
          <w:sz w:val="14"/>
          <w:szCs w:val="14"/>
          <w:color w:val="auto"/>
        </w:rPr>
        <w:t>the subject of investigations by the UK FCA and, in the case of Home REIT, potential claims are being asserted by its current and former shareholders and, separately, by Home REIT and its directors. We no longer provide services to Home REIT and are in the process of transitioning the management of HLIF. Once this is completed the legacy Alvarium companies that provided these services will cease operating. Notwithstanding this, we or our subsidiaries may potentially suffer reputational damage from the allegations concerning the management of Home REIT or HLIF. Further, we may be subject to the risk of legal and regulatory liabilities or actions alleging breach of regulatory rules and/or principles,</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negligence, misconduct (including deceit), breach of fiduciary duty or breach of contract. In particular, although the UK FCA’s investigations concerning the historic management of Home REIT and HLIF have only recently commenced and their outcomes cannot be known or anticipated as at the date of this Quarterly Report, any financial penalties or other adverse outcomes resulting from these investigations may adversely affect our business, financial condition or results of operations.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6"/>
          <w:szCs w:val="16"/>
          <w:color w:val="auto"/>
        </w:rPr>
        <w:t>Similarly, if any litigation or other action is commenced against AFM UK and/or ARE in connection with Home REIT, whilst it is not possible at this point in time for us to reliably assess the quantum of such claims, or AFM UK’s and ARE’s potential exposure, such claims may potentially be material to the Company and, although we would intend to defend ourselves in any such claims, an adverse outcome could adversely affect our business, financial condition or results of operations. These risks often may be difficult to assess or quantify and their existence and magnitude often remain unknown for substantial periods of time. We may incur significant legal expenses in defending litigation and responding to regulatory investigations. In addition, negative publicity and press speculation about us, our investment activities or the private markets in general, whether or not based in truth, or litigation or regulatory action against us or any third-party managers recommended by us or involving us may tarnish our reputation and harm our ability to attract and retain clients. Substantial legal or regulatory liability could have a material adverse effect on our business, financial condition and results of operations or cause significant reputational harm to us, which could seriously harm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231F20"/>
        </w:rPr>
        <w:t xml:space="preserve">On May 15, 2024, the Company completed the sale to Constellation of </w:t>
      </w:r>
      <w:r>
        <w:rPr>
          <w:rFonts w:ascii="Times New Roman" w:cs="Times New Roman" w:eastAsia="Times New Roman" w:hAnsi="Times New Roman"/>
          <w:sz w:val="16"/>
          <w:szCs w:val="16"/>
          <w:color w:val="000000"/>
        </w:rPr>
        <w:t>35,000</w:t>
      </w:r>
      <w:r>
        <w:rPr>
          <w:rFonts w:ascii="Times New Roman" w:cs="Times New Roman" w:eastAsia="Times New Roman" w:hAnsi="Times New Roman"/>
          <w:sz w:val="16"/>
          <w:szCs w:val="16"/>
          <w:color w:val="231F20"/>
        </w:rPr>
        <w:t xml:space="preserve"> shares of a newly created class of Series C Preferred Stock for a purchase price equal to $35.0 million and issued to Constellation warrants to purchase </w:t>
      </w:r>
      <w:r>
        <w:rPr>
          <w:rFonts w:ascii="Times New Roman" w:cs="Times New Roman" w:eastAsia="Times New Roman" w:hAnsi="Times New Roman"/>
          <w:sz w:val="16"/>
          <w:szCs w:val="16"/>
          <w:color w:val="000000"/>
        </w:rPr>
        <w:t>466,667</w:t>
      </w:r>
      <w:r>
        <w:rPr>
          <w:rFonts w:ascii="Times New Roman" w:cs="Times New Roman" w:eastAsia="Times New Roman" w:hAnsi="Times New Roman"/>
          <w:sz w:val="16"/>
          <w:szCs w:val="16"/>
          <w:color w:val="231F20"/>
        </w:rPr>
        <w:t xml:space="preserve"> shares of the Company’s Class A Common Stock, in each case on terms consistent with the Constellation Investment Agreement, and previously disclosed on the Company’s Current Report on Form 8-K filed with the Securities and Exchange Commission on February 23, 2024.</w:t>
      </w:r>
    </w:p>
    <w:p>
      <w:pPr>
        <w:spacing w:after="0" w:line="13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6"/>
          <w:szCs w:val="16"/>
          <w:color w:val="231F20"/>
        </w:rPr>
        <w:t>The securities sold to Constellation were issued without registration under the Securities Act in reliance upon the exemption provided under Section 4(a)(2) of the Securities Act in a transaction not involving any public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89" w:lineRule="exact"/>
        <w:rPr>
          <w:sz w:val="20"/>
          <w:szCs w:val="20"/>
          <w:color w:val="auto"/>
        </w:rPr>
      </w:pPr>
    </w:p>
    <w:p>
      <w:pPr>
        <w:ind w:right="4740" w:firstLine="5"/>
        <w:spacing w:after="0" w:line="247" w:lineRule="auto"/>
        <w:tabs>
          <w:tab w:leader="none" w:pos="1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disclosure set forth in Note 21 (Subsequent Events - Fourth Amendment to the Credit Agreement) in our accompanying interim consolidated financial statements is incorporated by reference into Part II, Item 5(a) of this Quarterly Report.</w:t>
      </w:r>
    </w:p>
    <w:p>
      <w:pPr>
        <w:spacing w:after="0" w:line="174" w:lineRule="exact"/>
        <w:rPr>
          <w:rFonts w:ascii="Times New Roman" w:cs="Times New Roman" w:eastAsia="Times New Roman" w:hAnsi="Times New Roman"/>
          <w:sz w:val="16"/>
          <w:szCs w:val="16"/>
          <w:color w:val="auto"/>
        </w:rPr>
      </w:pPr>
    </w:p>
    <w:p>
      <w:pPr>
        <w:ind w:left="180" w:hanging="175"/>
        <w:spacing w:after="0"/>
        <w:tabs>
          <w:tab w:leader="none" w:pos="1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76" w:lineRule="exact"/>
        <w:rPr>
          <w:rFonts w:ascii="Times New Roman" w:cs="Times New Roman" w:eastAsia="Times New Roman" w:hAnsi="Times New Roman"/>
          <w:sz w:val="16"/>
          <w:szCs w:val="16"/>
          <w:color w:val="auto"/>
        </w:rPr>
      </w:pPr>
    </w:p>
    <w:p>
      <w:pPr>
        <w:ind w:firstLine="5"/>
        <w:spacing w:after="0" w:line="259" w:lineRule="auto"/>
        <w:tabs>
          <w:tab w:leader="none" w:pos="18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28, 2024, Spiros Maliagros, the President of our Strategic Alternatives segment, adopted a Rule10b5-1 trading arrangement (the “Maliagros 10b5-1 Plan”). The Maliagros 10b5-1 Plan was entered into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1" w:name="page112"/>
    <w:bookmarkEnd w:id="111"/>
    <w:p>
      <w:pPr>
        <w:jc w:val="both"/>
        <w:spacing w:after="0"/>
        <w:rPr>
          <w:sz w:val="20"/>
          <w:szCs w:val="20"/>
          <w:color w:val="auto"/>
        </w:rPr>
      </w:pPr>
      <w:r>
        <w:rPr>
          <w:rFonts w:ascii="Times New Roman" w:cs="Times New Roman" w:eastAsia="Times New Roman" w:hAnsi="Times New Roman"/>
          <w:sz w:val="16"/>
          <w:szCs w:val="16"/>
          <w:color w:val="auto"/>
        </w:rPr>
        <w:t>during an open insider trading window and is intended to satisfy the affirmative defense of Rule 10b5-1(c) under the Exchange Act and the Company’s policies regarding transactions in the Company’s Common Stock. The Maliagros 10b5-1 Plan provides for the sale of up to 409,136 shares acquired upon the Business Combination and from equity compensation, commencing on July 2, 2024 and continuing until all shares are sold or until December 31, 2024, whichever occurs first.</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During the quarter ended June 30, 2024, no other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or furnished herewith: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40" w:type="dxa"/>
            <w:vAlign w:val="bottom"/>
            <w:gridSpan w:val="17"/>
          </w:tcPr>
          <w:p>
            <w:pPr>
              <w:ind w:left="4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8"/>
        </w:trPr>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574"/>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20" w:type="dxa"/>
            <w:vAlign w:val="bottom"/>
            <w:gridSpan w:val="21"/>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Certificate of Designation of Series C Cumulative Convertible Preferred Stock, dated March 27, 2024 (incorporated by reference to Exhibit 3.1 to the</w:t>
              </w:r>
            </w:hyperlink>
          </w:p>
        </w:tc>
      </w:tr>
      <w:tr>
        <w:trPr>
          <w:trHeight w:val="171"/>
        </w:trPr>
        <w:tc>
          <w:tcPr>
            <w:tcW w:w="126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4"/>
          </w:tcPr>
          <w:p>
            <w:pPr>
              <w:spacing w:after="0" w:line="171" w:lineRule="exact"/>
              <w:rPr>
                <w:rFonts w:ascii="Times New Roman" w:cs="Times New Roman" w:eastAsia="Times New Roman" w:hAnsi="Times New Roman"/>
                <w:sz w:val="16"/>
                <w:szCs w:val="16"/>
                <w:color w:val="0000FF"/>
                <w:w w:val="96"/>
              </w:rPr>
            </w:pPr>
            <w:hyperlink r:id="rId159">
              <w:r>
                <w:rPr>
                  <w:rFonts w:ascii="Times New Roman" w:cs="Times New Roman" w:eastAsia="Times New Roman" w:hAnsi="Times New Roman"/>
                  <w:sz w:val="16"/>
                  <w:szCs w:val="16"/>
                  <w:color w:val="0000FF"/>
                  <w:w w:val="96"/>
                </w:rPr>
                <w:t>Company’s Current Report on Form 8-K filed on March 27, 2024).</w:t>
              </w:r>
            </w:hyperlink>
          </w:p>
        </w:tc>
        <w:tc>
          <w:tcPr>
            <w:tcW w:w="5120" w:type="dxa"/>
            <w:vAlign w:val="bottom"/>
            <w:tcBorders>
              <w:top w:val="single" w:sz="8" w:color="0000FF"/>
            </w:tcBorders>
            <w:gridSpan w:val="5"/>
          </w:tcPr>
          <w:p>
            <w:pPr>
              <w:spacing w:after="0"/>
              <w:rPr>
                <w:sz w:val="14"/>
                <w:szCs w:val="14"/>
                <w:color w:val="auto"/>
              </w:rPr>
            </w:pPr>
          </w:p>
        </w:tc>
        <w:tc>
          <w:tcPr>
            <w:tcW w:w="720" w:type="dxa"/>
            <w:vAlign w:val="bottom"/>
            <w:gridSpan w:val="12"/>
          </w:tcPr>
          <w:p>
            <w:pPr>
              <w:spacing w:after="0"/>
              <w:rPr>
                <w:sz w:val="14"/>
                <w:szCs w:val="14"/>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978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6"/>
              </w:rPr>
            </w:pPr>
            <w:hyperlink r:id="rId159">
              <w:r>
                <w:rPr>
                  <w:rFonts w:ascii="Times New Roman" w:cs="Times New Roman" w:eastAsia="Times New Roman" w:hAnsi="Times New Roman"/>
                  <w:sz w:val="16"/>
                  <w:szCs w:val="16"/>
                  <w:color w:val="0000FF"/>
                  <w:w w:val="96"/>
                </w:rPr>
                <w:t>Warrant to Purchase Class A Common Stock, dated March 27, 2024 (incorporated by reference to Exhibit 4.1 to the Company’s Current Report on Form 8-K</w:t>
              </w:r>
            </w:hyperlink>
          </w:p>
        </w:tc>
        <w:tc>
          <w:tcPr>
            <w:tcW w:w="240" w:type="dxa"/>
            <w:vAlign w:val="bottom"/>
            <w:gridSpan w:val="4"/>
          </w:tcPr>
          <w:p>
            <w:pPr>
              <w:spacing w:after="0"/>
              <w:rPr>
                <w:sz w:val="17"/>
                <w:szCs w:val="17"/>
                <w:color w:val="auto"/>
              </w:rPr>
            </w:pPr>
          </w:p>
        </w:tc>
      </w:tr>
      <w:tr>
        <w:trPr>
          <w:trHeight w:val="171"/>
        </w:trPr>
        <w:tc>
          <w:tcPr>
            <w:tcW w:w="1260" w:type="dxa"/>
            <w:vAlign w:val="bottom"/>
          </w:tcPr>
          <w:p>
            <w:pPr>
              <w:spacing w:after="0"/>
              <w:rPr>
                <w:sz w:val="14"/>
                <w:szCs w:val="14"/>
                <w:color w:val="auto"/>
              </w:rPr>
            </w:pPr>
          </w:p>
        </w:tc>
        <w:tc>
          <w:tcPr>
            <w:tcW w:w="1600" w:type="dxa"/>
            <w:vAlign w:val="bottom"/>
            <w:tcBorders>
              <w:bottom w:val="single" w:sz="8" w:color="0000FF"/>
            </w:tcBorders>
            <w:gridSpan w:val="2"/>
          </w:tcPr>
          <w:p>
            <w:pPr>
              <w:spacing w:after="0" w:line="171" w:lineRule="exact"/>
              <w:rPr>
                <w:rFonts w:ascii="Times New Roman" w:cs="Times New Roman" w:eastAsia="Times New Roman" w:hAnsi="Times New Roman"/>
                <w:sz w:val="16"/>
                <w:szCs w:val="16"/>
                <w:color w:val="0000FF"/>
                <w:w w:val="96"/>
              </w:rPr>
            </w:pPr>
            <w:hyperlink r:id="rId159">
              <w:r>
                <w:rPr>
                  <w:rFonts w:ascii="Times New Roman" w:cs="Times New Roman" w:eastAsia="Times New Roman" w:hAnsi="Times New Roman"/>
                  <w:sz w:val="16"/>
                  <w:szCs w:val="16"/>
                  <w:color w:val="0000FF"/>
                  <w:w w:val="96"/>
                </w:rPr>
                <w:t>filed on March 27, 2024).</w:t>
              </w:r>
            </w:hyperlink>
          </w:p>
        </w:tc>
        <w:tc>
          <w:tcPr>
            <w:tcW w:w="8420" w:type="dxa"/>
            <w:vAlign w:val="bottom"/>
            <w:gridSpan w:val="19"/>
          </w:tcPr>
          <w:p>
            <w:pPr>
              <w:spacing w:after="0"/>
              <w:rPr>
                <w:sz w:val="14"/>
                <w:szCs w:val="14"/>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20" w:type="dxa"/>
            <w:vAlign w:val="bottom"/>
            <w:gridSpan w:val="21"/>
          </w:tcPr>
          <w:p>
            <w:pPr>
              <w:spacing w:after="0"/>
              <w:rPr>
                <w:rFonts w:ascii="Times New Roman" w:cs="Times New Roman" w:eastAsia="Times New Roman" w:hAnsi="Times New Roman"/>
                <w:sz w:val="16"/>
                <w:szCs w:val="16"/>
                <w:color w:val="0000FF"/>
                <w:w w:val="97"/>
              </w:rPr>
            </w:pPr>
            <w:hyperlink r:id="rId160">
              <w:r>
                <w:rPr>
                  <w:rFonts w:ascii="Times New Roman" w:cs="Times New Roman" w:eastAsia="Times New Roman" w:hAnsi="Times New Roman"/>
                  <w:sz w:val="16"/>
                  <w:szCs w:val="16"/>
                  <w:color w:val="0000FF"/>
                  <w:w w:val="97"/>
                </w:rPr>
                <w:t>Warrant to Purchase Class A Common Stock, dated May 15, 2024 (incorporated by reference to Exhibit 4.1 to the Company’s Current Report on Form 8-K filed</w:t>
              </w:r>
            </w:hyperlink>
          </w:p>
        </w:tc>
      </w:tr>
      <w:tr>
        <w:trPr>
          <w:trHeight w:val="171"/>
        </w:trPr>
        <w:tc>
          <w:tcPr>
            <w:tcW w:w="1260" w:type="dxa"/>
            <w:vAlign w:val="bottom"/>
          </w:tcPr>
          <w:p>
            <w:pPr>
              <w:spacing w:after="0"/>
              <w:rPr>
                <w:sz w:val="14"/>
                <w:szCs w:val="14"/>
                <w:color w:val="auto"/>
              </w:rPr>
            </w:pPr>
          </w:p>
        </w:tc>
        <w:tc>
          <w:tcPr>
            <w:tcW w:w="1120" w:type="dxa"/>
            <w:vAlign w:val="bottom"/>
            <w:tcBorders>
              <w:top w:val="single" w:sz="8" w:color="0000FF"/>
              <w:bottom w:val="single" w:sz="8" w:color="0000FF"/>
            </w:tcBorders>
          </w:tcPr>
          <w:p>
            <w:pPr>
              <w:spacing w:after="0" w:line="171" w:lineRule="exact"/>
              <w:rPr>
                <w:rFonts w:ascii="Times New Roman" w:cs="Times New Roman" w:eastAsia="Times New Roman" w:hAnsi="Times New Roman"/>
                <w:sz w:val="16"/>
                <w:szCs w:val="16"/>
                <w:color w:val="0000FF"/>
                <w:w w:val="95"/>
              </w:rPr>
            </w:pPr>
            <w:hyperlink r:id="rId160">
              <w:r>
                <w:rPr>
                  <w:rFonts w:ascii="Times New Roman" w:cs="Times New Roman" w:eastAsia="Times New Roman" w:hAnsi="Times New Roman"/>
                  <w:sz w:val="16"/>
                  <w:szCs w:val="16"/>
                  <w:color w:val="0000FF"/>
                  <w:w w:val="95"/>
                </w:rPr>
                <w:t>on May 15, 2024)</w:t>
              </w:r>
            </w:hyperlink>
          </w:p>
        </w:tc>
        <w:tc>
          <w:tcPr>
            <w:tcW w:w="8860" w:type="dxa"/>
            <w:vAlign w:val="bottom"/>
            <w:tcBorders>
              <w:top w:val="single" w:sz="8" w:color="0000FF"/>
            </w:tcBorders>
            <w:gridSpan w:val="19"/>
          </w:tcPr>
          <w:p>
            <w:pPr>
              <w:spacing w:after="0"/>
              <w:rPr>
                <w:sz w:val="14"/>
                <w:szCs w:val="14"/>
                <w:color w:val="auto"/>
              </w:rPr>
            </w:pPr>
          </w:p>
        </w:tc>
        <w:tc>
          <w:tcPr>
            <w:tcW w:w="40" w:type="dxa"/>
            <w:vAlign w:val="bottom"/>
          </w:tcPr>
          <w:p>
            <w:pPr>
              <w:spacing w:after="0"/>
              <w:rPr>
                <w:sz w:val="14"/>
                <w:szCs w:val="14"/>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20" w:type="dxa"/>
            <w:vAlign w:val="bottom"/>
            <w:gridSpan w:val="21"/>
          </w:tcPr>
          <w:p>
            <w:pPr>
              <w:spacing w:after="0"/>
              <w:rPr>
                <w:rFonts w:ascii="Times New Roman" w:cs="Times New Roman" w:eastAsia="Times New Roman" w:hAnsi="Times New Roman"/>
                <w:sz w:val="16"/>
                <w:szCs w:val="16"/>
                <w:color w:val="0000FF"/>
                <w:w w:val="97"/>
              </w:rPr>
            </w:pPr>
            <w:hyperlink r:id="rId161">
              <w:r>
                <w:rPr>
                  <w:rFonts w:ascii="Times New Roman" w:cs="Times New Roman" w:eastAsia="Times New Roman" w:hAnsi="Times New Roman"/>
                  <w:sz w:val="16"/>
                  <w:szCs w:val="16"/>
                  <w:color w:val="0000FF"/>
                  <w:w w:val="97"/>
                </w:rPr>
                <w:t>Membership Interest Purchase Agreement by and among AlTi Global, Inc., AlTi Global Wealth Management Holdings Limited, East End Advisors, LLC, EEA</w:t>
              </w:r>
            </w:hyperlink>
          </w:p>
        </w:tc>
      </w:tr>
      <w:tr>
        <w:trPr>
          <w:trHeight w:val="171"/>
        </w:trPr>
        <w:tc>
          <w:tcPr>
            <w:tcW w:w="1260" w:type="dxa"/>
            <w:vAlign w:val="bottom"/>
          </w:tcPr>
          <w:p>
            <w:pPr>
              <w:spacing w:after="0"/>
              <w:rPr>
                <w:sz w:val="14"/>
                <w:szCs w:val="14"/>
                <w:color w:val="auto"/>
              </w:rPr>
            </w:pPr>
          </w:p>
        </w:tc>
        <w:tc>
          <w:tcPr>
            <w:tcW w:w="9900" w:type="dxa"/>
            <w:vAlign w:val="bottom"/>
            <w:tcBorders>
              <w:top w:val="single" w:sz="8" w:color="0000FF"/>
              <w:bottom w:val="single" w:sz="8" w:color="0000FF"/>
            </w:tcBorders>
            <w:gridSpan w:val="18"/>
          </w:tcPr>
          <w:p>
            <w:pPr>
              <w:spacing w:after="0" w:line="171" w:lineRule="exact"/>
              <w:rPr>
                <w:rFonts w:ascii="Times New Roman" w:cs="Times New Roman" w:eastAsia="Times New Roman" w:hAnsi="Times New Roman"/>
                <w:sz w:val="16"/>
                <w:szCs w:val="16"/>
                <w:color w:val="0000FF"/>
                <w:w w:val="96"/>
              </w:rPr>
            </w:pPr>
            <w:hyperlink r:id="rId161">
              <w:r>
                <w:rPr>
                  <w:rFonts w:ascii="Times New Roman" w:cs="Times New Roman" w:eastAsia="Times New Roman" w:hAnsi="Times New Roman"/>
                  <w:sz w:val="16"/>
                  <w:szCs w:val="16"/>
                  <w:color w:val="0000FF"/>
                  <w:w w:val="96"/>
                </w:rPr>
                <w:t>Holding Company, LLC, and, solely for the limited purposes set forth therein, David Salomon, Richard Salomon, Peter Nadosy and Brian Clifford, dated April</w:t>
              </w:r>
            </w:hyperlink>
          </w:p>
        </w:tc>
        <w:tc>
          <w:tcPr>
            <w:tcW w:w="20" w:type="dxa"/>
            <w:vAlign w:val="bottom"/>
            <w:tcBorders>
              <w:top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71"/>
        </w:trPr>
        <w:tc>
          <w:tcPr>
            <w:tcW w:w="1260" w:type="dxa"/>
            <w:vAlign w:val="bottom"/>
          </w:tcPr>
          <w:p>
            <w:pPr>
              <w:spacing w:after="0"/>
              <w:rPr>
                <w:sz w:val="14"/>
                <w:szCs w:val="14"/>
                <w:color w:val="auto"/>
              </w:rPr>
            </w:pPr>
          </w:p>
        </w:tc>
        <w:tc>
          <w:tcPr>
            <w:tcW w:w="10020" w:type="dxa"/>
            <w:vAlign w:val="bottom"/>
            <w:gridSpan w:val="21"/>
          </w:tcPr>
          <w:p>
            <w:pPr>
              <w:spacing w:after="0" w:line="171"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1, 2024 (incorporated by reference to Exhibit 10.1 to the Company’s Current Report on Form 8-K filed on April 1, 2024).</w:t>
              </w:r>
            </w:hyperlink>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20" w:type="dxa"/>
            <w:vAlign w:val="bottom"/>
            <w:gridSpan w:val="21"/>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Investor Rights Agreement, dated July 31, 2024, by and between AlTi Global, Inc. and Allianz Strategic Investments S.à.r.l. (incorporated by reference to</w:t>
              </w:r>
            </w:hyperlink>
          </w:p>
        </w:tc>
      </w:tr>
      <w:tr>
        <w:trPr>
          <w:trHeight w:val="171"/>
        </w:trPr>
        <w:tc>
          <w:tcPr>
            <w:tcW w:w="1260" w:type="dxa"/>
            <w:vAlign w:val="bottom"/>
          </w:tcPr>
          <w:p>
            <w:pPr>
              <w:spacing w:after="0"/>
              <w:rPr>
                <w:sz w:val="14"/>
                <w:szCs w:val="14"/>
                <w:color w:val="auto"/>
              </w:rPr>
            </w:pPr>
          </w:p>
        </w:tc>
        <w:tc>
          <w:tcPr>
            <w:tcW w:w="9560" w:type="dxa"/>
            <w:vAlign w:val="bottom"/>
            <w:tcBorders>
              <w:top w:val="single" w:sz="8" w:color="0000FF"/>
            </w:tcBorders>
            <w:gridSpan w:val="13"/>
          </w:tcPr>
          <w:p>
            <w:pPr>
              <w:spacing w:after="0" w:line="171"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Exhibit 10.2 to the Company’s Current Report on Form 8-K filed on July 31, 2024).</w:t>
              </w:r>
            </w:hyperlink>
          </w:p>
        </w:tc>
        <w:tc>
          <w:tcPr>
            <w:tcW w:w="460" w:type="dxa"/>
            <w:vAlign w:val="bottom"/>
            <w:gridSpan w:val="8"/>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968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6"/>
              </w:rPr>
            </w:pPr>
            <w:hyperlink r:id="rId162">
              <w:r>
                <w:rPr>
                  <w:rFonts w:ascii="Times New Roman" w:cs="Times New Roman" w:eastAsia="Times New Roman" w:hAnsi="Times New Roman"/>
                  <w:sz w:val="16"/>
                  <w:szCs w:val="16"/>
                  <w:color w:val="0000FF"/>
                  <w:w w:val="96"/>
                </w:rPr>
                <w:t>Fourth Amended and Restated Limited Liability Company Agreement of AlTi Global Capital, LLC, dated as of July 31, 2024 (incorporated by reference to</w:t>
              </w:r>
            </w:hyperlink>
          </w:p>
        </w:tc>
        <w:tc>
          <w:tcPr>
            <w:tcW w:w="340" w:type="dxa"/>
            <w:vAlign w:val="bottom"/>
            <w:gridSpan w:val="5"/>
          </w:tcPr>
          <w:p>
            <w:pPr>
              <w:spacing w:after="0"/>
              <w:rPr>
                <w:sz w:val="17"/>
                <w:szCs w:val="17"/>
                <w:color w:val="auto"/>
              </w:rPr>
            </w:pPr>
          </w:p>
        </w:tc>
      </w:tr>
      <w:tr>
        <w:trPr>
          <w:trHeight w:val="171"/>
        </w:trPr>
        <w:tc>
          <w:tcPr>
            <w:tcW w:w="1260" w:type="dxa"/>
            <w:vAlign w:val="bottom"/>
          </w:tcPr>
          <w:p>
            <w:pPr>
              <w:spacing w:after="0"/>
              <w:rPr>
                <w:sz w:val="14"/>
                <w:szCs w:val="14"/>
                <w:color w:val="auto"/>
              </w:rPr>
            </w:pPr>
          </w:p>
        </w:tc>
        <w:tc>
          <w:tcPr>
            <w:tcW w:w="10020" w:type="dxa"/>
            <w:vAlign w:val="bottom"/>
            <w:gridSpan w:val="21"/>
          </w:tcPr>
          <w:p>
            <w:pPr>
              <w:spacing w:after="0" w:line="171"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Exhibit 10.3 to the Company’s Current Report on Form 8-K filed on July 31, 2024).</w:t>
              </w:r>
            </w:hyperlink>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Fourth Amendment to the Credit Agreement, dated August 5, 2024 , between the Company, BMO Harris Bank N.A., and the lenders party thereto.</w:t>
            </w: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77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6"/>
              </w:rPr>
              <w:t>Form of Performance-Based Restricted Stock Units and Award Agreement under the Company’s 2023 Stock Incentive Plan.</w:t>
            </w:r>
          </w:p>
        </w:tc>
        <w:tc>
          <w:tcPr>
            <w:tcW w:w="1380" w:type="dxa"/>
            <w:vAlign w:val="bottom"/>
            <w:tcBorders>
              <w:top w:val="single" w:sz="8" w:color="0000FF"/>
            </w:tcBorders>
          </w:tcPr>
          <w:p>
            <w:pPr>
              <w:spacing w:after="0"/>
              <w:rPr>
                <w:sz w:val="18"/>
                <w:szCs w:val="18"/>
                <w:color w:val="auto"/>
              </w:rPr>
            </w:pPr>
          </w:p>
        </w:tc>
        <w:tc>
          <w:tcPr>
            <w:tcW w:w="900" w:type="dxa"/>
            <w:vAlign w:val="bottom"/>
            <w:gridSpan w:val="13"/>
          </w:tcPr>
          <w:p>
            <w:pPr>
              <w:spacing w:after="0"/>
              <w:rPr>
                <w:sz w:val="18"/>
                <w:szCs w:val="18"/>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Form of Performance-Based Restricted Stock Units and Award Agreement for Non-U.S. Participants under the Company’s 2023 Stock Incentive Plan.</w:t>
            </w: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9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Form of Performance-Based Restricted Stock Units and Award Agreement for Swiss Participants under the Company’s 2023 Stock Incentive Plan.</w:t>
            </w:r>
          </w:p>
        </w:tc>
        <w:tc>
          <w:tcPr>
            <w:tcW w:w="660" w:type="dxa"/>
            <w:vAlign w:val="bottom"/>
            <w:gridSpan w:val="11"/>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140" w:type="dxa"/>
            <w:vAlign w:val="bottom"/>
            <w:gridSpan w:val="5"/>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 Pursuant to</w:t>
            </w:r>
          </w:p>
        </w:tc>
      </w:tr>
      <w:tr>
        <w:trPr>
          <w:trHeight w:val="171"/>
        </w:trPr>
        <w:tc>
          <w:tcPr>
            <w:tcW w:w="1260" w:type="dxa"/>
            <w:vAlign w:val="bottom"/>
          </w:tcPr>
          <w:p>
            <w:pPr>
              <w:spacing w:after="0"/>
              <w:rPr>
                <w:sz w:val="14"/>
                <w:szCs w:val="14"/>
                <w:color w:val="auto"/>
              </w:rPr>
            </w:pPr>
          </w:p>
        </w:tc>
        <w:tc>
          <w:tcPr>
            <w:tcW w:w="9620" w:type="dxa"/>
            <w:vAlign w:val="bottom"/>
            <w:tcBorders>
              <w:top w:val="single" w:sz="8" w:color="0000FF"/>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40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r>
      <w:tr>
        <w:trPr>
          <w:trHeight w:val="171"/>
        </w:trPr>
        <w:tc>
          <w:tcPr>
            <w:tcW w:w="1260" w:type="dxa"/>
            <w:vAlign w:val="bottom"/>
          </w:tcPr>
          <w:p>
            <w:pPr>
              <w:spacing w:after="0"/>
              <w:rPr>
                <w:sz w:val="14"/>
                <w:szCs w:val="14"/>
                <w:color w:val="auto"/>
              </w:rPr>
            </w:pPr>
          </w:p>
        </w:tc>
        <w:tc>
          <w:tcPr>
            <w:tcW w:w="9580" w:type="dxa"/>
            <w:vAlign w:val="bottom"/>
            <w:tcBorders>
              <w:top w:val="single" w:sz="8" w:color="0000FF"/>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440" w:type="dxa"/>
            <w:vAlign w:val="bottom"/>
            <w:gridSpan w:val="7"/>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4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r>
      <w:tr>
        <w:trPr>
          <w:trHeight w:val="20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r>
      <w:tr>
        <w:trPr>
          <w:trHeight w:val="213"/>
        </w:trPr>
        <w:tc>
          <w:tcPr>
            <w:tcW w:w="1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94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6"/>
              </w:rPr>
              <w:t>Certification of Principal Financial Officer Pursuant to 18 U.S.C. Section 1350, as Adopted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520" w:type="dxa"/>
            <w:vAlign w:val="bottom"/>
            <w:gridSpan w:val="9"/>
          </w:tcPr>
          <w:p>
            <w:pPr>
              <w:spacing w:after="0"/>
              <w:rPr>
                <w:sz w:val="18"/>
                <w:szCs w:val="18"/>
                <w:color w:val="auto"/>
              </w:rPr>
            </w:pPr>
          </w:p>
        </w:tc>
      </w:tr>
    </w:tbl>
    <w:p>
      <w:pPr>
        <w:spacing w:after="0" w:line="183" w:lineRule="exact"/>
        <w:rPr>
          <w:sz w:val="20"/>
          <w:szCs w:val="20"/>
          <w:color w:val="auto"/>
        </w:rPr>
      </w:pPr>
    </w:p>
    <w:p>
      <w:pPr>
        <w:ind w:left="1260" w:hanging="673"/>
        <w:spacing w:after="0"/>
        <w:tabs>
          <w:tab w:leader="none" w:pos="12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49" w:lineRule="exact"/>
        <w:rPr>
          <w:sz w:val="20"/>
          <w:szCs w:val="20"/>
          <w:color w:val="auto"/>
        </w:rPr>
      </w:pPr>
    </w:p>
    <w:p>
      <w:pPr>
        <w:ind w:left="1260" w:hanging="712"/>
        <w:spacing w:after="0"/>
        <w:tabs>
          <w:tab w:leader="none" w:pos="12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49" w:lineRule="exact"/>
        <w:rPr>
          <w:sz w:val="20"/>
          <w:szCs w:val="20"/>
          <w:color w:val="auto"/>
        </w:rPr>
      </w:pPr>
    </w:p>
    <w:p>
      <w:pPr>
        <w:ind w:left="1260" w:hanging="673"/>
        <w:spacing w:after="0"/>
        <w:tabs>
          <w:tab w:leader="none" w:pos="12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ALTI GLOBAL, INC</w:t>
      </w:r>
    </w:p>
    <w:p>
      <w:pPr>
        <w:spacing w:after="0" w:line="283"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29845</wp:posOffset>
            </wp:positionV>
            <wp:extent cx="342265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Michael Tiedemann</w:t>
      </w:r>
    </w:p>
    <w:p>
      <w:pPr>
        <w:spacing w:after="0" w:line="4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4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51"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16"/>
          <w:szCs w:val="16"/>
          <w:color w:val="auto"/>
        </w:rPr>
        <w:t>Date: August 9, 2024</w:t>
      </w:r>
      <w:r>
        <w:rPr>
          <w:sz w:val="20"/>
          <w:szCs w:val="20"/>
          <w:color w:val="auto"/>
        </w:rPr>
        <w:tab/>
      </w:r>
      <w:r>
        <w:rPr>
          <w:rFonts w:ascii="Times New Roman" w:cs="Times New Roman" w:eastAsia="Times New Roman" w:hAnsi="Times New Roman"/>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29845</wp:posOffset>
            </wp:positionV>
            <wp:extent cx="34226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spacing w:after="0" w:line="4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Stephen Yarad</w:t>
      </w:r>
    </w:p>
    <w:p>
      <w:pPr>
        <w:spacing w:after="0" w:line="4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4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(Principal Financial Officer and</w:t>
      </w:r>
    </w:p>
    <w:p>
      <w:pPr>
        <w:spacing w:after="0" w:line="1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1280"/>
          </w:cols>
          <w:pgMar w:left="300" w:top="1010" w:right="319" w:bottom="1440"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9611995</wp:posOffset>
            </wp:positionV>
            <wp:extent cx="7105650"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CERTIFICATION OF CHIEF EXECUTIVE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Tiedemann, certify that:</w:t>
      </w:r>
    </w:p>
    <w:p>
      <w:pPr>
        <w:spacing w:after="0" w:line="30" w:lineRule="exact"/>
        <w:rPr>
          <w:sz w:val="20"/>
          <w:szCs w:val="20"/>
          <w:color w:val="auto"/>
        </w:rPr>
      </w:pPr>
    </w:p>
    <w:p>
      <w:pPr>
        <w:ind w:left="480" w:hanging="461"/>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9,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10" w:lineRule="auto"/>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2"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4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CERTIFICATION OF CHIEF FINANCIAL OFFICER</w:t>
      </w:r>
    </w:p>
    <w:p>
      <w:pPr>
        <w:ind w:left="2420"/>
        <w:spacing w:after="0" w:line="210" w:lineRule="auto"/>
        <w:rPr>
          <w:sz w:val="20"/>
          <w:szCs w:val="20"/>
          <w:color w:val="auto"/>
        </w:rPr>
      </w:pPr>
      <w:r>
        <w:rPr>
          <w:rFonts w:ascii="Times New Roman" w:cs="Times New Roman" w:eastAsia="Times New Roman" w:hAnsi="Times New Roman"/>
          <w:sz w:val="14"/>
          <w:szCs w:val="14"/>
          <w:color w:val="auto"/>
        </w:rPr>
        <w:t>PURSUANT TO 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302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Stephen Yarad, certify that:</w:t>
      </w:r>
    </w:p>
    <w:p>
      <w:pPr>
        <w:spacing w:after="0" w:line="30" w:lineRule="exact"/>
        <w:rPr>
          <w:sz w:val="20"/>
          <w:szCs w:val="20"/>
          <w:color w:val="auto"/>
        </w:rPr>
      </w:pPr>
    </w:p>
    <w:p>
      <w:pPr>
        <w:ind w:left="480" w:hanging="461"/>
        <w:spacing w:after="0"/>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AlTi Global, Inc.;</w:t>
      </w:r>
    </w:p>
    <w:p>
      <w:pPr>
        <w:spacing w:after="0" w:line="104" w:lineRule="exact"/>
        <w:rPr>
          <w:rFonts w:ascii="Times New Roman" w:cs="Times New Roman" w:eastAsia="Times New Roman" w:hAnsi="Times New Roman"/>
          <w:sz w:val="14"/>
          <w:szCs w:val="14"/>
          <w:color w:val="auto"/>
        </w:rPr>
      </w:pPr>
    </w:p>
    <w:p>
      <w:pPr>
        <w:ind w:left="480" w:right="760" w:hanging="461"/>
        <w:spacing w:after="0" w:line="255" w:lineRule="auto"/>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480" w:right="240" w:hanging="461"/>
        <w:spacing w:after="0" w:line="239" w:lineRule="auto"/>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4"/>
          <w:szCs w:val="14"/>
          <w:color w:val="auto"/>
        </w:rPr>
      </w:pPr>
    </w:p>
    <w:p>
      <w:pPr>
        <w:ind w:left="480" w:right="80" w:hanging="461"/>
        <w:spacing w:after="0" w:line="239" w:lineRule="auto"/>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4"/>
          <w:szCs w:val="14"/>
          <w:color w:val="auto"/>
        </w:rPr>
      </w:pPr>
    </w:p>
    <w:p>
      <w:pPr>
        <w:jc w:val="both"/>
        <w:ind w:left="1040" w:right="340" w:hanging="565"/>
        <w:spacing w:after="0" w:line="233" w:lineRule="auto"/>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040" w:right="540" w:hanging="565"/>
        <w:spacing w:after="0" w:line="233" w:lineRule="auto"/>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040" w:right="140" w:hanging="565"/>
        <w:spacing w:after="0" w:line="239" w:lineRule="auto"/>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ind w:left="1040" w:right="120" w:hanging="565"/>
        <w:spacing w:after="0" w:line="255" w:lineRule="auto"/>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4"/>
          <w:szCs w:val="14"/>
          <w:color w:val="auto"/>
        </w:rPr>
      </w:pPr>
    </w:p>
    <w:p>
      <w:pPr>
        <w:ind w:left="480" w:right="580" w:hanging="461"/>
        <w:spacing w:after="0" w:line="239" w:lineRule="auto"/>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1040" w:right="480" w:hanging="565"/>
        <w:spacing w:after="0" w:line="239" w:lineRule="auto"/>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1040" w:hanging="565"/>
        <w:spacing w:after="0"/>
        <w:tabs>
          <w:tab w:leader="none" w:pos="104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9,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Stephen Yarad</w:t>
      </w:r>
    </w:p>
    <w:p>
      <w:pPr>
        <w:ind w:left="4000"/>
        <w:spacing w:after="0" w:line="210" w:lineRule="auto"/>
        <w:rPr>
          <w:sz w:val="20"/>
          <w:szCs w:val="20"/>
          <w:color w:val="auto"/>
        </w:rPr>
      </w:pPr>
      <w:r>
        <w:rPr>
          <w:rFonts w:ascii="Times New Roman" w:cs="Times New Roman" w:eastAsia="Times New Roman" w:hAnsi="Times New Roman"/>
          <w:sz w:val="14"/>
          <w:szCs w:val="14"/>
          <w:color w:val="auto"/>
        </w:rPr>
        <w:t>Chief Financial Officer</w:t>
      </w:r>
    </w:p>
    <w:p>
      <w:pPr>
        <w:ind w:left="4000"/>
        <w:spacing w:after="0" w:line="238" w:lineRule="auto"/>
        <w:rPr>
          <w:sz w:val="20"/>
          <w:szCs w:val="20"/>
          <w:color w:val="auto"/>
        </w:rPr>
      </w:pPr>
      <w:r>
        <w:rPr>
          <w:rFonts w:ascii="Times New Roman" w:cs="Times New Roman" w:eastAsia="Times New Roman" w:hAnsi="Times New Roman"/>
          <w:sz w:val="14"/>
          <w:szCs w:val="14"/>
          <w:color w:val="auto"/>
        </w:rPr>
        <w:t>(Principal Financial Officer and</w:t>
      </w:r>
    </w:p>
    <w:p>
      <w:pPr>
        <w:ind w:left="4000"/>
        <w:spacing w:after="0"/>
        <w:rPr>
          <w:sz w:val="20"/>
          <w:szCs w:val="20"/>
          <w:color w:val="auto"/>
        </w:rPr>
      </w:pPr>
      <w:r>
        <w:rPr>
          <w:rFonts w:ascii="Times New Roman" w:cs="Times New Roman" w:eastAsia="Times New Roman" w:hAnsi="Times New Roman"/>
          <w:sz w:val="14"/>
          <w:szCs w:val="14"/>
          <w:color w:val="auto"/>
        </w:rPr>
        <w:t>Principal Accounting Officer)</w:t>
      </w:r>
    </w:p>
    <w:p>
      <w:pPr>
        <w:sectPr>
          <w:pgSz w:w="11900" w:h="16838" w:orient="portrait"/>
          <w:cols w:equalWidth="0" w:num="1">
            <w:col w:w="11280"/>
          </w:cols>
          <w:pgMar w:left="300" w:top="1133"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color w:val="auto"/>
        </w:rPr>
        <w:t>EXHIBIT 32.1</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connection with the Quarterly Report of AlTi Global, Inc. (the “Company”) on Form 10-Q for the quarterly period ended June 30, 2024, as filed with the Securities and Exchange Commission (the “Report”), I, Michael Tiedemann, Chief Executive Officer of the Company, certify, pursuant to 18 U.S.C. §1350, as added by §906 of the Sarbanes -Oxley Act of 2002, that:</w:t>
      </w:r>
    </w:p>
    <w:p>
      <w:pPr>
        <w:spacing w:after="0" w:line="1" w:lineRule="exact"/>
        <w:rPr>
          <w:sz w:val="20"/>
          <w:szCs w:val="20"/>
          <w:color w:val="auto"/>
        </w:rPr>
      </w:pPr>
    </w:p>
    <w:p>
      <w:pPr>
        <w:ind w:left="1040" w:hanging="565"/>
        <w:spacing w:after="0"/>
        <w:tabs>
          <w:tab w:leader="none" w:pos="10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60" w:hanging="565"/>
        <w:spacing w:after="0" w:line="239" w:lineRule="auto"/>
        <w:tabs>
          <w:tab w:leader="none" w:pos="10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9,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Michael Tiedemann</w:t>
      </w:r>
    </w:p>
    <w:p>
      <w:pPr>
        <w:ind w:left="4000"/>
        <w:spacing w:after="0" w:line="221" w:lineRule="auto"/>
        <w:rPr>
          <w:sz w:val="20"/>
          <w:szCs w:val="20"/>
          <w:color w:val="auto"/>
        </w:rPr>
      </w:pPr>
      <w:r>
        <w:rPr>
          <w:rFonts w:ascii="Times New Roman" w:cs="Times New Roman" w:eastAsia="Times New Roman" w:hAnsi="Times New Roman"/>
          <w:sz w:val="14"/>
          <w:szCs w:val="14"/>
          <w:color w:val="auto"/>
        </w:rPr>
        <w:t>Chief Executive Officer</w:t>
      </w:r>
    </w:p>
    <w:p>
      <w:pPr>
        <w:ind w:left="400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132"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color w:val="auto"/>
        </w:rPr>
        <w:t>EXHIBIT 32.2</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CERTIFICATION PURSUANT TO</w:t>
      </w:r>
    </w:p>
    <w:p>
      <w:pPr>
        <w:ind w:left="4880"/>
        <w:spacing w:after="0" w:line="210" w:lineRule="auto"/>
        <w:rPr>
          <w:sz w:val="20"/>
          <w:szCs w:val="20"/>
          <w:color w:val="auto"/>
        </w:rPr>
      </w:pPr>
      <w:r>
        <w:rPr>
          <w:rFonts w:ascii="Times New Roman" w:cs="Times New Roman" w:eastAsia="Times New Roman" w:hAnsi="Times New Roman"/>
          <w:sz w:val="14"/>
          <w:szCs w:val="14"/>
          <w:color w:val="auto"/>
        </w:rPr>
        <w:t>18 U.S.C. SECTION 1350</w:t>
      </w:r>
    </w:p>
    <w:p>
      <w:pPr>
        <w:jc w:val="center"/>
        <w:spacing w:after="0" w:line="206" w:lineRule="auto"/>
        <w:rPr>
          <w:sz w:val="20"/>
          <w:szCs w:val="20"/>
          <w:color w:val="auto"/>
        </w:rPr>
      </w:pPr>
      <w:r>
        <w:rPr>
          <w:rFonts w:ascii="Times New Roman" w:cs="Times New Roman" w:eastAsia="Times New Roman" w:hAnsi="Times New Roman"/>
          <w:sz w:val="14"/>
          <w:szCs w:val="14"/>
          <w:color w:val="auto"/>
        </w:rPr>
        <w:t>AS ADOPTED PURSUANT TO</w:t>
      </w: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4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connection with the Quarterly Report of AlTi Global, Inc. (the “Company”) on Form 10-Q for the quarterly period ended June 30, 2024, as filed with the Securities and Exchange Commission (the “Report”), I, Stephen Yarad, Chief Financial Officer of the Company, certify, pursuant to 18 U.S.C. §1350, as added by §906 of the Sarbanes-Oxley Act of 2002, that:</w:t>
      </w:r>
    </w:p>
    <w:p>
      <w:pPr>
        <w:spacing w:after="0" w:line="1" w:lineRule="exact"/>
        <w:rPr>
          <w:sz w:val="20"/>
          <w:szCs w:val="20"/>
          <w:color w:val="auto"/>
        </w:rPr>
      </w:pPr>
    </w:p>
    <w:p>
      <w:pPr>
        <w:ind w:left="1040" w:hanging="565"/>
        <w:spacing w:after="0"/>
        <w:tabs>
          <w:tab w:leader="none" w:pos="10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302" w:lineRule="exact"/>
        <w:rPr>
          <w:rFonts w:ascii="Times New Roman" w:cs="Times New Roman" w:eastAsia="Times New Roman" w:hAnsi="Times New Roman"/>
          <w:sz w:val="14"/>
          <w:szCs w:val="14"/>
          <w:color w:val="auto"/>
        </w:rPr>
      </w:pPr>
    </w:p>
    <w:p>
      <w:pPr>
        <w:ind w:left="1040" w:right="20" w:hanging="565"/>
        <w:spacing w:after="0" w:line="239" w:lineRule="auto"/>
        <w:tabs>
          <w:tab w:leader="none" w:pos="10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August 9, 2024</w:t>
      </w:r>
    </w:p>
    <w:p>
      <w:pPr>
        <w:spacing w:after="0" w:line="2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14605</wp:posOffset>
            </wp:positionV>
            <wp:extent cx="185293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17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Stephen Yarad</w:t>
      </w:r>
    </w:p>
    <w:p>
      <w:pPr>
        <w:ind w:left="4000"/>
        <w:spacing w:after="0" w:line="221" w:lineRule="auto"/>
        <w:rPr>
          <w:sz w:val="20"/>
          <w:szCs w:val="20"/>
          <w:color w:val="auto"/>
        </w:rPr>
      </w:pPr>
      <w:r>
        <w:rPr>
          <w:rFonts w:ascii="Times New Roman" w:cs="Times New Roman" w:eastAsia="Times New Roman" w:hAnsi="Times New Roman"/>
          <w:sz w:val="14"/>
          <w:szCs w:val="14"/>
          <w:color w:val="auto"/>
        </w:rPr>
        <w:t>Chief Financial Officer</w:t>
      </w:r>
    </w:p>
    <w:p>
      <w:pPr>
        <w:ind w:left="4000"/>
        <w:spacing w:after="0" w:line="221" w:lineRule="auto"/>
        <w:rPr>
          <w:sz w:val="20"/>
          <w:szCs w:val="20"/>
          <w:color w:val="auto"/>
        </w:rPr>
      </w:pPr>
      <w:r>
        <w:rPr>
          <w:rFonts w:ascii="Times New Roman" w:cs="Times New Roman" w:eastAsia="Times New Roman" w:hAnsi="Times New Roman"/>
          <w:sz w:val="14"/>
          <w:szCs w:val="14"/>
          <w:color w:val="auto"/>
        </w:rPr>
        <w:t>(Principal Financial Officer and</w:t>
      </w:r>
    </w:p>
    <w:p>
      <w:pPr>
        <w:spacing w:after="0" w:line="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color w:val="auto"/>
        </w:rPr>
        <w:t>Principal Accounting Officer)</w:t>
      </w:r>
    </w:p>
    <w:sectPr>
      <w:pgSz w:w="11900" w:h="16838" w:orient="portrait"/>
      <w:cols w:equalWidth="0" w:num="1">
        <w:col w:w="11280"/>
      </w:cols>
      <w:pgMar w:left="300" w:top="11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2"/>
    </w:lvl>
    <w:lvl w:ilvl="1">
      <w:lvlJc w:val="left"/>
      <w:lvlText w:val="(%2)"/>
      <w:numFmt w:val="lowerLetter"/>
      <w:start w:val="1"/>
    </w:lvl>
  </w:abstractNum>
  <w:abstractNum w:abstractNumId="13">
    <w:nsid w:val="542289EC"/>
    <w:multiLevelType w:val="hybridMultilevel"/>
    <w:lvl w:ilvl="0">
      <w:lvlJc w:val="left"/>
      <w:lvlText w:val="(%1)"/>
      <w:numFmt w:val="lowerLetter"/>
      <w:start w:val="2"/>
    </w:lvl>
  </w:abstractNum>
  <w:abstractNum w:abstractNumId="14">
    <w:nsid w:val="6DE91B18"/>
    <w:multiLevelType w:val="hybridMultilevel"/>
    <w:lvl w:ilvl="0">
      <w:lvlJc w:val="left"/>
      <w:lvlText w:val="(%1)"/>
      <w:numFmt w:val="lowerLetter"/>
      <w:start w:val="3"/>
    </w:lvl>
  </w:abstractNum>
  <w:abstractNum w:abstractNumId="15">
    <w:nsid w:val="38437FDB"/>
    <w:multiLevelType w:val="hybridMultilevel"/>
    <w:lvl w:ilvl="0">
      <w:lvlJc w:val="left"/>
      <w:lvlText w:val="(%1)"/>
      <w:numFmt w:val="lowerLetter"/>
      <w:start w:val="4"/>
    </w:lvl>
  </w:abstractNum>
  <w:abstractNum w:abstractNumId="16">
    <w:nsid w:val="7644A45C"/>
    <w:multiLevelType w:val="hybridMultilevel"/>
    <w:lvl w:ilvl="0">
      <w:lvlJc w:val="left"/>
      <w:lvlText w:val="(%1)"/>
      <w:numFmt w:val="lowerLetter"/>
      <w:start w:val="5"/>
    </w:lvl>
  </w:abstractNum>
  <w:abstractNum w:abstractNumId="17">
    <w:nsid w:val="32FFF902"/>
    <w:multiLevelType w:val="hybridMultilevel"/>
    <w:lvl w:ilvl="0">
      <w:lvlJc w:val="left"/>
      <w:lvlText w:val="(%1)"/>
      <w:numFmt w:val="lowerLetter"/>
      <w:start w:val="6"/>
    </w:lvl>
  </w:abstractNum>
  <w:abstractNum w:abstractNumId="18">
    <w:nsid w:val="684A481A"/>
    <w:multiLevelType w:val="hybridMultilevel"/>
    <w:lvl w:ilvl="0">
      <w:lvlJc w:val="left"/>
      <w:lvlText w:val="(%1)"/>
      <w:numFmt w:val="lowerLetter"/>
      <w:start w:val="7"/>
    </w:lvl>
  </w:abstractNum>
  <w:abstractNum w:abstractNumId="19">
    <w:nsid w:val="579478FE"/>
    <w:multiLevelType w:val="hybridMultilevel"/>
    <w:lvl w:ilvl="0">
      <w:lvlJc w:val="left"/>
      <w:lvlText w:val="(%1)"/>
      <w:numFmt w:val="lowerLetter"/>
      <w:start w:val="8"/>
    </w:lvl>
  </w:abstractNum>
  <w:abstractNum w:abstractNumId="20">
    <w:nsid w:val="749ABB43"/>
    <w:multiLevelType w:val="hybridMultilevel"/>
    <w:lvl w:ilvl="0">
      <w:lvlJc w:val="left"/>
      <w:lvlText w:val="(%1)"/>
      <w:numFmt w:val="lowerRoman"/>
      <w:start w:val="1"/>
    </w:lvl>
  </w:abstractNum>
  <w:abstractNum w:abstractNumId="21">
    <w:nsid w:val="3DC240FB"/>
    <w:multiLevelType w:val="hybridMultilevel"/>
    <w:lvl w:ilvl="0">
      <w:lvlJc w:val="left"/>
      <w:lvlText w:val="(%1)"/>
      <w:numFmt w:val="lowerLetter"/>
      <w:start w:val="10"/>
    </w:lvl>
  </w:abstractNum>
  <w:abstractNum w:abstractNumId="22">
    <w:nsid w:val="1BA026FA"/>
    <w:multiLevelType w:val="hybridMultilevel"/>
    <w:lvl w:ilvl="0">
      <w:lvlJc w:val="left"/>
      <w:lvlText w:val="(%1)"/>
      <w:numFmt w:val="lowerLetter"/>
      <w:start w:val="11"/>
    </w:lvl>
  </w:abstractNum>
  <w:abstractNum w:abstractNumId="23">
    <w:nsid w:val="79A1DEAA"/>
    <w:multiLevelType w:val="hybridMultilevel"/>
    <w:lvl w:ilvl="0">
      <w:lvlJc w:val="left"/>
      <w:lvlText w:val="(%1)"/>
      <w:numFmt w:val="lowerLetter"/>
      <w:start w:val="12"/>
    </w:lvl>
  </w:abstractNum>
  <w:abstractNum w:abstractNumId="24">
    <w:nsid w:val="75C6C33A"/>
    <w:multiLevelType w:val="hybridMultilevel"/>
    <w:lvl w:ilvl="0">
      <w:lvlJc w:val="left"/>
      <w:lvlText w:val="(%1)"/>
      <w:numFmt w:val="lowerLetter"/>
      <w:start w:val="14"/>
    </w:lvl>
  </w:abstractNum>
  <w:abstractNum w:abstractNumId="25">
    <w:nsid w:val="12E685FB"/>
    <w:multiLevelType w:val="hybridMultilevel"/>
    <w:lvl w:ilvl="0">
      <w:lvlJc w:val="left"/>
      <w:lvlText w:val="(%1)"/>
      <w:numFmt w:val="lowerLetter"/>
      <w:start w:val="15"/>
    </w:lvl>
  </w:abstractNum>
  <w:abstractNum w:abstractNumId="26">
    <w:nsid w:val="70C6A529"/>
    <w:multiLevelType w:val="hybridMultilevel"/>
    <w:lvl w:ilvl="0">
      <w:lvlJc w:val="left"/>
      <w:lvlText w:val="(%1)"/>
      <w:numFmt w:val="lowerLetter"/>
      <w:start w:val="16"/>
    </w:lvl>
  </w:abstractNum>
  <w:abstractNum w:abstractNumId="27">
    <w:nsid w:val="520EEDD1"/>
    <w:multiLevelType w:val="hybridMultilevel"/>
    <w:lvl w:ilvl="0">
      <w:lvlJc w:val="left"/>
      <w:lvlText w:val="(%1)"/>
      <w:numFmt w:val="lowerLetter"/>
      <w:start w:val="17"/>
    </w:lvl>
  </w:abstractNum>
  <w:abstractNum w:abstractNumId="28">
    <w:nsid w:val="374A3FE6"/>
    <w:multiLevelType w:val="hybridMultilevel"/>
    <w:lvl w:ilvl="0">
      <w:lvlJc w:val="left"/>
      <w:lvlText w:val="(%1)"/>
      <w:numFmt w:val="lowerLetter"/>
      <w:start w:val="18"/>
    </w:lvl>
  </w:abstractNum>
  <w:abstractNum w:abstractNumId="29">
    <w:nsid w:val="4F4EF005"/>
    <w:multiLevelType w:val="hybridMultilevel"/>
    <w:lvl w:ilvl="0">
      <w:lvlJc w:val="left"/>
      <w:lvlText w:val="(%1)"/>
      <w:numFmt w:val="lowerLetter"/>
      <w:start w:val="19"/>
    </w:lvl>
  </w:abstractNum>
  <w:abstractNum w:abstractNumId="30">
    <w:nsid w:val="23F9C13C"/>
    <w:multiLevelType w:val="hybridMultilevel"/>
    <w:lvl w:ilvl="0">
      <w:lvlJc w:val="left"/>
      <w:lvlText w:val="(%1)"/>
      <w:numFmt w:val="lowerLetter"/>
      <w:start w:val="20"/>
    </w:lvl>
  </w:abstractNum>
  <w:abstractNum w:abstractNumId="31">
    <w:nsid w:val="649BB77C"/>
    <w:multiLevelType w:val="hybridMultilevel"/>
    <w:lvl w:ilvl="0">
      <w:lvlJc w:val="left"/>
      <w:lvlText w:val="(%1)"/>
      <w:numFmt w:val="lowerLetter"/>
      <w:start w:val="21"/>
    </w:lvl>
  </w:abstractNum>
  <w:abstractNum w:abstractNumId="32">
    <w:nsid w:val="275AC794"/>
    <w:multiLevelType w:val="hybridMultilevel"/>
    <w:lvl w:ilvl="0">
      <w:lvlJc w:val="left"/>
      <w:lvlText w:val="(%1)"/>
      <w:numFmt w:val="lowerRoman"/>
      <w:start w:val="5"/>
    </w:lvl>
  </w:abstractNum>
  <w:abstractNum w:abstractNumId="33">
    <w:nsid w:val="39386575"/>
    <w:multiLevelType w:val="hybridMultilevel"/>
    <w:lvl w:ilvl="0">
      <w:lvlJc w:val="left"/>
      <w:lvlText w:val="(%1)"/>
      <w:numFmt w:val="lowerLetter"/>
      <w:start w:val="23"/>
    </w:lvl>
  </w:abstractNum>
  <w:abstractNum w:abstractNumId="34">
    <w:nsid w:val="1CF10FD8"/>
    <w:multiLevelType w:val="hybridMultilevel"/>
    <w:lvl w:ilvl="0">
      <w:lvlJc w:val="left"/>
      <w:lvlText w:val="(%1)"/>
      <w:numFmt w:val="lowerRoman"/>
      <w:start w:val="10"/>
    </w:lvl>
  </w:abstractNum>
  <w:abstractNum w:abstractNumId="35">
    <w:nsid w:val="180115BE"/>
    <w:multiLevelType w:val="hybridMultilevel"/>
    <w:lvl w:ilvl="0">
      <w:lvlJc w:val="left"/>
      <w:lvlText w:val="(%1)"/>
      <w:numFmt w:val="lowerLetter"/>
      <w:start w:val="25"/>
    </w:lvl>
  </w:abstractNum>
  <w:abstractNum w:abstractNumId="36">
    <w:nsid w:val="235BA861"/>
    <w:multiLevelType w:val="hybridMultilevel"/>
    <w:lvl w:ilvl="0">
      <w:lvlJc w:val="left"/>
      <w:lvlText w:val="(%1)"/>
      <w:numFmt w:val="lowerLetter"/>
      <w:start w:val="26"/>
    </w:lvl>
  </w:abstractNum>
  <w:abstractNum w:abstractNumId="37">
    <w:nsid w:val="47398C89"/>
    <w:multiLevelType w:val="hybridMultilevel"/>
    <w:lvl w:ilvl="0">
      <w:lvlJc w:val="left"/>
      <w:lvlText w:val="(%1)"/>
      <w:numFmt w:val="decimal"/>
      <w:start w:val="3"/>
    </w:lvl>
  </w:abstractNum>
  <w:abstractNum w:abstractNumId="38">
    <w:nsid w:val="354FE9F9"/>
    <w:multiLevelType w:val="hybridMultilevel"/>
    <w:lvl w:ilvl="0">
      <w:lvlJc w:val="left"/>
      <w:lvlText w:val="(%1)"/>
      <w:numFmt w:val="decimal"/>
      <w:start w:val="4"/>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5"/>
    </w:lvl>
  </w:abstractNum>
  <w:abstractNum w:abstractNumId="41">
    <w:nsid w:val="D34B6A8"/>
    <w:multiLevelType w:val="hybridMultilevel"/>
    <w:lvl w:ilvl="0">
      <w:lvlJc w:val="left"/>
      <w:lvlText w:val="(%1)"/>
      <w:numFmt w:val="decimal"/>
      <w:start w:val="6"/>
    </w:lvl>
  </w:abstractNum>
  <w:abstractNum w:abstractNumId="42">
    <w:nsid w:val="10233C99"/>
    <w:multiLevelType w:val="hybridMultilevel"/>
    <w:lvl w:ilvl="0">
      <w:lvlJc w:val="left"/>
      <w:lvlText w:val="(%1)"/>
      <w:numFmt w:val="decimal"/>
      <w:start w:val="7"/>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8"/>
    </w:lvl>
  </w:abstractNum>
  <w:abstractNum w:abstractNumId="48">
    <w:nsid w:val="310C50B3"/>
    <w:multiLevelType w:val="hybridMultilevel"/>
    <w:lvl w:ilvl="0">
      <w:lvlJc w:val="left"/>
      <w:lvlText w:val="(%1)"/>
      <w:numFmt w:val="decimal"/>
      <w:start w:val="9"/>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2"/>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Roman"/>
      <w:start w:val="2"/>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159" Type="http://schemas.openxmlformats.org/officeDocument/2006/relationships/hyperlink" Target="https://www.sec.gov/ix?doc=/Archives/edgar/data/0001838615/000162828024013316/alti-20240327.htm" TargetMode="External"/><Relationship Id="rId160" Type="http://schemas.openxmlformats.org/officeDocument/2006/relationships/hyperlink" Target="https://www.sec.gov/ix?doc=/Archives/edgar/data/0001838615/000162828024023533/alti-20240515.htm" TargetMode="External"/><Relationship Id="rId161" Type="http://schemas.openxmlformats.org/officeDocument/2006/relationships/hyperlink" Target="https://www.sec.gov/ix?doc=/Archives/edgar/data/0001838615/000162828024013885/alti-20240401.htm" TargetMode="External"/><Relationship Id="rId162" Type="http://schemas.openxmlformats.org/officeDocument/2006/relationships/hyperlink" Target="https://www.sec.gov/ix?doc=/Archives/edgar/data/0001838615/000162828024033750/alti-202407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2024-08-09T12:50:19Z</dcterms:created>
  <dcterms:modified xsi:type="dcterms:W3CDTF">2024-08-09T12:50:19Z</dcterms:modified>
</cp:coreProperties>
</file>