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TIEDEMANN ADVISORS, LLC</w:t>
              </w:r>
            </w:hyperlink>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Fortress Net Lease REIT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70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620" w:type="dxa"/>
            <w:vAlign w:val="bottom"/>
            <w:tcBorders>
              <w:bottom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4"/>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68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gridSpan w:val="8"/>
          </w:tcPr>
          <w:p>
            <w:pPr>
              <w:ind w:left="160"/>
              <w:spacing w:after="0"/>
              <w:rPr>
                <w:sz w:val="20"/>
                <w:szCs w:val="20"/>
                <w:color w:val="auto"/>
              </w:rPr>
            </w:pPr>
            <w:r>
              <w:rPr>
                <w:rFonts w:ascii="Times New Roman" w:cs="Times New Roman" w:eastAsia="Times New Roman" w:hAnsi="Times New Roman"/>
                <w:sz w:val="17"/>
                <w:szCs w:val="17"/>
                <w:color w:val="0000FF"/>
              </w:rPr>
              <w:t>02/03/2025</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7"/>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10"/>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tcPr>
          <w:p>
            <w:pPr>
              <w:ind w:left="40"/>
              <w:spacing w:after="0" w:line="189" w:lineRule="exact"/>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6"/>
                <w:szCs w:val="16"/>
                <w:color w:val="auto"/>
              </w:rPr>
            </w:pPr>
          </w:p>
        </w:tc>
        <w:tc>
          <w:tcPr>
            <w:tcW w:w="60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10017</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68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2"/>
          </w:tcPr>
          <w:p>
            <w:pPr>
              <w:jc w:val="right"/>
              <w:ind w:righ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4"/>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94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5"/>
          </w:tcPr>
          <w:p>
            <w:pPr>
              <w:jc w:val="center"/>
              <w:ind w:left="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gridSpan w:val="3"/>
            <w:vMerge w:val="restart"/>
          </w:tcPr>
          <w:p>
            <w:pPr>
              <w:jc w:val="right"/>
              <w:ind w:right="20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02/03/2025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rPr>
              <w:t>1,570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6,492,908</w:t>
            </w: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02/03/2025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6,492,908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02/03/2025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6,492,908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02/03/2025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6,492,908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02/03/2025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6,492,908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02/03/2025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6,492,908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02/03/2025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6,492,908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D Common Shares of Beneficial</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1160" w:type="dxa"/>
            <w:vAlign w:val="bottom"/>
            <w:gridSpan w:val="5"/>
            <w:vMerge w:val="restart"/>
          </w:tcPr>
          <w:p>
            <w:pPr>
              <w:jc w:val="center"/>
              <w:ind w:left="40"/>
              <w:spacing w:after="0"/>
              <w:rPr>
                <w:sz w:val="20"/>
                <w:szCs w:val="20"/>
                <w:color w:val="auto"/>
              </w:rPr>
            </w:pPr>
            <w:r>
              <w:rPr>
                <w:rFonts w:ascii="Times New Roman" w:cs="Times New Roman" w:eastAsia="Times New Roman" w:hAnsi="Times New Roman"/>
                <w:sz w:val="17"/>
                <w:szCs w:val="17"/>
                <w:color w:val="0000FF"/>
              </w:rPr>
              <w:t>02/03/2025</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restart"/>
          </w:tcPr>
          <w:p>
            <w:pPr>
              <w:ind w:left="14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(2)</w:t>
            </w:r>
          </w:p>
        </w:tc>
        <w:tc>
          <w:tcPr>
            <w:tcW w:w="700" w:type="dxa"/>
            <w:vAlign w:val="bottom"/>
            <w:vMerge w:val="restart"/>
          </w:tcPr>
          <w:p>
            <w:pPr>
              <w:jc w:val="center"/>
              <w:ind w:left="105"/>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40" w:type="dxa"/>
            <w:vAlign w:val="bottom"/>
            <w:gridSpan w:val="3"/>
            <w:vMerge w:val="restart"/>
          </w:tcPr>
          <w:p>
            <w:pPr>
              <w:jc w:val="right"/>
              <w:ind w:right="80"/>
              <w:spacing w:after="0" w:line="213" w:lineRule="exact"/>
              <w:rPr>
                <w:sz w:val="20"/>
                <w:szCs w:val="20"/>
                <w:color w:val="auto"/>
              </w:rPr>
            </w:pPr>
            <w:r>
              <w:rPr>
                <w:rFonts w:ascii="Arial" w:cs="Arial" w:eastAsia="Arial" w:hAnsi="Arial"/>
                <w:sz w:val="24"/>
                <w:szCs w:val="24"/>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6,492,908</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Interest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jc w:val="right"/>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20" w:type="dxa"/>
            <w:vAlign w:val="bottom"/>
            <w:gridSpan w:val="17"/>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TIEDEMANN ADVISORS,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20"/>
              <w:spacing w:after="0"/>
              <w:rPr>
                <w:sz w:val="20"/>
                <w:szCs w:val="20"/>
                <w:color w:val="auto"/>
              </w:rPr>
            </w:pPr>
            <w:r>
              <w:rPr>
                <w:rFonts w:ascii="Arial" w:cs="Arial" w:eastAsia="Arial" w:hAnsi="Arial"/>
                <w:sz w:val="13"/>
                <w:szCs w:val="13"/>
                <w:color w:val="auto"/>
              </w:rPr>
              <w:t>(First)</w:t>
            </w:r>
          </w:p>
        </w:tc>
        <w:tc>
          <w:tcPr>
            <w:tcW w:w="1820" w:type="dxa"/>
            <w:vAlign w:val="bottom"/>
          </w:tcPr>
          <w:p>
            <w:pPr>
              <w:ind w:left="4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8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2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20"/>
              <w:spacing w:after="0"/>
              <w:rPr>
                <w:sz w:val="20"/>
                <w:szCs w:val="20"/>
                <w:color w:val="auto"/>
              </w:rPr>
            </w:pPr>
            <w:r>
              <w:rPr>
                <w:rFonts w:ascii="Arial" w:cs="Arial" w:eastAsia="Arial" w:hAnsi="Arial"/>
                <w:sz w:val="13"/>
                <w:szCs w:val="13"/>
                <w:color w:val="auto"/>
              </w:rPr>
              <w:t>(State)</w:t>
            </w:r>
          </w:p>
        </w:tc>
        <w:tc>
          <w:tcPr>
            <w:tcW w:w="182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TTC MULTI-STRATEGY FUND QP,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Tiedemann Advisors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AlTi Wealth Management Holdings,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AlTi Global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AlTi Global Topco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79"/>
          </w:cols>
          <w:pgMar w:left="480" w:top="111"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79"/>
          </w:cols>
          <w:pgMar w:left="480" w:top="111"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456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09240" cy="345630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AlTI Global Capital, LLC</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ALTI GLOBAL, INC.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AlTi Global,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22 VANDERBILT AVENUE, 27TH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Tiedemann Advisors, LLC ("Tiedemann") and may be deemed to be beneficially owned by each of: (i) TTC Multi-Strategy Fund QP, LP, a private investment fund for which Tiedemann serves as the investment manager ("TTC Fund"); (ii) Tiedemann Advisors GP, LLC, as general partner of the TTC Fund; and (iii) each of the following parent companies of Tiedemann, (A) AlTi Wealth &amp; Capital Solutions Holdings, LLC; (B) AlTi Global Holdings, LLC; (C) AlTi Global Topco Limited; (D) AlTi Global Capital, LLC; and (E) AlTi Global, Inc. (collectively, the "Reporting Persons"). Each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acquired these Class D Common Shares of Beneficial Interest, par value $0.01 per share (the "Class D Shares") via an automatic conversion by the Issuer of shares of another class of the Issuer's securities beneficially owned by the Reporting Persons pursuant to the application of a fee waiver by the Issuer. No consideration was paid by any of the Reporting Persons for the additional Class D Shares acquired by them pursuant to such conversion.</w:t>
      </w:r>
    </w:p>
    <w:p>
      <w:pPr>
        <w:sectPr>
          <w:pgSz w:w="11900" w:h="16838" w:orient="portrait"/>
          <w:cols w:equalWidth="0" w:num="1">
            <w:col w:w="10840"/>
          </w:cols>
          <w:pgMar w:left="480" w:top="176" w:right="579" w:bottom="1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Tiedemann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058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2058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Whitney 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47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Lewis,Name: Whitney 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3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Lewis,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0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TTC Multi-Strategy Fund QP,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0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/s/ Whitney 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55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Lewis, Name: Whitney Fogle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Lewis,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01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Tiedemann Advisors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62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Whitney Fogle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85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Whitney Fogle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22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Wealth &amp;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982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Solutions Holdings,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33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Colleen Graham,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3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3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Global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515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Colleen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93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1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Global Topco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50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Colleen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93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1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Global Capital,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25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Colleen Graham,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3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03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34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AlTi Global,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991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Colleen Graham,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718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Colleen Graham,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3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20" w:space="40"/>
            <w:col w:w="2080"/>
          </w:cols>
          <w:pgMar w:left="480" w:top="176" w:right="579" w:bottom="1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76" w:right="579" w:bottom="1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2"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13" Type="http://schemas.openxmlformats.org/officeDocument/2006/relationships/hyperlink" Target="http://www.sec.gov/cgi-bin/browse-edgar?action=getcompany&amp;CIK=0001483232" TargetMode="External"/><Relationship Id="rId14" Type="http://schemas.openxmlformats.org/officeDocument/2006/relationships/hyperlink" Target="http://www.sec.gov/cgi-bin/browse-edgar?action=getcompany&amp;CIK=0001966394" TargetMode="External"/><Relationship Id="rId17" Type="http://schemas.openxmlformats.org/officeDocument/2006/relationships/hyperlink" Target="http://www.sec.gov/cgi-bin/browse-edgar?action=getcompany&amp;CIK=0001452337" TargetMode="External"/><Relationship Id="rId18" Type="http://schemas.openxmlformats.org/officeDocument/2006/relationships/hyperlink" Target="http://www.sec.gov/cgi-bin/browse-edgar?action=getcompany&amp;CIK=0002046647" TargetMode="External"/><Relationship Id="rId19" Type="http://schemas.openxmlformats.org/officeDocument/2006/relationships/hyperlink" Target="http://www.sec.gov/cgi-bin/browse-edgar?action=getcompany&amp;CIK=0001972890" TargetMode="External"/><Relationship Id="rId20" Type="http://schemas.openxmlformats.org/officeDocument/2006/relationships/hyperlink" Target="http://www.sec.gov/cgi-bin/browse-edgar?action=getcompany&amp;CIK=0002046392" TargetMode="External"/><Relationship Id="rId21" Type="http://schemas.openxmlformats.org/officeDocument/2006/relationships/hyperlink" Target="http://www.sec.gov/cgi-bin/browse-edgar?action=getcompany&amp;CIK=0002046393" TargetMode="External"/><Relationship Id="rId23" Type="http://schemas.openxmlformats.org/officeDocument/2006/relationships/hyperlink" Target="http://www.sec.gov/cgi-bin/browse-edgar?action=getcompany&amp;CIK=0002046389" TargetMode="External"/><Relationship Id="rId24" Type="http://schemas.openxmlformats.org/officeDocument/2006/relationships/hyperlink" Target="http://www.sec.gov/cgi-bin/browse-edgar?action=getcompany&amp;CIK=0001838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2025-02-21T19:28:23Z</dcterms:created>
  <dcterms:modified xsi:type="dcterms:W3CDTF">2025-02-21T19:28:23Z</dcterms:modified>
</cp:coreProperties>
</file>