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734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73456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Bouzarif Ali</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ALTI GLOBAL,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 VANDERBILT AVE, 27TH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AlTi Global,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ALTI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06/13/2025</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4"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06/16/2025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2280" w:type="dxa"/>
            <w:vAlign w:val="bottom"/>
            <w:gridSpan w:val="5"/>
            <w:vMerge w:val="restart"/>
          </w:tcPr>
          <w:p>
            <w:pPr>
              <w:ind w:left="1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80" w:type="dxa"/>
            <w:vAlign w:val="bottom"/>
            <w:gridSpan w:val="5"/>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10017</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5"/>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06/13/2025</w:t>
            </w: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22,312.37</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rPr>
              <w:t>53,787.31</w:t>
            </w:r>
            <w:r>
              <w:rPr>
                <w:rFonts w:ascii="Times New Roman" w:cs="Times New Roman" w:eastAsia="Times New Roman" w:hAnsi="Times New Roman"/>
                <w:sz w:val="20"/>
                <w:szCs w:val="20"/>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jc w:val="center"/>
              <w:ind w:right="203"/>
              <w:spacing w:after="0"/>
              <w:rPr>
                <w:sz w:val="20"/>
                <w:szCs w:val="20"/>
                <w:color w:val="auto"/>
              </w:rPr>
            </w:pPr>
            <w:r>
              <w:rPr>
                <w:rFonts w:ascii="Times New Roman" w:cs="Times New Roman" w:eastAsia="Times New Roman" w:hAnsi="Times New Roman"/>
                <w:sz w:val="16"/>
                <w:szCs w:val="16"/>
                <w:color w:val="0000FF"/>
              </w:rPr>
              <w:t>748,298</w:t>
            </w:r>
            <w:r>
              <w:rPr>
                <w:rFonts w:ascii="Times New Roman" w:cs="Times New Roman" w:eastAsia="Times New Roman" w:hAnsi="Times New Roman"/>
                <w:sz w:val="20"/>
                <w:szCs w:val="20"/>
                <w:color w:val="008000"/>
                <w:vertAlign w:val="superscript"/>
              </w:rPr>
              <w:t>(2)</w:t>
            </w:r>
          </w:p>
        </w:tc>
        <w:tc>
          <w:tcPr>
            <w:tcW w:w="340" w:type="dxa"/>
            <w:vAlign w:val="bottom"/>
          </w:tcPr>
          <w:p>
            <w:pPr>
              <w:spacing w:after="0"/>
              <w:rPr>
                <w:sz w:val="20"/>
                <w:szCs w:val="20"/>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gridSpan w:val="14"/>
          </w:tcPr>
          <w:p>
            <w:pPr>
              <w:jc w:val="right"/>
              <w:ind w:righ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22,312.37</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06/13/2025</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22,312.37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right"/>
              <w:ind w:righ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1"/>
                <w:szCs w:val="11"/>
                <w:color w:val="auto"/>
              </w:rPr>
            </w:pPr>
          </w:p>
        </w:tc>
        <w:tc>
          <w:tcPr>
            <w:tcW w:w="52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AlTi Global Inc. Class A Common Stock.</w:t>
      </w:r>
    </w:p>
    <w:p>
      <w:pPr>
        <w:spacing w:after="0" w:line="38" w:lineRule="exact"/>
        <w:rPr>
          <w:rFonts w:ascii="Times New Roman" w:cs="Times New Roman" w:eastAsia="Times New Roman" w:hAnsi="Times New Roman"/>
          <w:sz w:val="13"/>
          <w:szCs w:val="13"/>
          <w:color w:val="008000"/>
        </w:rPr>
      </w:pPr>
    </w:p>
    <w:p>
      <w:pPr>
        <w:ind w:left="40" w:right="3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is being filed solely to correct an administrative error on the numbers of securities beneficially owned following the reported transaction of the Reporting Person on June 13, 2025 in the Form 4 filed by the Reporting Person on June 16, 2025.</w:t>
      </w:r>
    </w:p>
    <w:p>
      <w:pPr>
        <w:spacing w:after="0" w:line="22" w:lineRule="exact"/>
        <w:rPr>
          <w:rFonts w:ascii="Times New Roman" w:cs="Times New Roman" w:eastAsia="Times New Roman" w:hAnsi="Times New Roman"/>
          <w:sz w:val="13"/>
          <w:szCs w:val="13"/>
          <w:color w:val="008000"/>
        </w:rPr>
      </w:pPr>
    </w:p>
    <w:p>
      <w:pPr>
        <w:ind w:left="40" w:right="200" w:hanging="2"/>
        <w:spacing w:after="0" w:line="308"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securities held by MERCYAH B.V. MERCYAH B.V. is controlled by Ali Bouzarif. Consequently, Mr. Bouzarif may be deemed to share voting and dispositive control over the securities held by MERCYAH B.V., and thus to share beneficial ownership of such securities. Mr. Bouzarif disclaims beneficial ownership of the securities held by MERCYAH B.V., except to the extent of his pecuniary interest therein.</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whole on the earlier of (i) the business day immediately prior to AlTi Global Inc.'s 2025 annual general meeting or (ii) June 30, 2025.</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Colleen Graham, Attorney-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07/30/2025</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5"/>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8682" TargetMode="External"/><Relationship Id="rId14"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2025-07-30T15:41:13Z</dcterms:created>
  <dcterms:modified xsi:type="dcterms:W3CDTF">2025-07-30T15:41:13Z</dcterms:modified>
</cp:coreProperties>
</file>