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TIEDEMANN ADVISORS, LLC</w:t>
              </w:r>
            </w:hyperlink>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Fortress Net Lease REIT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6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2"/>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rPr>
              <w:t>2,734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6,495,642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jc w:val="right"/>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20" w:type="dxa"/>
            <w:vAlign w:val="bottom"/>
            <w:gridSpan w:val="17"/>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TIEDEMANN ADVISORS,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TTC MULTI-STRATEGY FUND QP,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Tiedemann Advisors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AlTi Wealth Management Holdings,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AlTi Global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AlTi Global Topco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45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345630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AlTI Global Capital,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AlTi Global,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Tiedemann Advisors, LLC ("Tiedemann") and may be deemed to be beneficially owned by each of: (i) TTC Multi-Strategy Fund QP, LP, a private investment fund for which Tiedemann serves as the investment manager ("TTC Fund"); (ii) Tiedemann Advisors GP, LLC, as general partner of the TTC Fund; and (iii) each of the following parent companies of Tiedemann, (A) AlTi Wealth &amp; Capital Solutions Holdings, LLC; (B) AlTi Global Holdings, LLC; (C) AlTi Global Topco Limited; (D) AlTi Global Capital, LLC; and (E) AlTi Global, Inc. (collectively, the "Reporting Persons").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acquired these Class D Common Shares of Beneficial Interest, par value $0.01 per share (the "Class D Shares") via an automatic conversion by the Issuer of shares of another class of the Issuer's securities beneficially owned by the Reporting Persons pursuant to the application of a fee waiver by the Issuer. No consideration was paid by any of the Reporting Persons for the additional Class D Shares acquired by them pursuant to such conversion.</w:t>
      </w:r>
    </w:p>
    <w:p>
      <w:pPr>
        <w:sectPr>
          <w:pgSz w:w="11900" w:h="16838" w:orient="portrait"/>
          <w:cols w:equalWidth="0" w:num="1">
            <w:col w:w="10840"/>
          </w:cols>
          <w:pgMar w:left="480" w:top="176" w:right="579" w:bottom="1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Tiedemann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4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Lewis,Name: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0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TTC Multi-Strategy Fund QP,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/s/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5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Name: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0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Tiedemann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62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Whitney Fogle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Whitney Fogle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Wealth &amp;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98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Solutions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33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1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Topco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5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1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2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991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1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20" w:space="40"/>
            <w:col w:w="2080"/>
          </w:cols>
          <w:pgMar w:left="480" w:top="176" w:right="579" w:bottom="1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76" w:right="57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13" Type="http://schemas.openxmlformats.org/officeDocument/2006/relationships/hyperlink" Target="http://www.sec.gov/cgi-bin/browse-edgar?action=getcompany&amp;CIK=0001483232" TargetMode="External"/><Relationship Id="rId14" Type="http://schemas.openxmlformats.org/officeDocument/2006/relationships/hyperlink" Target="http://www.sec.gov/cgi-bin/browse-edgar?action=getcompany&amp;CIK=0001966394" TargetMode="External"/><Relationship Id="rId17" Type="http://schemas.openxmlformats.org/officeDocument/2006/relationships/hyperlink" Target="http://www.sec.gov/cgi-bin/browse-edgar?action=getcompany&amp;CIK=0001452337" TargetMode="External"/><Relationship Id="rId18" Type="http://schemas.openxmlformats.org/officeDocument/2006/relationships/hyperlink" Target="http://www.sec.gov/cgi-bin/browse-edgar?action=getcompany&amp;CIK=0002046647" TargetMode="External"/><Relationship Id="rId19" Type="http://schemas.openxmlformats.org/officeDocument/2006/relationships/hyperlink" Target="http://www.sec.gov/cgi-bin/browse-edgar?action=getcompany&amp;CIK=0001972890" TargetMode="External"/><Relationship Id="rId20" Type="http://schemas.openxmlformats.org/officeDocument/2006/relationships/hyperlink" Target="http://www.sec.gov/cgi-bin/browse-edgar?action=getcompany&amp;CIK=0002046392" TargetMode="External"/><Relationship Id="rId21" Type="http://schemas.openxmlformats.org/officeDocument/2006/relationships/hyperlink" Target="http://www.sec.gov/cgi-bin/browse-edgar?action=getcompany&amp;CIK=0002046393" TargetMode="External"/><Relationship Id="rId23" Type="http://schemas.openxmlformats.org/officeDocument/2006/relationships/hyperlink" Target="http://www.sec.gov/cgi-bin/browse-edgar?action=getcompany&amp;CIK=0002046389" TargetMode="External"/><Relationship Id="rId2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2025-03-31T18:59:10Z</dcterms:created>
  <dcterms:modified xsi:type="dcterms:W3CDTF">2025-03-31T18:59:10Z</dcterms:modified>
</cp:coreProperties>
</file>