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AlTi Global,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001-40103</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92-1552220</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860" w:space="720"/>
            <w:col w:w="2720" w:space="720"/>
            <w:col w:w="3220"/>
          </w:cols>
          <w:pgMar w:left="320" w:top="516" w:right="339" w:bottom="1440" w:gutter="0" w:footer="0" w:header="0"/>
          <w:type w:val="continuous"/>
        </w:sectPr>
      </w:pPr>
    </w:p>
    <w:p>
      <w:pPr>
        <w:spacing w:after="0" w:line="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22 Vanderbilt Ave., 27th Floor New York, New York</w:t>
      </w:r>
    </w:p>
    <w:p>
      <w:pPr>
        <w:spacing w:after="0" w:line="43"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10017</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9" w:lineRule="exact"/>
        <w:rPr>
          <w:sz w:val="24"/>
          <w:szCs w:val="24"/>
          <w:color w:val="auto"/>
        </w:rPr>
      </w:pPr>
    </w:p>
    <w:p>
      <w:pPr>
        <w:sectPr>
          <w:pgSz w:w="11900" w:h="16838" w:orient="portrait"/>
          <w:cols w:equalWidth="0" w:num="2">
            <w:col w:w="7360" w:space="720"/>
            <w:col w:w="3160"/>
          </w:cols>
          <w:pgMar w:left="320" w:top="516"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396-5900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516" w:right="339" w:bottom="1440" w:gutter="0" w:footer="0" w:header="0"/>
          <w:type w:val="continuous"/>
        </w:sect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386"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94"/>
        </w:trPr>
        <w:tc>
          <w:tcPr>
            <w:tcW w:w="5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57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5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60" w:type="dxa"/>
            <w:vAlign w:val="bottom"/>
          </w:tcPr>
          <w:p>
            <w:pPr>
              <w:spacing w:after="0"/>
              <w:rPr>
                <w:sz w:val="20"/>
                <w:szCs w:val="20"/>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ALTI</w:t>
            </w:r>
          </w:p>
        </w:tc>
        <w:tc>
          <w:tcPr>
            <w:tcW w:w="80" w:type="dxa"/>
            <w:vAlign w:val="bottom"/>
          </w:tcPr>
          <w:p>
            <w:pPr>
              <w:spacing w:after="0"/>
              <w:rPr>
                <w:sz w:val="20"/>
                <w:szCs w:val="20"/>
                <w:color w:val="auto"/>
              </w:rPr>
            </w:pPr>
          </w:p>
        </w:tc>
        <w:tc>
          <w:tcPr>
            <w:tcW w:w="2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2.05.</w:t>
        <w:tab/>
        <w:t>Costs Associated with Exit or Disposal Activities.</w:t>
      </w:r>
    </w:p>
    <w:p>
      <w:pPr>
        <w:spacing w:after="0" w:line="188" w:lineRule="exact"/>
        <w:rPr>
          <w:sz w:val="20"/>
          <w:szCs w:val="20"/>
          <w:color w:val="auto"/>
        </w:rPr>
      </w:pPr>
    </w:p>
    <w:p>
      <w:pPr>
        <w:jc w:val="both"/>
        <w:ind w:right="20"/>
        <w:spacing w:after="0" w:line="236" w:lineRule="exact"/>
        <w:rPr>
          <w:sz w:val="20"/>
          <w:szCs w:val="20"/>
          <w:color w:val="auto"/>
        </w:rPr>
      </w:pPr>
      <w:r>
        <w:rPr>
          <w:rFonts w:ascii="Times New Roman" w:cs="Times New Roman" w:eastAsia="Times New Roman" w:hAnsi="Times New Roman"/>
          <w:sz w:val="18"/>
          <w:szCs w:val="18"/>
          <w:color w:val="auto"/>
        </w:rPr>
        <w:t>On July 10, 2025, the Board of Directors (the “Board”) of AlTi Global, Inc. (the “Company”) approved a plan to conduct an orderly wind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of 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core International Real Estate (“IRE”) business. The decision follows a comprehensive strategic review undertaken to evaluate all viable alternatives for the IRE business.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anticipates that the wind-down will commence on or about July 11, 2025 and is expected to be substantially complete by December 2027.</w:t>
      </w:r>
    </w:p>
    <w:p>
      <w:pPr>
        <w:spacing w:after="0" w:line="225"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At this time, the Company is unable in good faith to determine an estimate or range of estimates for each major cost and impairment charges that it expects to incur in connection with the wind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down. The Company will file an amendment to this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within four business days after it determines such estimates or ranges of estimates.</w:t>
      </w:r>
    </w:p>
    <w:p>
      <w:pPr>
        <w:spacing w:after="0" w:line="19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2.06.</w:t>
      </w:r>
      <w:r>
        <w:rPr>
          <w:sz w:val="20"/>
          <w:szCs w:val="20"/>
          <w:color w:val="auto"/>
        </w:rPr>
        <w:tab/>
      </w:r>
      <w:r>
        <w:rPr>
          <w:rFonts w:ascii="Times New Roman" w:cs="Times New Roman" w:eastAsia="Times New Roman" w:hAnsi="Times New Roman"/>
          <w:sz w:val="17"/>
          <w:szCs w:val="17"/>
          <w:b w:val="1"/>
          <w:bCs w:val="1"/>
          <w:color w:val="auto"/>
        </w:rPr>
        <w:t>Material Impairment.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2.05 is incorporated by reference herein.</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Forward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“safe harbor” provisions of the United States Private Securities Litigation Reform Act of 1995. These forward-looking statements include, but are not limited to, statements regarding the Company’s plans to wind down the IRE business, the expected impacts and timing of such actions. These forward-looking statements are not guarantees of future performance and are subject to a number of risks and uncertainties, many of which are difficult to predict and beyond the Company’s control. The Company’s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Important assumptions and other important factors that could cause actual results to differ materially from those forward-looking statements include, but are not limited to, those factors, risks and uncertainties described above and in more detail under the heading “Risk Factors” in the Company’s Annual Report on Form 10-K, filed with the SEC on March 17, 2025.</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11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jc w:val="right"/>
        <w:ind w:right="3880"/>
        <w:spacing w:after="0" w:line="271" w:lineRule="auto"/>
        <w:rPr>
          <w:sz w:val="20"/>
          <w:szCs w:val="20"/>
          <w:color w:val="auto"/>
        </w:rPr>
      </w:pPr>
      <w:r>
        <w:rPr>
          <w:rFonts w:ascii="Times New Roman" w:cs="Times New Roman" w:eastAsia="Times New Roman" w:hAnsi="Times New Roman"/>
          <w:sz w:val="18"/>
          <w:szCs w:val="18"/>
          <w:color w:val="auto"/>
        </w:rPr>
        <w:t xml:space="preserve">Date: July 11, 2025                                              </w:t>
      </w:r>
      <w:r>
        <w:rPr>
          <w:rFonts w:ascii="Times New Roman" w:cs="Times New Roman" w:eastAsia="Times New Roman" w:hAnsi="Times New Roman"/>
          <w:sz w:val="18"/>
          <w:szCs w:val="18"/>
          <w:b w:val="1"/>
          <w:bCs w:val="1"/>
          <w:color w:val="auto"/>
        </w:rPr>
        <w:t>ALTI GLOBAL, INC.</w:t>
      </w:r>
      <w:r>
        <w:rPr>
          <w:rFonts w:ascii="Times New Roman" w:cs="Times New Roman" w:eastAsia="Times New Roman" w:hAnsi="Times New Roman"/>
          <w:sz w:val="18"/>
          <w:szCs w:val="18"/>
          <w:color w:val="auto"/>
        </w:rPr>
        <w:t xml:space="preserve"> /s/ Michael Tiedemann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148590</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Tiedemann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2025-07-11T08:19:01Z</dcterms:created>
  <dcterms:modified xsi:type="dcterms:W3CDTF">2025-07-11T08:19:01Z</dcterms:modified>
</cp:coreProperties>
</file>