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001-40103</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AlTi Global,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655" w:type="dxa"/>
        <w:jc w:val="left"/>
        <w:tblInd w:w="0" w:type="dxa"/>
        <w:tblLayout w:type="fixed"/>
        <w:tblCellMar>
          <w:top w:w="28" w:type="dxa"/>
          <w:left w:w="28" w:type="dxa"/>
          <w:bottom w:w="28" w:type="dxa"/>
          <w:right w:w="28" w:type="dxa"/>
        </w:tblCellMar>
      </w:tblPr>
      <w:tblGrid>
        <w:gridCol w:w="2016"/>
        <w:gridCol w:w="1775"/>
        <w:gridCol w:w="1789"/>
        <w:gridCol w:w="897"/>
        <w:gridCol w:w="897"/>
        <w:gridCol w:w="1281"/>
      </w:tblGrid>
      <w:tr>
        <w:trPr/>
        <w:tc>
          <w:tcPr>
            <w:tcW w:w="201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Delaware</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92-1552220</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2"/>
              </w:rPr>
              <w:t>22 Vanderbilt Avenue, 27th Floor New York</w:t>
            </w:r>
            <w:r>
              <w:rPr>
                <w:rFonts w:ascii="Times New Roman;serif" w:hAnsi="Times New Roman;serif"/>
                <w:b/>
                <w:color w:val="000000"/>
                <w:sz w:val="20"/>
              </w:rPr>
              <w:t xml:space="preserve">, </w:t>
            </w:r>
            <w:r>
              <w:rPr>
                <w:rFonts w:ascii="Times New Roman;serif" w:hAnsi="Times New Roman;serif"/>
                <w:b/>
                <w:color w:val="000000"/>
                <w:sz w:val="22"/>
              </w:rPr>
              <w:t>New York</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396-5900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ALTI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Nasdaq Capital Market</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19"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102,464,812 shares of Class A Common Stock (as defined herein) and 44,188,561 shares of Class B Common Stock (as defined herein) as of November 7,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24"/>
        <w:gridCol w:w="3081"/>
        <w:gridCol w:w="3088"/>
        <w:gridCol w:w="148"/>
        <w:gridCol w:w="148"/>
        <w:gridCol w:w="216"/>
      </w:tblGrid>
      <w:tr>
        <w:trPr/>
        <w:tc>
          <w:tcPr>
            <w:tcW w:w="3524"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3">
              <w:r>
                <w:rPr>
                  <w:rStyle w:val="InternetLink"/>
                  <w:rFonts w:ascii="Times New Roman;serif" w:hAnsi="Times New Roman;serif"/>
                  <w:b w:val="false"/>
                  <w:strike w:val="false"/>
                  <w:dstrike w:val="false"/>
                  <w:color w:val="000000"/>
                  <w:sz w:val="22"/>
                  <w:u w:val="none"/>
                  <w:effect w:val="none"/>
                </w:rPr>
                <w:t>Part I Financial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3">
              <w:r>
                <w:rPr>
                  <w:rStyle w:val="InternetLink"/>
                  <w:rFonts w:ascii="Times New Roman;serif" w:hAnsi="Times New Roman;serif"/>
                  <w:b w:val="false"/>
                  <w:strike w:val="false"/>
                  <w:dstrike w:val="false"/>
                  <w:color w:val="000000"/>
                  <w:sz w:val="22"/>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
              <w:r>
                <w:rPr>
                  <w:rStyle w:val="InternetLink"/>
                  <w:rFonts w:ascii="Times New Roman;serif" w:hAnsi="Times New Roman;serif"/>
                  <w:b w:val="false"/>
                  <w:strike w:val="false"/>
                  <w:dstrike w:val="false"/>
                  <w:color w:val="000000"/>
                  <w:sz w:val="22"/>
                  <w:u w:val="none"/>
                  <w:effect w:val="none"/>
                </w:rPr>
                <w:t>Item 1. 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
              <w:r>
                <w:rPr>
                  <w:rStyle w:val="InternetLink"/>
                  <w:rFonts w:ascii="Times New Roman;serif" w:hAnsi="Times New Roman;serif"/>
                  <w:b w:val="false"/>
                  <w:strike w:val="false"/>
                  <w:dstrike w:val="false"/>
                  <w:color w:val="000000"/>
                  <w:sz w:val="22"/>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88f9e93bf171436da2f8b72c3e947068_19">
              <w:r>
                <w:rPr>
                  <w:rStyle w:val="InternetLink"/>
                  <w:rFonts w:ascii="Times New Roman;serif" w:hAnsi="Times New Roman;serif"/>
                  <w:b w:val="false"/>
                  <w:strike w:val="false"/>
                  <w:dstrike w:val="false"/>
                  <w:color w:val="000000"/>
                  <w:sz w:val="22"/>
                  <w:u w:val="none"/>
                  <w:effect w:val="none"/>
                </w:rPr>
                <w:t>Consolidated Statement of Financial Position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9">
              <w:r>
                <w:rPr>
                  <w:rStyle w:val="InternetLink"/>
                  <w:rFonts w:ascii="Times New Roman;serif" w:hAnsi="Times New Roman;serif"/>
                  <w:b w:val="false"/>
                  <w:strike w:val="false"/>
                  <w:dstrike w:val="false"/>
                  <w:color w:val="000000"/>
                  <w:sz w:val="22"/>
                  <w:u w:val="none"/>
                  <w:effect w:val="none"/>
                </w:rPr>
                <w:t>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88f9e93bf171436da2f8b72c3e947068_22">
              <w:r>
                <w:rPr>
                  <w:rStyle w:val="InternetLink"/>
                  <w:rFonts w:ascii="Times New Roman;serif" w:hAnsi="Times New Roman;serif"/>
                  <w:b w:val="false"/>
                  <w:strike w:val="false"/>
                  <w:dstrike w:val="false"/>
                  <w:color w:val="000000"/>
                  <w:sz w:val="22"/>
                  <w:u w:val="none"/>
                  <w:effect w:val="none"/>
                </w:rPr>
                <w:t>Consolidated Statement of Operations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22">
              <w:r>
                <w:rPr>
                  <w:rStyle w:val="InternetLink"/>
                  <w:rFonts w:ascii="Times New Roman;serif" w:hAnsi="Times New Roman;serif"/>
                  <w:b w:val="false"/>
                  <w:strike w:val="false"/>
                  <w:dstrike w:val="false"/>
                  <w:color w:val="000000"/>
                  <w:sz w:val="22"/>
                  <w:u w:val="none"/>
                  <w:effect w:val="none"/>
                </w:rPr>
                <w:t>10</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 of Comprehensive Income (Loss) (Unaudited)</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25">
              <w:r>
                <w:rPr>
                  <w:rStyle w:val="InternetLink"/>
                  <w:rFonts w:ascii="Times New Roman;serif" w:hAnsi="Times New Roman;serif"/>
                  <w:b w:val="false"/>
                  <w:strike w:val="false"/>
                  <w:dstrike w:val="false"/>
                  <w:color w:val="000000"/>
                  <w:sz w:val="22"/>
                  <w:u w:val="none"/>
                  <w:effect w:val="none"/>
                </w:rPr>
                <w:t>12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88f9e93bf171436da2f8b72c3e947068_28">
              <w:r>
                <w:rPr>
                  <w:rStyle w:val="InternetLink"/>
                  <w:rFonts w:ascii="Times New Roman;serif" w:hAnsi="Times New Roman;serif"/>
                  <w:b w:val="false"/>
                  <w:strike w:val="false"/>
                  <w:dstrike w:val="false"/>
                  <w:color w:val="000000"/>
                  <w:sz w:val="22"/>
                  <w:u w:val="none"/>
                  <w:effect w:val="none"/>
                </w:rPr>
                <w:t>Consolidated Statement of Changes in Mezzanine Equity and Shareholders’ Equity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28">
              <w:r>
                <w:rPr>
                  <w:rStyle w:val="InternetLink"/>
                  <w:rFonts w:ascii="Times New Roman;serif" w:hAnsi="Times New Roman;serif"/>
                  <w:b w:val="false"/>
                  <w:strike w:val="false"/>
                  <w:dstrike w:val="false"/>
                  <w:color w:val="000000"/>
                  <w:sz w:val="22"/>
                  <w:u w:val="none"/>
                  <w:effect w:val="none"/>
                </w:rPr>
                <w:t>13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88f9e93bf171436da2f8b72c3e947068_31">
              <w:r>
                <w:rPr>
                  <w:rStyle w:val="InternetLink"/>
                  <w:rFonts w:ascii="Times New Roman;serif" w:hAnsi="Times New Roman;serif"/>
                  <w:b w:val="false"/>
                  <w:strike w:val="false"/>
                  <w:dstrike w:val="false"/>
                  <w:color w:val="000000"/>
                  <w:sz w:val="22"/>
                  <w:u w:val="none"/>
                  <w:effect w:val="none"/>
                </w:rPr>
                <w:t>Consolidated Statement of Cash Flows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31">
              <w:r>
                <w:rPr>
                  <w:rStyle w:val="InternetLink"/>
                  <w:rFonts w:ascii="Times New Roman;serif" w:hAnsi="Times New Roman;serif"/>
                  <w:b w:val="false"/>
                  <w:strike w:val="false"/>
                  <w:dstrike w:val="false"/>
                  <w:color w:val="000000"/>
                  <w:sz w:val="22"/>
                  <w:u w:val="none"/>
                  <w:effect w:val="non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34">
              <w:r>
                <w:rPr>
                  <w:rStyle w:val="InternetLink"/>
                  <w:rFonts w:ascii="Times New Roman;serif" w:hAnsi="Times New Roman;serif"/>
                  <w:b w:val="false"/>
                  <w:strike w:val="false"/>
                  <w:dstrike w:val="false"/>
                  <w:color w:val="000000"/>
                  <w:sz w:val="22"/>
                  <w:u w:val="none"/>
                  <w:effect w:val="none"/>
                </w:rPr>
                <w:t xml:space="preserve">Notes to </w:t>
              </w:r>
            </w:hyperlink>
            <w:r>
              <w:rPr>
                <w:rFonts w:ascii="Times New Roman;serif" w:hAnsi="Times New Roman;serif"/>
                <w:b w:val="false"/>
                <w:color w:val="000000"/>
                <w:sz w:val="22"/>
              </w:rPr>
              <w:t xml:space="preserve">Condensed </w:t>
            </w:r>
            <w:hyperlink w:anchor="i88f9e93bf171436da2f8b72c3e947068_34">
              <w:r>
                <w:rPr>
                  <w:rStyle w:val="InternetLink"/>
                  <w:rFonts w:ascii="Times New Roman;serif" w:hAnsi="Times New Roman;serif"/>
                  <w:b w:val="false"/>
                  <w:strike w:val="false"/>
                  <w:dstrike w:val="false"/>
                  <w:color w:val="000000"/>
                  <w:sz w:val="22"/>
                  <w:u w:val="none"/>
                  <w:effect w:val="none"/>
                </w:rPr>
                <w:t>Consolidated 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34">
              <w:r>
                <w:rPr>
                  <w:rStyle w:val="InternetLink"/>
                  <w:rFonts w:ascii="Times New Roman;serif" w:hAnsi="Times New Roman;serif"/>
                  <w:b w:val="false"/>
                  <w:strike w:val="false"/>
                  <w:dstrike w:val="false"/>
                  <w:color w:val="000000"/>
                  <w:sz w:val="22"/>
                  <w:u w:val="none"/>
                  <w:effect w:val="none"/>
                </w:rPr>
                <w:t>19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03">
              <w:r>
                <w:rPr>
                  <w:rStyle w:val="InternetLink"/>
                  <w:rFonts w:ascii="Times New Roman;serif" w:hAnsi="Times New Roman;serif"/>
                  <w:b w:val="false"/>
                  <w:strike w:val="false"/>
                  <w:dstrike w:val="false"/>
                  <w:color w:val="000000"/>
                  <w:sz w:val="22"/>
                  <w:u w:val="none"/>
                  <w:effect w:val="non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03">
              <w:r>
                <w:rPr>
                  <w:rStyle w:val="InternetLink"/>
                  <w:rFonts w:ascii="Times New Roman;serif" w:hAnsi="Times New Roman;serif"/>
                  <w:b w:val="false"/>
                  <w:strike w:val="false"/>
                  <w:dstrike w:val="false"/>
                  <w:color w:val="000000"/>
                  <w:sz w:val="22"/>
                  <w:u w:val="none"/>
                  <w:effect w:val="none"/>
                </w:rPr>
                <w:t>84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0">
              <w:r>
                <w:rPr>
                  <w:rStyle w:val="InternetLink"/>
                  <w:rFonts w:ascii="Times New Roman;serif" w:hAnsi="Times New Roman;serif"/>
                  <w:b w:val="false"/>
                  <w:strike w:val="false"/>
                  <w:dstrike w:val="false"/>
                  <w:color w:val="000000"/>
                  <w:sz w:val="22"/>
                  <w:u w:val="none"/>
                  <w:effect w:val="non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0">
              <w:r>
                <w:rPr>
                  <w:rStyle w:val="InternetLink"/>
                  <w:rFonts w:ascii="Times New Roman;serif" w:hAnsi="Times New Roman;serif"/>
                  <w:b w:val="false"/>
                  <w:strike w:val="false"/>
                  <w:dstrike w:val="false"/>
                  <w:color w:val="000000"/>
                  <w:sz w:val="22"/>
                  <w:u w:val="none"/>
                  <w:effect w:val="none"/>
                </w:rPr>
                <w:t>103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3">
              <w:r>
                <w:rPr>
                  <w:rStyle w:val="InternetLink"/>
                  <w:rFonts w:ascii="Times New Roman;serif" w:hAnsi="Times New Roman;serif"/>
                  <w:b w:val="false"/>
                  <w:strike w:val="false"/>
                  <w:dstrike w:val="false"/>
                  <w:color w:val="000000"/>
                  <w:sz w:val="22"/>
                  <w:u w:val="none"/>
                  <w:effect w:val="non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3">
              <w:r>
                <w:rPr>
                  <w:rStyle w:val="InternetLink"/>
                  <w:rFonts w:ascii="Times New Roman;serif" w:hAnsi="Times New Roman;serif"/>
                  <w:b w:val="false"/>
                  <w:strike w:val="false"/>
                  <w:dstrike w:val="false"/>
                  <w:color w:val="000000"/>
                  <w:sz w:val="22"/>
                  <w:u w:val="none"/>
                  <w:effect w:val="none"/>
                </w:rPr>
                <w:t>104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6">
              <w:r>
                <w:rPr>
                  <w:rStyle w:val="InternetLink"/>
                  <w:rFonts w:ascii="Times New Roman;serif" w:hAnsi="Times New Roman;serif"/>
                  <w:b w:val="false"/>
                  <w:strike w:val="false"/>
                  <w:dstrike w:val="false"/>
                  <w:color w:val="000000"/>
                  <w:sz w:val="22"/>
                  <w:u w:val="none"/>
                  <w:effect w:val="non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6">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9">
              <w:r>
                <w:rPr>
                  <w:rStyle w:val="InternetLink"/>
                  <w:rFonts w:ascii="Times New Roman;serif" w:hAnsi="Times New Roman;serif"/>
                  <w:b w:val="false"/>
                  <w:strike w:val="false"/>
                  <w:dstrike w:val="false"/>
                  <w:color w:val="000000"/>
                  <w:sz w:val="22"/>
                  <w:u w:val="none"/>
                  <w:effect w:val="non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69">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72">
              <w:r>
                <w:rPr>
                  <w:rStyle w:val="InternetLink"/>
                  <w:rFonts w:ascii="Times New Roman;serif" w:hAnsi="Times New Roman;serif"/>
                  <w:b w:val="false"/>
                  <w:strike w:val="false"/>
                  <w:dstrike w:val="false"/>
                  <w:color w:val="000000"/>
                  <w:sz w:val="22"/>
                  <w:u w:val="none"/>
                  <w:effect w:val="non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72">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75">
              <w:r>
                <w:rPr>
                  <w:rStyle w:val="InternetLink"/>
                  <w:rFonts w:ascii="Times New Roman;serif" w:hAnsi="Times New Roman;serif"/>
                  <w:b w:val="false"/>
                  <w:strike w:val="false"/>
                  <w:dstrike w:val="false"/>
                  <w:color w:val="000000"/>
                  <w:sz w:val="22"/>
                  <w:u w:val="none"/>
                  <w:effect w:val="non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75">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78">
              <w:r>
                <w:rPr>
                  <w:rStyle w:val="InternetLink"/>
                  <w:rFonts w:ascii="Times New Roman;serif" w:hAnsi="Times New Roman;serif"/>
                  <w:b w:val="false"/>
                  <w:strike w:val="false"/>
                  <w:dstrike w:val="false"/>
                  <w:color w:val="000000"/>
                  <w:sz w:val="22"/>
                  <w:u w:val="none"/>
                  <w:effect w:val="non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78">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81">
              <w:r>
                <w:rPr>
                  <w:rStyle w:val="InternetLink"/>
                  <w:rFonts w:ascii="Times New Roman;serif" w:hAnsi="Times New Roman;serif"/>
                  <w:b w:val="false"/>
                  <w:strike w:val="false"/>
                  <w:dstrike w:val="false"/>
                  <w:color w:val="000000"/>
                  <w:sz w:val="22"/>
                  <w:u w:val="none"/>
                  <w:effect w:val="non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81">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84">
              <w:r>
                <w:rPr>
                  <w:rStyle w:val="InternetLink"/>
                  <w:rFonts w:ascii="Times New Roman;serif" w:hAnsi="Times New Roman;serif"/>
                  <w:b w:val="false"/>
                  <w:strike w:val="false"/>
                  <w:dstrike w:val="false"/>
                  <w:color w:val="000000"/>
                  <w:sz w:val="22"/>
                  <w:u w:val="none"/>
                  <w:effect w:val="non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84">
              <w:r>
                <w:rPr>
                  <w:rStyle w:val="InternetLink"/>
                  <w:rFonts w:ascii="Times New Roman;serif" w:hAnsi="Times New Roman;serif"/>
                  <w:b w:val="false"/>
                  <w:strike w:val="false"/>
                  <w:dstrike w:val="false"/>
                  <w:color w:val="000000"/>
                  <w:sz w:val="22"/>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87">
              <w:r>
                <w:rPr>
                  <w:rStyle w:val="InternetLink"/>
                  <w:rFonts w:ascii="Times New Roman;serif" w:hAnsi="Times New Roman;serif"/>
                  <w:b w:val="false"/>
                  <w:strike w:val="false"/>
                  <w:dstrike w:val="false"/>
                  <w:color w:val="000000"/>
                  <w:sz w:val="22"/>
                  <w:u w:val="none"/>
                  <w:effect w:val="none"/>
                </w:rPr>
                <w:t xml:space="preserve">Item 6. Exhibits </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87">
              <w:r>
                <w:rPr>
                  <w:rStyle w:val="InternetLink"/>
                  <w:rFonts w:ascii="Times New Roman;serif" w:hAnsi="Times New Roman;serif"/>
                  <w:b w:val="false"/>
                  <w:strike w:val="false"/>
                  <w:dstrike w:val="false"/>
                  <w:color w:val="000000"/>
                  <w:sz w:val="22"/>
                  <w:u w:val="none"/>
                  <w:effect w:val="none"/>
                </w:rPr>
                <w:t>108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90">
              <w:r>
                <w:rPr>
                  <w:rStyle w:val="InternetLink"/>
                  <w:rFonts w:ascii="Times New Roman;serif" w:hAnsi="Times New Roman;serif"/>
                  <w:b w:val="false"/>
                  <w:strike w:val="false"/>
                  <w:dstrike w:val="false"/>
                  <w:color w:val="000000"/>
                  <w:sz w:val="22"/>
                  <w:u w:val="none"/>
                  <w:effect w:val="non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f9e93bf171436da2f8b72c3e947068_190">
              <w:r>
                <w:rPr>
                  <w:rStyle w:val="InternetLink"/>
                  <w:rFonts w:ascii="Times New Roman;serif" w:hAnsi="Times New Roman;serif"/>
                  <w:b w:val="false"/>
                  <w:strike w:val="false"/>
                  <w:dstrike w:val="false"/>
                  <w:color w:val="000000"/>
                  <w:sz w:val="22"/>
                  <w:u w:val="none"/>
                  <w:effect w:val="none"/>
                </w:rPr>
                <w:t>109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Defined Terms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herein but not otherwise defined herein shall have the respective meanings ascribed to them in the Amended and Restated Business Combination Agreement, a copy of which is attached as Exhibit 2.1 to our Annual Report on Form 10-K filed March 17, 2025 (the “Annual Report”).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AFM UK” means Alvarium Fund Managers (UK)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AHRA” means Alvarium Home REIT Advisors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Allianz” means Allianz Strategic Investments S.à.r.l., a Luxembourg private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AlTi” or “Successor” means AlTi Global, Inc., together with its consolidated subsidiaries.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Shareholders” means the shareholders of Alvarium.</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ALWP” means AlTi Wealth Management (Singapore) Pte Limited.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ARE” means AlTi RE Limited, formerly known as Alvarium RE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AUA” means assets under advisement.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AUM” means assets under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AWMS” means Alvarium Investment Managers (Suisse) SA.</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Paired Interest” means a Class B Unit together with a share of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 of Operations” refers to the consolidated income statement of AlTi Global, Inc.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Constellation” means Constellation Wealth Capital, LLC.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DGCL” refers to the Delaware General Corporation Law, as amended.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dollars” or “$” refers to U.S. dollars.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EEA” means East End Advisors, LLC.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Envoi” means Envoi, LLC.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Externally-Managed Funds” means mutual funds, exchange traded funds, hedge funds, private equity, real estate or other funds managed by a third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Federal Reserve” means the Board of Governors of the Federal Reserve 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FOS” means the European-based trust and private office service businesses, or European Family Office Services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HLIF” means “Home Long Income Fund”, a private fund regulated by the UK FCA.</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HNWI” means high net worth individual, being an individual having investable assets of $1 million or more, excluding primary residence, collectibles, consumables, and consumer durables.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Holbein” means Holbein Partners, LLP.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 REIT” means “Home REIT plc”, a real estate investment trust listed on the London Stock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Impact Investing” means investment practices seeking to generate various levels of financial performance together with the generation of positive measurable environmental and social impacts.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International Real Estate” means the segment, prior to disposal, that included the Company’s public and private real estate, and co-investment business.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LRA” means LXi REIT Advisors Limited.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LXi” means LXi REIT plc.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Nasdaq” means the Nasdaq Capital Market.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NAV” means net asset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PW” means Pointwise Partners Limited.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A Preferred Stock” means the Series A Cumulative Convertible Preferred Stock, $0.0001 par value,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C Preferred Stock” means the Series C Cumulative Convertible Preferred Stock, $0.0001 par value,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SHIA” means Social Housing Income Advisors Limited, an English private limited company.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Sponsor” means CGC Sponsor LLC, a Cayman Islands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Tax Receivable Agreement” or “TRA” means that certain Tax Receivable Agreement, dated as of January 3, 2023, by and among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TIH” means Tiedemann International Holdings, AG.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TRA Exchange” means the series of transactions in which certain holders of Class B Units and Class B Common Stock have exchanged, or may in the future exchange, a portion of such interests to the Company, in exchange for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means, collectively, Tiedemann Wealth &amp; Capital Solutions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Members” means the former members of TWMH.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UHNW” means ultra high net worth individual, being an individual having investable assets of $30 million or more, excluding primary residence, collectibles, consumables, and consumer durables.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UK FCA” means the United Kingdom’s Financial Conduct Authority.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LLC Agreement” means the Fourth Amended and Restated Limited Liability Company Agreement of AlTi Global Capital, LLC, effective as of July 31, 2024.</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Merger Sub” means Rook MS,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US GAAP” means United States generally accepted accounting principles, consistently applied.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Wealth &amp; Capital Solutions” means the segment, prior to the disposal of the International Real Estate segment, that consisted of the Company’s investment management and advisory services, trusts and administrative services, family office services, and the Company’s alternatives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Quarterly Report on Form 10-Q for the period ended</w:t>
      </w:r>
      <w:r>
        <w:rPr>
          <w:color w:val="000000"/>
          <w:shd w:fill="FFFFFF" w:val="clear"/>
        </w:rPr>
        <w:t xml:space="preserve"> </w:t>
      </w:r>
      <w:r>
        <w:rPr>
          <w:rFonts w:ascii="Times New Roman;serif" w:hAnsi="Times New Roman;serif"/>
          <w:b w:val="false"/>
          <w:color w:val="000000"/>
          <w:sz w:val="22"/>
          <w:shd w:fill="FFFFFF" w:val="clear"/>
        </w:rPr>
        <w:t>September 30, 2025 (the</w:t>
      </w:r>
      <w:r>
        <w:rPr>
          <w:color w:val="000000"/>
        </w:rPr>
        <w:t xml:space="preserve"> “</w:t>
      </w:r>
      <w:r>
        <w:rPr>
          <w:rFonts w:ascii="Times New Roman;serif" w:hAnsi="Times New Roman;serif"/>
          <w:b w:val="false"/>
          <w:color w:val="000000"/>
          <w:sz w:val="22"/>
        </w:rPr>
        <w:t>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“Risk Factors” in Item 1A of our Annual Report and “Part I. Item 2. Management’s Discussion and Analysis of Financial Condition and Results of Operations” of this Quarterly Report.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 (Unaudited)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Financial Position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2744"/>
        <w:gridCol w:w="2217"/>
        <w:gridCol w:w="2233"/>
        <w:gridCol w:w="221"/>
        <w:gridCol w:w="983"/>
        <w:gridCol w:w="122"/>
        <w:gridCol w:w="109"/>
        <w:gridCol w:w="109"/>
        <w:gridCol w:w="109"/>
        <w:gridCol w:w="217"/>
        <w:gridCol w:w="967"/>
        <w:gridCol w:w="174"/>
      </w:tblGrid>
      <w:tr>
        <w:trPr/>
        <w:tc>
          <w:tcPr>
            <w:tcW w:w="274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September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2024</w:t>
            </w:r>
          </w:p>
        </w:tc>
      </w:tr>
      <w:tr>
        <w:trPr/>
        <w:tc>
          <w:tcPr>
            <w:tcW w:w="7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Fees receivable, net (includes $1,809 and $888 of related party receivables, respectively)</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at fair value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440,085 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469,563 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385,721 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377,842 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net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1,154,424 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1,255,833 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profit sharing</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member distributions payable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Earn-out liabilities, at fair value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 liability (includes $10,767 and $9,378 at fair value, respectively)</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liability, at fair value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 consideration payable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unamortized deferred financing cost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net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270,590 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285,638 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20)</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Mezzanine Equity</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A Redeemable Cumulative Convertible Preferred stock, $0.0001 par value, 795,947 shares authorized, 164,914 shares issued and outstanding at September 30, 2025, 140,000 shares authorized, 140,000 issued and outstanding at December 31, 2024</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C Redeemable Cumulative Convertible Preferred stock, $0.0001 par value, 150,000 shares authorized, 150,000 shares issued and outstanding at September 30, 2025, and 150,000 shares authorized, 150,000 issued and outstanding at December 31, 2024</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172,793 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A, $0.0001 par value, 875,000,000 authorized, 102,464,812 and 93,686,980 issued and outstanding, respectively</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B, $0.0001 par value, 150,000,000 authorized, 44,188,561 and 46,138,876 issued and outstanding, respectively</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Class C Non-Voting, $0.0001 par value, 9,000,000 authorized, 0 and 0 issued and outstanding, respectively </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Treasury stock, at cost: 0 and 0 shares as of September 30, 2025 and December 31, 2024, respectively</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667,708 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(404,903)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AlTi Global, Inc. shareholders’ equity</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607,186 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658,402 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276,648 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883,834 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mezzanine equity, and shareholders’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1,154,424 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1,255,833 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Operations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12"/>
        <w:gridCol w:w="1176"/>
        <w:gridCol w:w="1185"/>
        <w:gridCol w:w="244"/>
        <w:gridCol w:w="867"/>
        <w:gridCol w:w="136"/>
        <w:gridCol w:w="109"/>
        <w:gridCol w:w="109"/>
        <w:gridCol w:w="109"/>
        <w:gridCol w:w="244"/>
        <w:gridCol w:w="867"/>
        <w:gridCol w:w="136"/>
        <w:gridCol w:w="109"/>
        <w:gridCol w:w="109"/>
        <w:gridCol w:w="109"/>
        <w:gridCol w:w="234"/>
        <w:gridCol w:w="935"/>
        <w:gridCol w:w="129"/>
        <w:gridCol w:w="109"/>
        <w:gridCol w:w="109"/>
        <w:gridCol w:w="109"/>
        <w:gridCol w:w="242"/>
        <w:gridCol w:w="912"/>
        <w:gridCol w:w="135"/>
        <w:gridCol w:w="109"/>
        <w:gridCol w:w="161"/>
      </w:tblGrid>
      <w:tr>
        <w:trPr/>
        <w:tc>
          <w:tcPr>
            <w:tcW w:w="151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270" w:type="dxa"/>
            <w:gridSpan w:val="2"/>
            <w:tcBorders/>
          </w:tcPr>
          <w:p>
            <w:pPr>
              <w:pStyle w:val="TableContents"/>
              <w:bidi w:val="0"/>
              <w:spacing w:before="0" w:after="283"/>
              <w:jc w:val="left"/>
              <w:rPr>
                <w:sz w:val="4"/>
                <w:szCs w:val="4"/>
              </w:rPr>
            </w:pPr>
            <w:r>
              <w:rPr>
                <w:sz w:val="4"/>
                <w:szCs w:val="4"/>
              </w:rPr>
            </w:r>
          </w:p>
        </w:tc>
      </w:tr>
      <w:tr>
        <w:trPr/>
        <w:tc>
          <w:tcPr>
            <w:tcW w:w="3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145,692 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51,809 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166,701 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146,919 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85,735 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229,185 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172,321 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 (loss)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(28,497)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(62,484)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(25,402)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goodwill and intangible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(74,267)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(74,267)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TRA</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preferred stock tranche liability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earnout liabilities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(14,879)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 from continuing operations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(56,923)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(76,888)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(85,328)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(47,876)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from continuing operations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(87,009)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(67,404)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(109,033)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(37,929)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income tax</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(64,663)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(106,954)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(115,309)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(139,879)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(102,592)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attributed to non-controlling interests in subsidiaries from continuing operations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(42,767)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attributed to non-controlling interests in subsidiaries from discontinued operations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AlTi Global,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(84,135)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(72,542)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(106,587)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on the following page)</w:t>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Operations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66"/>
        <w:gridCol w:w="1061"/>
        <w:gridCol w:w="1065"/>
        <w:gridCol w:w="371"/>
        <w:gridCol w:w="874"/>
        <w:gridCol w:w="163"/>
        <w:gridCol w:w="119"/>
        <w:gridCol w:w="119"/>
        <w:gridCol w:w="119"/>
        <w:gridCol w:w="369"/>
        <w:gridCol w:w="836"/>
        <w:gridCol w:w="163"/>
        <w:gridCol w:w="109"/>
        <w:gridCol w:w="109"/>
        <w:gridCol w:w="109"/>
        <w:gridCol w:w="365"/>
        <w:gridCol w:w="840"/>
        <w:gridCol w:w="163"/>
        <w:gridCol w:w="116"/>
        <w:gridCol w:w="116"/>
        <w:gridCol w:w="116"/>
        <w:gridCol w:w="365"/>
        <w:gridCol w:w="840"/>
        <w:gridCol w:w="163"/>
        <w:gridCol w:w="109"/>
        <w:gridCol w:w="160"/>
      </w:tblGrid>
      <w:tr>
        <w:trPr/>
        <w:tc>
          <w:tcPr>
            <w:tcW w:w="126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from the previous page)</w:t>
            </w:r>
          </w:p>
        </w:tc>
        <w:tc>
          <w:tcPr>
            <w:tcW w:w="31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269" w:type="dxa"/>
            <w:gridSpan w:val="2"/>
            <w:tcBorders/>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of Class A Common Stock Outstanding</w:t>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102,091,550 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86,399,551 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98,990,021 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74,993,835 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102,091,550 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86,399,551 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98,990,021 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74,993,835 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Comprehensive Income (Loss)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25"/>
        <w:gridCol w:w="972"/>
        <w:gridCol w:w="941"/>
        <w:gridCol w:w="488"/>
        <w:gridCol w:w="425"/>
        <w:gridCol w:w="427"/>
        <w:gridCol w:w="187"/>
        <w:gridCol w:w="187"/>
        <w:gridCol w:w="187"/>
        <w:gridCol w:w="488"/>
        <w:gridCol w:w="425"/>
        <w:gridCol w:w="427"/>
        <w:gridCol w:w="109"/>
        <w:gridCol w:w="109"/>
        <w:gridCol w:w="109"/>
        <w:gridCol w:w="488"/>
        <w:gridCol w:w="425"/>
        <w:gridCol w:w="427"/>
        <w:gridCol w:w="182"/>
        <w:gridCol w:w="182"/>
        <w:gridCol w:w="182"/>
        <w:gridCol w:w="488"/>
        <w:gridCol w:w="425"/>
        <w:gridCol w:w="427"/>
        <w:gridCol w:w="109"/>
        <w:gridCol w:w="164"/>
      </w:tblGrid>
      <w:tr>
        <w:trPr/>
        <w:tc>
          <w:tcPr>
            <w:tcW w:w="122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273" w:type="dxa"/>
            <w:gridSpan w:val="2"/>
            <w:tcBorders/>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(106,954)</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(115,309)</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(139,879)</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(102,592)</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Other Comprehensive Income (Loss) </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(3,402)</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(110,356)</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(119,594)</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(131,119)</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(109,595)</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attributed to non-controlling interests in subsidiaries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(21,470)</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(43,433)</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(28,376)</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(55,635)</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AlTi Global, Inc.</w:t>
            </w:r>
          </w:p>
        </w:tc>
        <w:tc>
          <w:tcPr>
            <w:tcW w:w="9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(88,886)</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(76,161)</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(102,743)</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(53,960)</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0" w:after="0"/>
        <w:jc w:val="center"/>
        <w:rPr/>
      </w:pPr>
      <w:r>
        <w:rPr/>
      </w:r>
    </w:p>
    <w:tbl>
      <w:tblPr>
        <w:tblW w:w="20156" w:type="dxa"/>
        <w:jc w:val="left"/>
        <w:tblInd w:w="0" w:type="dxa"/>
        <w:tblLayout w:type="fixed"/>
        <w:tblCellMar>
          <w:top w:w="28" w:type="dxa"/>
          <w:left w:w="28" w:type="dxa"/>
          <w:bottom w:w="28" w:type="dxa"/>
          <w:right w:w="28" w:type="dxa"/>
        </w:tblCellMar>
      </w:tblPr>
      <w:tblGrid>
        <w:gridCol w:w="527"/>
        <w:gridCol w:w="291"/>
        <w:gridCol w:w="293"/>
        <w:gridCol w:w="109"/>
        <w:gridCol w:w="109"/>
        <w:gridCol w:w="109"/>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525"/>
        <w:gridCol w:w="526"/>
        <w:gridCol w:w="196"/>
        <w:gridCol w:w="109"/>
        <w:gridCol w:w="109"/>
        <w:gridCol w:w="109"/>
        <w:gridCol w:w="251"/>
        <w:gridCol w:w="331"/>
        <w:gridCol w:w="109"/>
        <w:gridCol w:w="109"/>
        <w:gridCol w:w="109"/>
        <w:gridCol w:w="109"/>
        <w:gridCol w:w="480"/>
        <w:gridCol w:w="481"/>
        <w:gridCol w:w="196"/>
        <w:gridCol w:w="109"/>
        <w:gridCol w:w="109"/>
        <w:gridCol w:w="109"/>
        <w:gridCol w:w="196"/>
        <w:gridCol w:w="406"/>
        <w:gridCol w:w="109"/>
        <w:gridCol w:w="109"/>
        <w:gridCol w:w="109"/>
        <w:gridCol w:w="109"/>
        <w:gridCol w:w="211"/>
        <w:gridCol w:w="437"/>
        <w:gridCol w:w="118"/>
        <w:gridCol w:w="109"/>
        <w:gridCol w:w="109"/>
        <w:gridCol w:w="109"/>
        <w:gridCol w:w="220"/>
        <w:gridCol w:w="827"/>
        <w:gridCol w:w="124"/>
        <w:gridCol w:w="327"/>
        <w:gridCol w:w="196"/>
        <w:gridCol w:w="776"/>
        <w:gridCol w:w="109"/>
        <w:gridCol w:w="327"/>
        <w:gridCol w:w="266"/>
        <w:gridCol w:w="756"/>
        <w:gridCol w:w="149"/>
        <w:gridCol w:w="327"/>
        <w:gridCol w:w="237"/>
        <w:gridCol w:w="891"/>
        <w:gridCol w:w="133"/>
        <w:gridCol w:w="327"/>
        <w:gridCol w:w="209"/>
        <w:gridCol w:w="785"/>
        <w:gridCol w:w="117"/>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0"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101,567,545 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45,110,224 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665,605 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6,960 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304,785 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990,187 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allocation to equity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921,663 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(921,663)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102,464,812 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44,188,561 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667,708 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276,648 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883,834 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0" w:after="0"/>
        <w:jc w:val="center"/>
        <w:rPr/>
      </w:pPr>
      <w:r>
        <w:rPr/>
      </w:r>
    </w:p>
    <w:tbl>
      <w:tblPr>
        <w:tblW w:w="20885" w:type="dxa"/>
        <w:jc w:val="left"/>
        <w:tblInd w:w="0" w:type="dxa"/>
        <w:tblLayout w:type="fixed"/>
        <w:tblCellMar>
          <w:top w:w="28" w:type="dxa"/>
          <w:left w:w="28" w:type="dxa"/>
          <w:bottom w:w="28" w:type="dxa"/>
          <w:right w:w="28" w:type="dxa"/>
        </w:tblCellMar>
      </w:tblPr>
      <w:tblGrid>
        <w:gridCol w:w="587"/>
        <w:gridCol w:w="291"/>
        <w:gridCol w:w="293"/>
        <w:gridCol w:w="109"/>
        <w:gridCol w:w="109"/>
        <w:gridCol w:w="109"/>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524"/>
        <w:gridCol w:w="527"/>
        <w:gridCol w:w="196"/>
        <w:gridCol w:w="109"/>
        <w:gridCol w:w="109"/>
        <w:gridCol w:w="109"/>
        <w:gridCol w:w="251"/>
        <w:gridCol w:w="331"/>
        <w:gridCol w:w="109"/>
        <w:gridCol w:w="109"/>
        <w:gridCol w:w="109"/>
        <w:gridCol w:w="109"/>
        <w:gridCol w:w="480"/>
        <w:gridCol w:w="481"/>
        <w:gridCol w:w="196"/>
        <w:gridCol w:w="109"/>
        <w:gridCol w:w="109"/>
        <w:gridCol w:w="109"/>
        <w:gridCol w:w="196"/>
        <w:gridCol w:w="406"/>
        <w:gridCol w:w="109"/>
        <w:gridCol w:w="109"/>
        <w:gridCol w:w="109"/>
        <w:gridCol w:w="109"/>
        <w:gridCol w:w="211"/>
        <w:gridCol w:w="437"/>
        <w:gridCol w:w="118"/>
        <w:gridCol w:w="109"/>
        <w:gridCol w:w="109"/>
        <w:gridCol w:w="109"/>
        <w:gridCol w:w="220"/>
        <w:gridCol w:w="827"/>
        <w:gridCol w:w="124"/>
        <w:gridCol w:w="327"/>
        <w:gridCol w:w="196"/>
        <w:gridCol w:w="776"/>
        <w:gridCol w:w="109"/>
        <w:gridCol w:w="327"/>
        <w:gridCol w:w="262"/>
        <w:gridCol w:w="763"/>
        <w:gridCol w:w="146"/>
        <w:gridCol w:w="327"/>
        <w:gridCol w:w="237"/>
        <w:gridCol w:w="891"/>
        <w:gridCol w:w="133"/>
        <w:gridCol w:w="327"/>
        <w:gridCol w:w="212"/>
        <w:gridCol w:w="796"/>
        <w:gridCol w:w="118"/>
        <w:gridCol w:w="109"/>
        <w:gridCol w:w="109"/>
        <w:gridCol w:w="109"/>
        <w:gridCol w:w="1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5"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(139,879)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allocation to equity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1,523,289 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979,336 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4,324,892 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1,950,315 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(1,950,315)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102,464,812 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44,188,561 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667,708 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276,648 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883,834 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0" w:after="0"/>
        <w:jc w:val="center"/>
        <w:rPr/>
      </w:pPr>
      <w:r>
        <w:rPr/>
      </w:r>
    </w:p>
    <w:tbl>
      <w:tblPr>
        <w:tblW w:w="19286" w:type="dxa"/>
        <w:jc w:val="left"/>
        <w:tblInd w:w="0" w:type="dxa"/>
        <w:tblLayout w:type="fixed"/>
        <w:tblCellMar>
          <w:top w:w="28" w:type="dxa"/>
          <w:left w:w="28" w:type="dxa"/>
          <w:bottom w:w="28" w:type="dxa"/>
          <w:right w:w="28" w:type="dxa"/>
        </w:tblCellMar>
      </w:tblPr>
      <w:tblGrid>
        <w:gridCol w:w="587"/>
        <w:gridCol w:w="291"/>
        <w:gridCol w:w="293"/>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203"/>
        <w:gridCol w:w="203"/>
        <w:gridCol w:w="109"/>
        <w:gridCol w:w="196"/>
        <w:gridCol w:w="406"/>
        <w:gridCol w:w="109"/>
        <w:gridCol w:w="109"/>
        <w:gridCol w:w="109"/>
        <w:gridCol w:w="109"/>
        <w:gridCol w:w="220"/>
        <w:gridCol w:w="827"/>
        <w:gridCol w:w="124"/>
        <w:gridCol w:w="109"/>
        <w:gridCol w:w="109"/>
        <w:gridCol w:w="109"/>
        <w:gridCol w:w="196"/>
        <w:gridCol w:w="776"/>
        <w:gridCol w:w="109"/>
        <w:gridCol w:w="109"/>
        <w:gridCol w:w="109"/>
        <w:gridCol w:w="109"/>
        <w:gridCol w:w="266"/>
        <w:gridCol w:w="756"/>
        <w:gridCol w:w="149"/>
        <w:gridCol w:w="327"/>
        <w:gridCol w:w="237"/>
        <w:gridCol w:w="891"/>
        <w:gridCol w:w="133"/>
        <w:gridCol w:w="327"/>
        <w:gridCol w:w="196"/>
        <w:gridCol w:w="871"/>
        <w:gridCol w:w="109"/>
        <w:gridCol w:w="1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0"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72,167,195 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47,978,953 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553,001 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383,304 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partner’s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shares,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employees 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to Allianz,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19,318,581 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1,840,077 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(1,840,077)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Allianz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653,730 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0" w:after="0"/>
        <w:jc w:val="center"/>
        <w:rPr/>
      </w:pPr>
      <w:r>
        <w:rPr/>
      </w:r>
    </w:p>
    <w:tbl>
      <w:tblPr>
        <w:tblW w:w="19331" w:type="dxa"/>
        <w:jc w:val="left"/>
        <w:tblInd w:w="0" w:type="dxa"/>
        <w:tblLayout w:type="fixed"/>
        <w:tblCellMar>
          <w:top w:w="28" w:type="dxa"/>
          <w:left w:w="28" w:type="dxa"/>
          <w:bottom w:w="28" w:type="dxa"/>
          <w:right w:w="28" w:type="dxa"/>
        </w:tblCellMar>
      </w:tblPr>
      <w:tblGrid>
        <w:gridCol w:w="632"/>
        <w:gridCol w:w="291"/>
        <w:gridCol w:w="293"/>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203"/>
        <w:gridCol w:w="203"/>
        <w:gridCol w:w="109"/>
        <w:gridCol w:w="196"/>
        <w:gridCol w:w="406"/>
        <w:gridCol w:w="109"/>
        <w:gridCol w:w="109"/>
        <w:gridCol w:w="109"/>
        <w:gridCol w:w="109"/>
        <w:gridCol w:w="220"/>
        <w:gridCol w:w="827"/>
        <w:gridCol w:w="124"/>
        <w:gridCol w:w="109"/>
        <w:gridCol w:w="109"/>
        <w:gridCol w:w="109"/>
        <w:gridCol w:w="196"/>
        <w:gridCol w:w="776"/>
        <w:gridCol w:w="109"/>
        <w:gridCol w:w="109"/>
        <w:gridCol w:w="109"/>
        <w:gridCol w:w="109"/>
        <w:gridCol w:w="266"/>
        <w:gridCol w:w="756"/>
        <w:gridCol w:w="149"/>
        <w:gridCol w:w="327"/>
        <w:gridCol w:w="237"/>
        <w:gridCol w:w="891"/>
        <w:gridCol w:w="133"/>
        <w:gridCol w:w="327"/>
        <w:gridCol w:w="196"/>
        <w:gridCol w:w="871"/>
        <w:gridCol w:w="109"/>
        <w:gridCol w:w="109"/>
        <w:gridCol w:w="109"/>
        <w:gridCol w:w="109"/>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0"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65,110,875 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53,219,713 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536,509 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430,349 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partner’s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shares,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employees 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2,176,687 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to Allianz,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19,318,581 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7,080,837 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(7,080,837)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FOS deconsolidation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LXi deconsolidation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Allianz and Constellation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653,730 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Cash Flows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67"/>
        <w:gridCol w:w="2114"/>
        <w:gridCol w:w="2129"/>
        <w:gridCol w:w="258"/>
        <w:gridCol w:w="1051"/>
        <w:gridCol w:w="142"/>
        <w:gridCol w:w="109"/>
        <w:gridCol w:w="109"/>
        <w:gridCol w:w="109"/>
        <w:gridCol w:w="258"/>
        <w:gridCol w:w="1051"/>
        <w:gridCol w:w="142"/>
        <w:gridCol w:w="109"/>
        <w:gridCol w:w="157"/>
      </w:tblGrid>
      <w:tr>
        <w:trPr/>
        <w:tc>
          <w:tcPr>
            <w:tcW w:w="2467"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266" w:type="dxa"/>
            <w:gridSpan w:val="2"/>
            <w:tcBorders/>
          </w:tcPr>
          <w:p>
            <w:pPr>
              <w:pStyle w:val="TableContents"/>
              <w:bidi w:val="0"/>
              <w:spacing w:before="0" w:after="283"/>
              <w:jc w:val="left"/>
              <w:rPr>
                <w:sz w:val="4"/>
                <w:szCs w:val="4"/>
              </w:rPr>
            </w:pPr>
            <w:r>
              <w:rPr>
                <w:sz w:val="4"/>
                <w:szCs w:val="4"/>
              </w:rPr>
            </w:r>
          </w:p>
        </w:tc>
      </w:tr>
      <w:tr>
        <w:trPr/>
        <w:tc>
          <w:tcPr>
            <w:tcW w:w="6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(139,879)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(102,592)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(30,846)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(64,663)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(109,033)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(37,929)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 from continuing operations:</w:t>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discounts and deferred financing costs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loss on investments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goodwill and intangible assets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 loss on TRA</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on equity method investments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 loss on earnout liability</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(41,922)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 (loss) on preferred stock tranche liability</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(gains)/losses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Forgiveness of debt of notes receivable from members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due to changes in operating assets and liabilities</w:t>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fees receivable</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assets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(13,474)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 from operating leases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and accrued expenses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accrued compensation and profit sharing</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 from continuing operations</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(53,528)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payments of notes receivable from members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for delayed share purchase agreement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Kontora, net of cash acquired</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EEA, net of cash acquired</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PW, net of cash acquired</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Envoi</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FOS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equity method investment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intangible assets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of fixed assets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assets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 from continuing operations</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on the following page)</w:t>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0"/>
        <w:jc w:val="left"/>
        <w:rPr/>
      </w:pPr>
      <w:hyperlink w:anchor="i88f9e93bf171436da2f8b72c3e947068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 of Cash Flows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2359"/>
        <w:gridCol w:w="2063"/>
        <w:gridCol w:w="2071"/>
        <w:gridCol w:w="320"/>
        <w:gridCol w:w="1057"/>
        <w:gridCol w:w="178"/>
        <w:gridCol w:w="109"/>
        <w:gridCol w:w="109"/>
        <w:gridCol w:w="109"/>
        <w:gridCol w:w="294"/>
        <w:gridCol w:w="1106"/>
        <w:gridCol w:w="163"/>
        <w:gridCol w:w="109"/>
        <w:gridCol w:w="158"/>
      </w:tblGrid>
      <w:tr>
        <w:trPr/>
        <w:tc>
          <w:tcPr>
            <w:tcW w:w="235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from the previous page)</w:t>
            </w:r>
          </w:p>
        </w:tc>
        <w:tc>
          <w:tcPr>
            <w:tcW w:w="34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267" w:type="dxa"/>
            <w:gridSpan w:val="2"/>
            <w:tcBorders/>
          </w:tcPr>
          <w:p>
            <w:pPr>
              <w:pStyle w:val="TableContents"/>
              <w:bidi w:val="0"/>
              <w:spacing w:before="0" w:after="283"/>
              <w:jc w:val="left"/>
              <w:rPr>
                <w:sz w:val="4"/>
                <w:szCs w:val="4"/>
              </w:rPr>
            </w:pPr>
            <w:r>
              <w:rPr>
                <w:sz w:val="4"/>
                <w:szCs w:val="4"/>
              </w:rPr>
            </w:r>
          </w:p>
        </w:tc>
      </w:tr>
      <w:tr>
        <w:trPr/>
        <w:tc>
          <w:tcPr>
            <w:tcW w:w="6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preferred stock and Constellation Warrants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305,340 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Member contribution (distribution)</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term notes and lines of credit</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term notes and lines of credit</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for earnout</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on net settled share-based compensation awards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on behalf of Umbrella partners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Constellation Warrants issuance costs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common stock issuance costs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tranche right liability issuance costs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of earn-in liability</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 from continuing operations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306,711 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Discontinued Operations:</w:t>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 from discontinued operations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 from discontinued operations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 from discontinued operations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discontinued operations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including discontinued operations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(32,019)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including discontinued operations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including discontinued operations, at beginning of the period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including discontinued operations, at end of the period</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35,847 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 of discontinued operations, at end of the period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35,847 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220,592 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3"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6347" w:type="dxa"/>
        <w:jc w:val="left"/>
        <w:tblInd w:w="0" w:type="dxa"/>
        <w:tblLayout w:type="fixed"/>
        <w:tblCellMar>
          <w:top w:w="28" w:type="dxa"/>
          <w:left w:w="28" w:type="dxa"/>
          <w:bottom w:w="28" w:type="dxa"/>
          <w:right w:w="28" w:type="dxa"/>
        </w:tblCellMar>
      </w:tblPr>
      <w:tblGrid>
        <w:gridCol w:w="1479"/>
        <w:gridCol w:w="1297"/>
        <w:gridCol w:w="1304"/>
        <w:gridCol w:w="196"/>
        <w:gridCol w:w="421"/>
        <w:gridCol w:w="109"/>
        <w:gridCol w:w="109"/>
        <w:gridCol w:w="109"/>
        <w:gridCol w:w="109"/>
        <w:gridCol w:w="196"/>
        <w:gridCol w:w="646"/>
        <w:gridCol w:w="109"/>
        <w:gridCol w:w="109"/>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Paid During the Period for:</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on term notes and lines of credit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2"/>
        </w:rPr>
      </w:pPr>
      <w:r>
        <w:rPr>
          <w:rFonts w:ascii="Times New Roman;serif" w:hAnsi="Times New Roman;serif"/>
          <w:b/>
          <w:color w:val="000000"/>
          <w:sz w:val="22"/>
        </w:rPr>
        <w:t>(1)Description of the Business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AlTi is an independent global wealth manager providing entrepreneurs, multi-generational families, institutions, and emerging next-generation leaders with fiduciary advisor services. We manage or advise approximately $89.2 billion in combined assets as of September 30, 2025. We have approximately 490 professionals operating in 19 cities in 9 countries across three continents as of September 30,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Separately, we have one internally managed fund strategy and hold stakes in three Externally-Managed Funds in our alternatives platform, with a largely institutional client base.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Capital Structure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has the following classes of shares and other instruments outstanding: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A Common Stock – Shares of Class A Common Stock that are publicly traded. Class A shareholders are entitled to dividends on shares of Class A Common Stock declared by the Company’s board of directors. As of September 30, 2025, the shares of Class A Common Stock represent 64.6% of the total voting power of all shares of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 xml:space="preserve">Class B Common Stock – Shares of Class B Common Stock that are not publicly traded. Class B shareholders are entitled to distributions declared by the Company’s board of directors. The distributions are paid by Umbrella. As of September 30, 2025, the shares of Class B Common Stock represent 27.9% of the total voting power of all shares of Common Stock.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Series A Preferred Stock – On July 31, 2024, the Company completed the sale (the “Investment”) to Allianz Strategic Investments S.à.r.l., a Luxembourg private limited liability company (“Allianz”) (together with the Investment, the “Allianz Transaction”) of (i) 140,000 shares of Series A Preferred Stock and (ii) 19,318,580.96 shares of Class A Common Stock for an aggregate purchase price equal to $250 million (the “Allianz Closing”) and issued to Allianz warrants (the “Allianz Warrants”) to purchase 5,000,000 shares of Class A Common Stock at an exercise price of $7.40 per share pursuant to an Investment Agreement dated February 22, 2024, by and between the Company and Allianz (the “Allianz Investment Agreement”). The Allianz Warrants are classified as a component of equity in the line item Additional paid-in capital on the Company’s Condensed Consolidated Statement of Financial Position as of September 30, 2025. No Allianz Warrants were exercised during the current reporting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Series A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50% in shares of Series A Preferred Stock, which will increase the stated value of the issued shares of Series A Preferred Stock, and 50% in shares of Class A Common Stock. The Series A Preferred Stock will also participate with any dividends or distributions declared on the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30, 2025, the Series A Preferred Stock of 166,924 is inclusive of dividends paid in kind as of and is classified under mezzanine equity on the Company’s Condensed Consolidated Statement of Financial Position. An additional 1,523,289 shares of Class A Common Stock were issued to Allianz as part of the 50% dividends paid in kind. The Series A Preferred Stock has no voting rights and is subject to an ownership cap of 24.9% of the aggregate issued and outstanding shares of Class A Common Stock and Class B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on February 22, 2024, the Company entered into a Supplemental Series A Preferred Stock Investment Agreement with Allianz (the “Supplemental Investment Agreement”), pursuant to which, for purposes of funding one or more strategic international acquisitions by the Company or its subsidiaries, Allianz is permitted, at its option, to purchase up to 50,000 additional shares of Series A Preferred Stock up to an aggregate amount equal to $50 million (the “Allianz Tranche Right”). Additional Series A Preferred Stock issued upon exercise of the Allianz Tranche Right will abide by the same terms and conditions in the Allianz Investment Agreement at a price of $1,000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Allianz Closing, on July 31, 2024 the Company (i) adopted and filed with the Secretary of State of the State of Delaware (x) a certificate of designations for the Series A Preferred Stock setting forth the rights, preferences, privileges and restrictions applicable to the Series A Preferred Stock and (y) an amendment to the Company’s certificate of incorporation to authorize and designate the Company’s Class C Non-Voting Common Stock, par value $0.0001 per share (the “Non-Voting Common Stock”), which was previously approved by the Company’s stockholders, and (ii) entered into an Investor Rights Agreement with Allianz pursuant to which, among other items, Allianz will have the right to nominate two directors to the Company’s board of directors until such time as Allianz ceases to own at least 50% of the initial shares of Class A Common Stock acquired at the Allianz Closing. The Non-Voting Common Stock will be issued to Allianz if the 24.9% ownership cap is triggered.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Also in connection with the Allianz Closing, the Company and AlTi Global Capital, LLC, a wholly-owned subsidiary of the Company, entered into the Fourth Amended and Restated Limited Liability Company Agreement of AlTi Global Capital, LLC (the “Umbrella LLC Agreement”) to create preferred and common units of AlTi Global Capital, LLC that mirror the rights, preferences, privileges and restrictions applicable to the Series A Preferred Stock, which were issued at the Allianz Closing and the Company’s Non-Voting Common Stock, which may be issued in the future to Allianz.</w:t>
      </w:r>
      <w:r>
        <w:rPr>
          <w:color w:val="000000"/>
        </w:rPr>
        <w:t xml:space="preserve"> </w:t>
      </w:r>
      <w:r>
        <w:rPr>
          <w:rFonts w:ascii="Times New Roman;serif" w:hAnsi="Times New Roman;serif"/>
          <w:b w:val="false"/>
          <w:color w:val="000000"/>
          <w:sz w:val="22"/>
        </w:rPr>
        <w:t xml:space="preserve">The Umbrella LLC Agreement was also amended to reflect the creation of preferred units of AlTi Global Capital, LLC that mirror the rights, preferences, privileges and restrictions applicable to the Series C Preferred Stock previously issued to Constellation.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Series C Preferred Stock – Shares of Series C Preferred Stock that are not publicly traded and issued in connection with the sale of 150,000 shares of Series C Preferred Stock that occurred in two transactions (the “Transactions”) to Constellation AlTi Investor LLC, an affiliate of Constellation Wealth Capital, LLC (“Constellation”) (collectively, the “Constellation Transaction”),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September 30, 2025, the 150,000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outstanding shares of Series C Preferred Stock represent 7.5% of the total voting power of all shares. The Series C Preferred Stock is classified under mezzanine equity on the Company’s Condensed Consolidated Statement of Financial Position.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Constellation Transaction, the Company issued warrants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These warrants have been classified as a component of equity in the line item Additional paid-in capital on the Company’s Condensed Consolidated Statement of Financial Position as of September 30, 2025. No Constellation Warrants were exercised during the current reporting period.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AlTi’s capital structure as of September 30, 2025 is reflected below: </w:t>
      </w:r>
    </w:p>
    <w:p>
      <w:pPr>
        <w:pStyle w:val="TextBody"/>
        <w:bidi w:val="0"/>
        <w:spacing w:before="0" w:after="0"/>
        <w:jc w:val="left"/>
        <w:rPr/>
      </w:pPr>
      <w:r>
        <w:rPr/>
        <w:drawing>
          <wp:inline distT="0" distB="0" distL="0" distR="0">
            <wp:extent cx="6943725" cy="538162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943725" cy="5381625"/>
                    </a:xfrm>
                    <a:prstGeom prst="rect">
                      <a:avLst/>
                    </a:prstGeom>
                  </pic:spPr>
                </pic:pic>
              </a:graphicData>
            </a:graphic>
          </wp:inline>
        </w:drawing>
      </w:r>
      <w:bookmarkStart w:id="0" w:name="i-1"/>
      <w:bookmarkEnd w:id="0"/>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number of shares of the Company that were issued and outstanding as of September 30, 2025 and December 31, 2024:</w:t>
      </w:r>
    </w:p>
    <w:tbl>
      <w:tblPr>
        <w:tblW w:w="6010" w:type="dxa"/>
        <w:jc w:val="left"/>
        <w:tblInd w:w="0" w:type="dxa"/>
        <w:tblLayout w:type="fixed"/>
        <w:tblCellMar>
          <w:top w:w="28" w:type="dxa"/>
          <w:left w:w="28" w:type="dxa"/>
          <w:bottom w:w="28" w:type="dxa"/>
          <w:right w:w="28" w:type="dxa"/>
        </w:tblCellMar>
      </w:tblPr>
      <w:tblGrid>
        <w:gridCol w:w="743"/>
        <w:gridCol w:w="654"/>
        <w:gridCol w:w="658"/>
        <w:gridCol w:w="604"/>
        <w:gridCol w:w="604"/>
        <w:gridCol w:w="606"/>
        <w:gridCol w:w="109"/>
        <w:gridCol w:w="109"/>
        <w:gridCol w:w="109"/>
        <w:gridCol w:w="530"/>
        <w:gridCol w:w="530"/>
        <w:gridCol w:w="7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September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br/>
              <w:t>2024</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102,464,812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93,686,980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44,188,561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46,138,876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Segments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business is currently organized into one operating segment. Prior to the third quarter ended September 30, 2025, the Company was organized into two operating segments: Wealth &amp; Capital Solutions and International Real Estate. The Company previously conducted a strategic review of the International Real Estate Businesses and, based on the conclusion that they were not a core part of its long-term strategy, re-organized its reportable segments in the third quarter of 2024. That change resulted in two reportable segments: Wealth &amp; Capital Solutions and International Real Estate, and prior period data was recast for comparative purposes. On July 11, 2025, the Company’s board of directors approved a plan to conduct an orderly wind</w:t>
        <w:noBreakHyphen/>
        <w:t xml:space="preserve">down of the real estate co-investment business (“Real Estate Co-Investment”) and the real estate fund management businesses (“Real Estate Fund Management”) (together, the “International Real Estate Businesses”). See Note 3 (Discontinued Operations) for further information. As such, during the third quarter ended September 30, 2025, the Company disposed of its International Real Estate segment, and is now organized as one reportable segment as of September 30,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generates a diverse array of revenue streams that fall broadly into four categories: (i) recurring management, advisory, trustee, or administration fees (“management fees”); (ii) performance or incentive fees; (iii) distributions from investments; and (iv) other income or fees. </w:t>
      </w:r>
    </w:p>
    <w:p>
      <w:pPr>
        <w:pStyle w:val="TextBody"/>
        <w:bidi w:val="0"/>
        <w:spacing w:lineRule="auto" w:line="26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Overview</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Results generated by our operating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UHNW individuals, families, single-family offices, foundations, and endowments globally, while Alternatives Platform clients are typically institutional. Investment management or advisory fees, incentive fees, and distributions from investments are the primary sources of revenue in our operating segment. Management fees are generally calculated based on a percentage of the value of billable AUM or AUA (as applicable), while incentive fees are driven by the underlying performance of managed portfolios. As of September 30, 2025 and December 31, 2024, this segment had $89.2 billion and $67.3 billion, respectively, in AUA.</w:t>
      </w:r>
    </w:p>
    <w:p>
      <w:pPr>
        <w:pStyle w:val="TextBody"/>
        <w:bidi w:val="0"/>
        <w:spacing w:lineRule="auto" w:line="292" w:before="200" w:after="283"/>
        <w:jc w:val="both"/>
        <w:rPr>
          <w:rFonts w:ascii="Times New Roman;serif" w:hAnsi="Times New Roman;serif"/>
          <w:b/>
          <w:i/>
          <w:color w:val="000000"/>
          <w:sz w:val="22"/>
        </w:rPr>
      </w:pPr>
      <w:r>
        <w:rPr>
          <w:rFonts w:ascii="Times New Roman;serif" w:hAnsi="Times New Roman;serif"/>
          <w:b/>
          <w:i/>
          <w:color w:val="000000"/>
          <w:sz w:val="22"/>
        </w:rPr>
        <w:t>Investment Management and Advisory Services</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In building portfolios, we also consider the need to access funds for unexpected living or funding expenses, thereby seeking to avoid forced selling of assets at inopportune times, and for clients in certain jurisdictions, such as the U.S., we are focused on understanding tax considerations and optimizing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after tax returns. In addition, we offer robust Impact Investing services that can be delivered across a broad range of asset classes.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have established a platform that provides wealth management clients access to investment opportunities in strategies and asset classes that would otherwise be difficult to access, including due to the very high minimum investment thresholds of many underlying funds. For example, through our private markets partnership with Allianz, clients are able to participate in strategies that might not otherwise be available to them. We operate several vehicles focused on vintage private equity, credit, real estate, active global managers and hedge fund strategies. These vehicles may invest in either a single underlying private equity fund or a portfolio of private equity or other alternative assets funds, each managed by access constrained managers that we select thorough a disciplined manager selection processes intended to identify those we believe can deliver strong risk- adjusted performance. We intend to continue launching additional vintages of these private market vehicles over time, allowing investment management and advisory clients to include an allocation to these alternative funds on a recurring basis. These private strategies are expected to include traditional as well as innovative and Impact Investing offerings. </w:t>
      </w:r>
    </w:p>
    <w:p>
      <w:pPr>
        <w:pStyle w:val="TextBody"/>
        <w:bidi w:val="0"/>
        <w:spacing w:lineRule="auto" w:line="292" w:before="200" w:after="283"/>
        <w:jc w:val="both"/>
        <w:rPr>
          <w:rFonts w:ascii="Times New Roman;serif" w:hAnsi="Times New Roman;serif"/>
          <w:b w:val="false"/>
          <w:color w:val="000000"/>
          <w:sz w:val="22"/>
        </w:rPr>
      </w:pPr>
      <w:r>
        <w:rPr>
          <w:rFonts w:ascii="Times New Roman;serif" w:hAnsi="Times New Roman;serif"/>
          <w:b w:val="false"/>
          <w:color w:val="000000"/>
          <w:sz w:val="22"/>
        </w:rPr>
        <w:t>The independence of our investment management and advisory services is a central principle for our wealth management and OCIO clients. Our services operate independently of any asset managers or investment product providers, including those affiliated to us, to which we may allocate or recommend allocations. We utilize an open architecture approach, designed to identify appropriate investment solutions in the marketplace that align with our client’s objectives. We do not receive undisclosed forms of compensation and our investment decisions and recommendations are made solely with the best interests of each client in mind.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 provide clients with performance reports, detailing the clients’ portfolio performance and comparing such performance to relevant benchmarks or indices. The reporting can also include information encompassing assets that are not in the portfolio managed by AlTi to provide clients a consolidated view of all their assets. We are also able to report on impact performance for those clients interested in tracking impact specific metrics, in addition to their financial performance. </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Trust Services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trust services that we provide within our U.S. wealth service offering aim to ensure our clients’ wealth is preserved, protected, and distributed as intended. As of September 30, 2025, these services are primarily provided from Delaware, which jurisdiction has one of the most well-developed trust legal regimes in the United States. Our trust services include creating or modifying trust instruments and acting as fiduciary in a full, directed or executor capacity.</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Family Office Services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family office services are tailored outsourced family office solutions and administrative services which we provide primarily to our larger clients. Our family office services cover: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bookkeeping and back office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private foundation management and grant making;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oversight of trust administration;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financial tracking and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cash flow management &amp; bill pay;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other financial services.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also offer clients estate and wealth planning, family governance and education, and philanthropic and strategic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part of 2024, the Company also had a European trust and private office services business which was deemed non-strategic to the business and was sold on May 8, 2024. See Note 4 (Business Combinations and Divestitures).</w:t>
      </w:r>
    </w:p>
    <w:p>
      <w:pPr>
        <w:pStyle w:val="TextBody"/>
        <w:bidi w:val="0"/>
        <w:spacing w:lineRule="auto" w:line="26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alternatives platform assists money managers in building their fund management businesses. We have one internally managed fund and stakes in three Externally-Managed Funds. Our internally-managed fund, TIG Arbitrage strategy (“TIG Arbitrage”), is an event-driven fund which has $1.7 billion of AUM as of September 30, 2025. It is managed by our subsidiary TIG Advisors, LLC, an SEC-registered investment advisor. In addition, we have made strategic investments with External Strategic Managers, who manage approximately $5.4 billion of AUM in the aggregate as of September 30, 2025. The strategies of these External Strategic Managers include real estate bridge lending, European long short equities, and Asian credit and special situations.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and strategy.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2024, our services also included back and middle office solutions for the funds. These services were spun out on November 15, 2024, under the name Altaira Strategic Partners which continues to provide services to the TIG Arbitrage strategy, in addition to other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(2)Summary of Significant Accounting Policies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(a)Basis of Presentation</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accompanying unaudited condensed consolidated financial statements comprise the financial statements of the Company and its subsidiaries. These condensed consolidated financial statements have been prepared under the accrual basis of accounting in accordance with U.S. GAAP and conform to prevailing practices within the financial services industry, as applicable to the Company, and should be read in conjunction with the annual financial statements included in the Annual Report.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 </w:t>
      </w:r>
    </w:p>
    <w:p>
      <w:pPr>
        <w:pStyle w:val="TextBody"/>
        <w:bidi w:val="0"/>
        <w:spacing w:before="0" w:after="0"/>
        <w:jc w:val="both"/>
        <w:rPr/>
      </w:pPr>
      <w:r>
        <w:rPr/>
      </w:r>
    </w:p>
    <w:p>
      <w:pPr>
        <w:pStyle w:val="TextBody"/>
        <w:bidi w:val="0"/>
        <w:spacing w:lineRule="auto" w:line="264"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(b)Change in Accounting Principle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During the fourth quarter ended December 31, 2024, the Company changed its classification related to the Allianz and Constellation Warrants from liability-classified to equity-classified within the Statement of Financial Position. The Company changed its accounting principle relating to our interpretation of certain contingent settlement provisions within the Allianz and Constellation Warrants and permissibility of related settlement adjustments under ASC 815-40, </w:t>
      </w:r>
      <w:r>
        <w:rPr>
          <w:rFonts w:ascii="Times New Roman;serif" w:hAnsi="Times New Roman;serif"/>
          <w:b w:val="false"/>
          <w:i/>
          <w:color w:val="000000"/>
          <w:sz w:val="22"/>
        </w:rPr>
        <w:t xml:space="preserve">Contracts in an Entity’s Own Equity. </w:t>
      </w:r>
      <w:r>
        <w:rPr>
          <w:rFonts w:ascii="Times New Roman;serif" w:hAnsi="Times New Roman;serif"/>
          <w:b w:val="false"/>
          <w:color w:val="000000"/>
          <w:sz w:val="22"/>
        </w:rPr>
        <w:t xml:space="preserve">The Company believes this change in accounting principle is preferable as the Allianz and Constellation Warrants met the equity scope exception under ASC 815-40, </w:t>
      </w:r>
      <w:r>
        <w:rPr>
          <w:rFonts w:ascii="Times New Roman;serif" w:hAnsi="Times New Roman;serif"/>
          <w:b w:val="false"/>
          <w:i/>
          <w:color w:val="000000"/>
          <w:sz w:val="22"/>
        </w:rPr>
        <w:t>Contracts in an Entity’s Own Equity</w:t>
      </w:r>
      <w:r>
        <w:rPr>
          <w:rFonts w:ascii="Times New Roman;serif" w:hAnsi="Times New Roman;serif"/>
          <w:b w:val="false"/>
          <w:color w:val="000000"/>
          <w:sz w:val="22"/>
        </w:rPr>
        <w:t>, and the economic substance of the Allianz and Constellation Warrants more closely aligns with that of an equity instrument, and how we measure the operating performance of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change in accounting policy was applied retrospectively for the year-ended December 31, 2024. As a result of the accounting change, the Company adjusted Net income (loss) and Additional paid-in capital to reverse previously recorded mark-to-market fair value changes of the liability-classified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recorded as of the three and nine months ended September 30, 2024 of $3.9 million and $4.0 million, respectively. As of September 30, 2025, the Allianz and Constellation Warrants of $9.6 million are recognized as a component of equity within Additional paid-in capital on the Condensed Consolidated Statement of Financial Position.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erif" w:hAnsi="Times New Roman;serif"/>
          <w:b/>
          <w:i/>
          <w:color w:val="000000"/>
          <w:sz w:val="22"/>
        </w:rPr>
      </w:pPr>
      <w:r>
        <w:rPr>
          <w:rFonts w:ascii="Times New Roman;serif" w:hAnsi="Times New Roman;serif"/>
          <w:b/>
          <w:i/>
          <w:color w:val="000000"/>
          <w:sz w:val="22"/>
        </w:rPr>
        <w:t>(c)Use of Estimates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preparation of financial statements in conformity with US GAAP requires management to make assumptions and estimates that affect the amounts reported in the condensed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pStyle w:val="TextBody"/>
        <w:bidi w:val="0"/>
        <w:spacing w:lineRule="auto" w:line="288" w:before="200" w:after="283"/>
        <w:ind w:left="0" w:right="0" w:hanging="540"/>
        <w:jc w:val="both"/>
        <w:rPr/>
      </w:pPr>
      <w:r>
        <w:rPr>
          <w:rFonts w:ascii="Times New Roman;serif" w:hAnsi="Times New Roman;serif"/>
          <w:b/>
          <w:i/>
          <w:color w:val="000000"/>
          <w:sz w:val="22"/>
        </w:rPr>
        <w:t>(d)</w:t>
      </w:r>
      <w:r>
        <w:rPr>
          <w:rFonts w:ascii="Times New Roman;serif" w:hAnsi="Times New Roman;serif"/>
          <w:b/>
          <w:i/>
          <w:color w:val="000000"/>
          <w:sz w:val="22"/>
          <w:shd w:fill="FFFFFF" w:val="clear"/>
        </w:rPr>
        <w:t>Consolidation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(e)Revenue Recognition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Management/Advisory Fees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Investment management, trustee and custody fees are recognized over the period in which the investment management services are performed, using a time-based output method to measure progress. The amount of revenue varies from one reporting period to another as levels of AUA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change (from inflows, outflows, and market movements) and the number of days in the reporting period change.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services provided to each client account, the Company charges an investment management fee, inclusive of custody and/or trustee fees, based on the fair value of the AUM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Our family office services business is also included in the Management/advisory fees line item. Family office services fees are generally structured to reflect an annual agreed upon fee or they can be structured on a project/time-based fee. Family office services fees are typically billed quarterly in arrears. We also generate family office services project/time-based fees arising from accounting, administration fees, set up, the Foreign Account Tax Compliance Act (“FATCA”), and other non-investment advisory services.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Other Fees/Income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generates brokerage fees which are similar to arrangement fees except that they are generally paid for assisting public companies in raising capital.</w:t>
      </w:r>
    </w:p>
    <w:p>
      <w:pPr>
        <w:pStyle w:val="TextBody"/>
        <w:bidi w:val="0"/>
        <w:spacing w:lineRule="auto" w:line="26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(f)Distributions from Investments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pStyle w:val="TextBody"/>
        <w:bidi w:val="0"/>
        <w:spacing w:lineRule="auto" w:line="26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(g)Cash and Cash Equivalents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Cash and cash equivalents primarily consist of cash and money market funds. Cash balances maintained by consolidated VIEs are not considered legally restricted and are included in cash and cash equivalents on the Condensed Consolidated Statement of Financial Position. Cash was held across our 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international markets. A majority of cash in the U.S. was held in checking accounts at a major global financial institution which management believes is creditworthy.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(h)Restricted Cash and Cash Equivalents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Restricted cash and cash equivalents consist of balances that are restricted as to withdrawal or usage.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As of September 30, 2025 and December 31, 2024, restricted cash and cash equivalents amounted to $8.6 million and $9.1 million, respectively, and are included in the line item Cash and cash equivalents on the Condensed Consolidated Statement of Financial Position as of such dates. These amounts represent collateral held as well as the level of liquidity to be maintained by the Company’s certain subsidiaries to meet regulatory requirements. Failing to meet the requirement could lead to censure, fines, and ultimately a loss of license.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(i)Compensation and Employee Benefits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Cash-Based Compensation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Compensation and benefits consist of salaries, bonuses, commissions, benefits and payroll taxes. Compensation is accrued over the related service period.</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Equity-Based Compensation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for time-based awards or recognized over a graded-vesting period for awards with both a service and market condition, as applicable.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benefits or expenses in the Condensed Consolidated Statement of Operations.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 xml:space="preserve">(j)Foreign Currency and Transactions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that the Company intends to repay in the foreseeable future are recorded in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(k)Income Taxes</w:t>
      </w:r>
    </w:p>
    <w:p>
      <w:pPr>
        <w:pStyle w:val="TextBody"/>
        <w:bidi w:val="0"/>
        <w:spacing w:lineRule="auto" w:line="288" w:before="200" w:after="283"/>
        <w:jc w:val="both"/>
        <w:rPr/>
      </w:pPr>
      <w:r>
        <w:rPr>
          <w:rFonts w:ascii="Times New Roman;serif" w:hAnsi="Times New Roman;serif"/>
          <w:b w:val="false"/>
          <w:color w:val="000000"/>
          <w:sz w:val="22"/>
        </w:rPr>
        <w:t xml:space="preserve">The Company accounts for income taxes under the asset and liability method in accordance with ASC 740, </w:t>
      </w:r>
      <w:r>
        <w:rPr>
          <w:rFonts w:ascii="Times New Roman;serif" w:hAnsi="Times New Roman;serif"/>
          <w:b w:val="false"/>
          <w:i/>
          <w:color w:val="000000"/>
          <w:sz w:val="22"/>
        </w:rPr>
        <w:t>Income Taxes</w:t>
      </w:r>
      <w:r>
        <w:rPr>
          <w:rFonts w:ascii="Times New Roman;serif" w:hAnsi="Times New Roman;serif"/>
          <w:b w:val="false"/>
          <w:color w:val="000000"/>
          <w:sz w:val="22"/>
        </w:rPr>
        <w:t>.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not be realized, meaning the likelihood of realization is less than 50%.</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(l)Other Assets, Net and Other Liabilities,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Other assets, net include prepaid expenses, miscellaneous receivables, current income taxes receivable, fixed assets, and software licenses. The Company amortizes assets over their respective useful lives,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liabilities, net include accrued payroll and payroll related taxes, accrued legal fees, and corporate taxes payable, among other miscellaneous payables.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(m)Investments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erif" w:hAnsi="Times New Roman;serif"/>
          <w:b w:val="false"/>
          <w:i/>
          <w:color w:val="000000"/>
          <w:sz w:val="22"/>
        </w:rPr>
        <w:t>Investments in Debt Securities.</w:t>
      </w:r>
      <w:r>
        <w:rPr>
          <w:color w:val="000000"/>
        </w:rPr>
        <w:t xml:space="preserve"> </w:t>
      </w:r>
      <w:r>
        <w:rPr>
          <w:rFonts w:ascii="Times New Roman;serif" w:hAnsi="Times New Roman;serif"/>
          <w:b w:val="false"/>
          <w:color w:val="000000"/>
          <w:sz w:val="22"/>
        </w:rPr>
        <w:t>The Company classifies debt investments as held-to-maturity or trading based on the Company’s intent and ability to hold the debt security to maturity or its intent to sell the security. The Company does not have any held-to-maturity debt investments.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Trading securities are those investments that are purchased principally for the purpose of selling them in the near term. Trading securities are carried at fair value on the Condensed Consolidated Statement of Financial Position with changes in fair value recorded in Loss on investments on the Condensed Consolidated Statement of Operations.</w:t>
      </w:r>
    </w:p>
    <w:p>
      <w:pPr>
        <w:pStyle w:val="TextBody"/>
        <w:bidi w:val="0"/>
        <w:spacing w:lineRule="auto" w:line="288" w:before="200" w:after="283"/>
        <w:jc w:val="both"/>
        <w:rPr/>
      </w:pPr>
      <w:r>
        <w:rPr>
          <w:rFonts w:ascii="Times New Roman;serif" w:hAnsi="Times New Roman;serif"/>
          <w:b w:val="false"/>
          <w:i/>
          <w:color w:val="000000"/>
          <w:sz w:val="22"/>
        </w:rPr>
        <w:t>Investments in Equity Securities</w:t>
      </w:r>
      <w:r>
        <w:rPr>
          <w:rFonts w:ascii="Times New Roman;serif" w:hAnsi="Times New Roman;serif"/>
          <w:b w:val="false"/>
          <w:color w:val="000000"/>
          <w:sz w:val="22"/>
        </w:rPr>
        <w:t xml:space="preserve">. Equity securities are generally carried at fair value on the Condensed Consolidated Statement of Financial Position in accordance with ASC 321, </w:t>
      </w:r>
      <w:r>
        <w:rPr>
          <w:rFonts w:ascii="Times New Roman;serif" w:hAnsi="Times New Roman;serif"/>
          <w:b w:val="false"/>
          <w:i/>
          <w:color w:val="000000"/>
          <w:sz w:val="22"/>
        </w:rPr>
        <w:t>Investments – Equity Securities</w:t>
      </w:r>
      <w:r>
        <w:rPr>
          <w:rFonts w:ascii="Times New Roman;serif" w:hAnsi="Times New Roman;serif"/>
          <w:b w:val="false"/>
          <w:color w:val="000000"/>
          <w:sz w:val="22"/>
        </w:rPr>
        <w:t>. Changes in fair value are recorded in Loss on investments on the Condensed Consolidated Statement of Operations.</w:t>
      </w:r>
    </w:p>
    <w:p>
      <w:pPr>
        <w:pStyle w:val="TextBody"/>
        <w:bidi w:val="0"/>
        <w:spacing w:lineRule="auto" w:line="288" w:before="200" w:after="283"/>
        <w:jc w:val="both"/>
        <w:rPr/>
      </w:pPr>
      <w:r>
        <w:rPr>
          <w:rFonts w:ascii="Times New Roman;serif" w:hAnsi="Times New Roman;serif"/>
          <w:b w:val="false"/>
          <w:i/>
          <w:color w:val="000000"/>
          <w:sz w:val="22"/>
        </w:rPr>
        <w:t>Equity Method</w:t>
      </w:r>
      <w:r>
        <w:rPr>
          <w:rFonts w:ascii="Times New Roman;serif" w:hAnsi="Times New Roman;serif"/>
          <w:b w:val="false"/>
          <w:color w:val="000000"/>
          <w:sz w:val="22"/>
        </w:rPr>
        <w:t xml:space="preserve">. The Company applies the equity method of accounting for equity investments where the Company does not consolidate the investee but can exert significant 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pPr>
      <w:r>
        <w:rPr>
          <w:rFonts w:ascii="Times New Roman;serif" w:hAnsi="Times New Roman;serif"/>
          <w:b w:val="false"/>
          <w:color w:val="000000"/>
          <w:sz w:val="22"/>
        </w:rPr>
        <w:t xml:space="preserve">to be a return of capital. For certain investments, the Company may apply the alternative fair value option to the investment at initial measurement. The fair value measurement of investments in which the fair value option is elected will be measured in accordance with ASC 825, </w:t>
      </w:r>
      <w:r>
        <w:rPr>
          <w:rFonts w:ascii="Times New Roman;serif" w:hAnsi="Times New Roman;serif"/>
          <w:b w:val="false"/>
          <w:i/>
          <w:color w:val="000000"/>
          <w:sz w:val="22"/>
        </w:rPr>
        <w:t>Financial Instruments</w:t>
      </w:r>
      <w:r>
        <w:rPr>
          <w:rFonts w:ascii="Times New Roman;serif" w:hAnsi="Times New Roman;serif"/>
          <w:b w:val="false"/>
          <w:color w:val="000000"/>
          <w:sz w:val="22"/>
        </w:rPr>
        <w:t xml:space="preserv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(n)Leases</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serif" w:hAnsi="Times New Roman;serif"/>
          <w:b w:val="false"/>
          <w:i/>
          <w:color w:val="000000"/>
          <w:sz w:val="22"/>
        </w:rPr>
        <w:t>Leases,</w:t>
      </w:r>
      <w:r>
        <w:rPr>
          <w:color w:val="000000"/>
        </w:rPr>
        <w:t xml:space="preserve"> </w:t>
      </w:r>
      <w:r>
        <w:rPr>
          <w:rFonts w:ascii="Times New Roman;serif" w:hAnsi="Times New Roman;serif"/>
          <w:b w:val="false"/>
          <w:color w:val="000000"/>
          <w:sz w:val="22"/>
        </w:rPr>
        <w:t>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(o)Intangible Assets Other Than Goodwill,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recognized certain finite-lived intangible assets as a result of the Business Combination. The Company’s finite-lived intangible assets consist of Customer Relationships, Trade Names, Investment Management Agreements, Licenses, Internally Developed Software and Backlog. Finite-lived intangible assets are amortized on a straight-line basis over their estimated useful lives.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See Note 11 (Intangible Assets, net) for details on impairments. </w:t>
      </w:r>
    </w:p>
    <w:p>
      <w:pPr>
        <w:pStyle w:val="TextBody"/>
        <w:bidi w:val="0"/>
        <w:spacing w:lineRule="auto" w:line="288" w:before="200" w:after="283"/>
        <w:ind w:left="0" w:right="0" w:hanging="540"/>
        <w:jc w:val="both"/>
        <w:rPr/>
      </w:pPr>
      <w:r>
        <w:rPr>
          <w:rFonts w:ascii="Times New Roman;serif" w:hAnsi="Times New Roman;serif"/>
          <w:b/>
          <w:i/>
          <w:color w:val="000000"/>
          <w:sz w:val="24"/>
        </w:rPr>
        <w:t>(p)</w:t>
      </w:r>
      <w:r>
        <w:rPr>
          <w:rFonts w:ascii="Times New Roman;serif" w:hAnsi="Times New Roman;serif"/>
          <w:b/>
          <w:i/>
          <w:color w:val="000000"/>
          <w:sz w:val="22"/>
        </w:rPr>
        <w:t>Goodwill</w:t>
      </w:r>
    </w:p>
    <w:p>
      <w:pPr>
        <w:pStyle w:val="TextBody"/>
        <w:bidi w:val="0"/>
        <w:spacing w:lineRule="auto" w:line="288" w:before="200" w:after="283"/>
        <w:jc w:val="both"/>
        <w:rPr/>
      </w:pPr>
      <w:r>
        <w:rPr>
          <w:rFonts w:ascii="Times New Roman;serif" w:hAnsi="Times New Roman;serif"/>
          <w:b w:val="false"/>
          <w:color w:val="000000"/>
          <w:sz w:val="22"/>
        </w:rPr>
        <w:t xml:space="preserve">Goodwill represents the excess of the purchase price in a business combination over the fair value of the tangible and intangible assets acquired and the liabilities assumed. Under ASC 350, </w:t>
      </w:r>
      <w:r>
        <w:rPr>
          <w:rFonts w:ascii="Times New Roman;serif" w:hAnsi="Times New Roman;serif"/>
          <w:b w:val="false"/>
          <w:i/>
          <w:color w:val="000000"/>
          <w:sz w:val="22"/>
        </w:rPr>
        <w:t>Intangibles—Goodwill and Other</w:t>
      </w:r>
      <w:r>
        <w:rPr>
          <w:rFonts w:ascii="Times New Roman;serif" w:hAnsi="Times New Roman;serif"/>
          <w:b w:val="false"/>
          <w:color w:val="000000"/>
          <w:sz w:val="22"/>
        </w:rPr>
        <w:t xml:space="preserve">, goodwill is not amortized, but rather is subject to an annual impairment test. Goodwill represents the excess of consideration over identifiable net assets of an acquired business. The Company has one reporting unit, and tests goodwill annually for impairment. If, after assessing qualitative factors, the Company believes that it is more likely than 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See Note 14 (Goodwill, net) for details on impairments. </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(q)Fixed Assets,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is the lesser of the remaining lease term and the life of the asset, while other fixed assets are generally depreciated over a period of one to ten years. Fixed assets are reviewed for impairment whenever events or changes in circumstances indicate that the carrying amount of an asset may not be recoverable.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(r)Debt Obligations,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debt obligations are recorded at amortized cost, net of any debt issuance costs, discounts and premiums. Debt issuance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 </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(s)Tax Receivable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Condensed Consolidated Statement of Operations. Future exchanges of Class B Units for shares of Class A Common Stock may increase the TRA liability. Those increases will be carried at a value equal to the expected future payments due under the TRA. See Note 20 (Commitments and Contingencies) for a detailed discussion on TRA exchanges. For future changes in the TRA balance due to exchanges, the Company will record an initial estimate of future payments under the TRA portion as an adjustment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(t)Earn-out Liabilities, at Fair Value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Earn-out liabilities, at fair value, represents contingent consideration payable related to the Business Combination and various acquisitions by the Company. Changes in fair value are recognized in Gain (loss) on earnout liabilities in the Condensed Consolidated Statement of Operations and in Fair value (gain) loss on earnout liability in the Condensed Consolidated Statement of Cash Flows in the period of change. See Note 4 (Business Combinations and Divestitures) and Note 20 (Commitments and Contingencies) for further information.</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(u)Preferred Stock Tranche Liability, at Fair Value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Preferred stock tranche liability, at fair value, represents the right, but not the obligation, of Allianz to purchase up to 50,000 additional shares of Series A Preferred Stock up to an aggregate amount equal to $50 million. On May 13, 2025, Allianz exercised the Allianz Tranche Right to purchase an additional 18,471 shares of Series A Preferred Stock at $1,000 per share. Changes in fair value are recognized in Gain (loss) on preferred stock tranche liability in the Condensed Consolidated Statement of Operations in the period of change. See Note 1 (Description of the Business), Note 8 (Fair Value Disclosures), and Note 15 (Debt, net of unamortized deferred financing cost) for additional detail related to the Preferred stock tranche liability. </w:t>
      </w:r>
    </w:p>
    <w:p>
      <w:pPr>
        <w:pStyle w:val="TextBody"/>
        <w:bidi w:val="0"/>
        <w:spacing w:lineRule="auto" w:line="276"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(v)Equity-Classified Warrants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 xml:space="preserve">In connection with the Allianz and Constellation Transactions, the Company issued warrants to purchase shares of the Company’s Class A Common Stock. The Company evaluated the Allianz and Constellation Warrants in accordance with ASC 815-40, </w:t>
      </w:r>
      <w:r>
        <w:rPr>
          <w:rFonts w:ascii="Times New Roman;serif" w:hAnsi="Times New Roman;serif"/>
          <w:b w:val="false"/>
          <w:i/>
          <w:color w:val="000000"/>
          <w:sz w:val="22"/>
        </w:rPr>
        <w:t>Contracts in an Entity’s Own Equity</w:t>
      </w:r>
      <w:r>
        <w:rPr>
          <w:rFonts w:ascii="Times New Roman;serif" w:hAnsi="Times New Roman;serif"/>
          <w:b w:val="false"/>
          <w:color w:val="000000"/>
          <w:sz w:val="22"/>
        </w:rPr>
        <w:t xml:space="preserve">, and determined that the warrants are derivatives that meet the fixed-for-fixed equity classification criteria. As such, the Allianz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and Constellation Warrants are classified as a component of equity in the Condensed Consolidated Statement of Financial Position.</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(w)Delayed Share Purchase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Prior to the Business Combination, TWMH entered into a delayed share purchase agreement (the “TIH SPA”) to purchase a remaining non-controlling interest in its consolidated subsidiary representing 51.1% of shares in TIH. This arrangement was agreed upon for consideration of $2.1 million in cash and $1.2 million in Class A Common Stock. On March 25, 2024, the TIH SPA was fully paid. The stock purchase price was recognized in the Condensed Consolidated Statement of Financial Condition as Additional paid-in capital. As of December 31, 2024, the portion of the TIH SPA reported in Additional paid-in capital was $40.0 thousand.</w:t>
      </w:r>
    </w:p>
    <w:p>
      <w:pPr>
        <w:pStyle w:val="TextBody"/>
        <w:bidi w:val="0"/>
        <w:spacing w:lineRule="auto" w:line="26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(x)Non-controlling Interests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(y)Derivative Financial Instruments</w:t>
      </w:r>
    </w:p>
    <w:p>
      <w:pPr>
        <w:pStyle w:val="TextBody"/>
        <w:bidi w:val="0"/>
        <w:spacing w:lineRule="auto" w:line="288" w:before="200" w:after="283"/>
        <w:jc w:val="both"/>
        <w:rPr/>
      </w:pPr>
      <w:r>
        <w:rPr>
          <w:rFonts w:ascii="Times New Roman;serif" w:hAnsi="Times New Roman;serif"/>
          <w:b w:val="false"/>
          <w:color w:val="000000"/>
          <w:sz w:val="22"/>
        </w:rPr>
        <w:t xml:space="preserve">The Company accounts for derivative financial instruments in accordance with ASC 815, </w:t>
      </w:r>
      <w:r>
        <w:rPr>
          <w:rFonts w:ascii="Times New Roman;serif" w:hAnsi="Times New Roman;serif"/>
          <w:b w:val="false"/>
          <w:i/>
          <w:color w:val="000000"/>
          <w:sz w:val="22"/>
        </w:rPr>
        <w:t>Derivatives and Hedging</w:t>
      </w:r>
      <w:r>
        <w:rPr>
          <w:rFonts w:ascii="Times New Roman;serif" w:hAnsi="Times New Roman;serif"/>
          <w:b w:val="false"/>
          <w:color w:val="000000"/>
          <w:sz w:val="22"/>
        </w:rPr>
        <w:t xml:space="preserve">, which requires the Company to recognize all derivative instruments on the Condensed Consolidated Statement of Financial Position as either assets or liabilities and to measure them at fair value each reporting period unless they qualify for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color w:val="000000"/>
          <w:sz w:val="22"/>
        </w:rPr>
        <w:t xml:space="preserve">In connection with the LXi disposal, the Company determined the contingent consideration meets the definition of a derivative and is recorded as Contingent consideration receivable on the Condensed Consolidated Statement of Financial Position as of September 30, 2025. The Contingent consideration receivable will be remeasured at fair value at each reporting date in accordance with ASC 820, </w:t>
      </w:r>
      <w:r>
        <w:rPr>
          <w:rFonts w:ascii="Times New Roman;serif" w:hAnsi="Times New Roman;serif"/>
          <w:b w:val="false"/>
          <w:i/>
          <w:color w:val="000000"/>
          <w:sz w:val="22"/>
        </w:rPr>
        <w:t>Fair Value Measurement</w:t>
      </w:r>
      <w:r>
        <w:rPr>
          <w:rFonts w:ascii="Times New Roman;serif" w:hAnsi="Times New Roman;serif"/>
          <w:b w:val="false"/>
          <w:color w:val="000000"/>
          <w:sz w:val="22"/>
        </w:rPr>
        <w:t>, with changes in fair value recognized in the Condensed Consolidated Statement of Operations in the period of change.</w:t>
      </w:r>
    </w:p>
    <w:p>
      <w:pPr>
        <w:pStyle w:val="TextBody"/>
        <w:bidi w:val="0"/>
        <w:spacing w:lineRule="auto" w:line="288"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(z)Segment Reporting</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Prior to the third quarter ended September 30, 2025, the Company was organized into two operating segments: Wealth &amp; Capital Solutions and International Real Estate. During the third quarter ended September 30, 2025, the Company disposed of its International Real Estate segment with an effective date of July 11, 2025, and as such, is organized as one reportable segment as of September 30, 2025. See Note 3 (Discontinued Operations). Additionally, during the third quarter ended September 30, 2024, the Company changed the composition of its reportable segments and recast prior period amounts to conform to the Company’s then current period segment information. Segment information is utilized by the Company’s chief operating decision maker, which is our Chief Executive Officer, to assess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and to allocate resources. See Note 1 (Description of the Business) and Note 18 (Segment Reporting) for further information.</w:t>
      </w:r>
    </w:p>
    <w:p>
      <w:pPr>
        <w:pStyle w:val="TextBody"/>
        <w:bidi w:val="0"/>
        <w:spacing w:lineRule="auto" w:line="256" w:before="20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(aa)Interest Income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Interest income is earned on the Company’s cash balances, money market accounts, or through its investments in exchange-traded notes. These generally include debt securities held on a short- or medium-term basis when the Company has excess cash. The Company recognizes and records interest income in Interest income in the Condensed Consolidated Statement of Operations.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Dividend income is earned through investments in common stock, mutual funds, and exchange-traded funds. Dividend income is recorded on the date received and is included in Interest income in the Condensed Consolidated Statement of Operations.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erif" w:hAnsi="Times New Roman;serif"/>
          <w:b/>
          <w:i/>
          <w:color w:val="000000"/>
          <w:sz w:val="22"/>
        </w:rPr>
      </w:pPr>
      <w:r>
        <w:rPr>
          <w:rFonts w:ascii="Times New Roman;serif" w:hAnsi="Times New Roman;serif"/>
          <w:b/>
          <w:i/>
          <w:color w:val="000000"/>
          <w:sz w:val="22"/>
        </w:rPr>
        <w:t>(ab)Interest Expense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Interest is related to the Company’s debt as well as investments in exchange-traded notes. These generally include debt securities held on a short- or medium-term basis when the Company has excess cash. The Company recognizes and records interest expense in Interest expense in the Condensed Consolidated Statement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erif" w:hAnsi="Times New Roman;serif"/>
          <w:b/>
          <w:i/>
          <w:color w:val="000000"/>
          <w:sz w:val="22"/>
        </w:rPr>
      </w:pPr>
      <w:r>
        <w:rPr>
          <w:rFonts w:ascii="Times New Roman;serif" w:hAnsi="Times New Roman;serif"/>
          <w:b/>
          <w:i/>
          <w:color w:val="000000"/>
          <w:sz w:val="22"/>
        </w:rPr>
        <w:t>(ac)Other Income and Expenses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color w:val="000000"/>
        </w:rPr>
      </w:pPr>
      <w:r>
        <w:rPr>
          <w:color w:val="000000"/>
        </w:rPr>
        <w:t>    </w:t>
      </w:r>
      <w:r>
        <w:rPr>
          <w:rFonts w:ascii="Times New Roman;serif" w:hAnsi="Times New Roman;serif"/>
          <w:b w:val="false"/>
          <w:color w:val="000000"/>
          <w:sz w:val="22"/>
        </w:rPr>
        <w:t xml:space="preserve">Other than Interest income and Interest expense discussed above, other income and expenses include unrealized gains (losses) on investments, income from equity method investees, and other items.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holds investments in common stock, mutual funds, exchange-traded funds, and exchange-traded notes, which represent investments in equity and debt securities. The Company earns realized and unrealized gains and losses which depend on investment performance. Changes in fair value of these investments are recorded in Gain (loss) on investments in the Condensed Consolidated Statement of Operations.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Gain (loss) on investments in the Condensed Consolidated Statement of Operations.</w:t>
      </w:r>
    </w:p>
    <w:p>
      <w:pPr>
        <w:pStyle w:val="TextBody"/>
        <w:bidi w:val="0"/>
        <w:spacing w:before="0" w:after="0"/>
        <w:jc w:val="both"/>
        <w:rPr/>
      </w:pPr>
      <w:r>
        <w:rPr/>
      </w:r>
    </w:p>
    <w:p>
      <w:pPr>
        <w:pStyle w:val="TextBody"/>
        <w:bidi w:val="0"/>
        <w:spacing w:lineRule="auto" w:line="288" w:before="60" w:after="283"/>
        <w:ind w:left="0" w:right="0" w:hanging="540"/>
        <w:jc w:val="both"/>
        <w:rPr>
          <w:rFonts w:ascii="Times New Roman;serif" w:hAnsi="Times New Roman;serif"/>
          <w:b/>
          <w:i/>
          <w:color w:val="000000"/>
          <w:sz w:val="22"/>
        </w:rPr>
      </w:pPr>
      <w:r>
        <w:rPr>
          <w:rFonts w:ascii="Times New Roman;serif" w:hAnsi="Times New Roman;serif"/>
          <w:b/>
          <w:i/>
          <w:color w:val="000000"/>
          <w:sz w:val="22"/>
        </w:rPr>
        <w:t>(ad)Held for Sale Accounting</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In circumstances when the Company is evaluating its components, we may establish plans that require us to evaluate whether a component qualifies for held-for-sale accounting under ASC 360, </w:t>
      </w:r>
      <w:r>
        <w:rPr>
          <w:rFonts w:ascii="Times New Roman;serif" w:hAnsi="Times New Roman;serif"/>
          <w:b w:val="false"/>
          <w:i/>
          <w:color w:val="000000"/>
          <w:sz w:val="22"/>
        </w:rPr>
        <w:t>Property, Plant, and Equipment</w:t>
      </w:r>
      <w:r>
        <w:rPr>
          <w:rFonts w:ascii="Times New Roman;serif" w:hAnsi="Times New Roman;serif"/>
          <w:b w:val="false"/>
          <w:color w:val="000000"/>
          <w:sz w:val="22"/>
        </w:rPr>
        <w:t xml:space="preserve">. If a sale is deemed probable within a twelve-month period, the component is classified to either the assets held for sale or liabilities held for sale line items on the Condensed Consolidated Statement of Financial Position. The disposal group will be measured at the lower of its carrying amount or fair value less the cost to sell. Any long-lived assets shall not be depreciated or amortized while classified as held for sale.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i/>
          <w:color w:val="000000"/>
          <w:sz w:val="22"/>
        </w:rPr>
      </w:pPr>
      <w:r>
        <w:rPr>
          <w:rFonts w:ascii="Times New Roman;serif" w:hAnsi="Times New Roman;serif"/>
          <w:b/>
          <w:i/>
          <w:color w:val="000000"/>
          <w:sz w:val="22"/>
        </w:rPr>
        <w:t xml:space="preserve">(ae)Recent Accounting Pronouncements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December 2023, the FASB issued ASU 2023-09, Income Taxes (Topic 740) - Improvements to Income Tax Disclosures.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are effective for annual periods beginning after December 15, 2024, with early adoption permitted. The Company adopted this guidance on January 1, 2025. The adoption of this guidance did not have a material effect on its condensed consolidated financial statements.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In January 2024, the FASB issued ASU 2024-01, Compensation—Stock Compensation (Topic 718) - Scope Application of Profits Interest and Similar Awards. The amendments in this update improve US GAAP by adding an illustrative example that demonstrates how an entity should apply the scope guidance in paragraph 718-10-15-3 to determine whether a profits interest award should be accounted for in accordance with Topic 718. The amendments in paragraph 718-10-15-3 improve their overall clarity and operability without changing the guidance. The amendments are effective for annual periods beginning after December 15, 2024, and interim periods within annual periods beginning after December 15, 2025, with early adoption permitted. The Company adopted this guidance on January 1, 2025. The adoption of this guidance did not have a material effect on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November 2024, the FASB issued ASU 2024-03, Income Statement—Reporting Comprehensive Income—Expense Disaggregation Disclosures (Subtopic 220-40). The amendments in this update require disclosure, in the notes to financial statements, of specified information about certain costs and expenses at each interim and annual reporting period. The amendments are effective for annual periods beginning after December 15, 2026, and reporting periods within annual reporting periods beginning after December 15, 2027,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May 2025, the FASB issued ASU 2025-03, Business Combinations (Topic 805) and Consolidation (Topic 810): Determining the Accounting Acquirer in the Acquisition of a Variable Interest Entity. The amendments in this update clarify the guidance in determining the acquirer in an acquisition transaction effected primarily by exchanging equity interests when the legal acquiree is a VIE that meets the definition of a business. The amendments require that an entity consider the same factors that are currently required for determining which entity is the accounting acquirer in other acquisition transactions. The amendments are effective for annual periods beginning after December 15, 2026, and interim reporting periods within those annual reporting periods,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July 2025, the FASB issued ASU 2025-05, Financial Instruments—Credit Losses (Topic 326): Measurement of Credit Losses for Accounts Receivable and Contract Assets. The amendments in this update provide all entities, when developing reasonable and supportable forecasts as part of estimating expected credit losses, the election of a practical expedient that assumes that current conditions as of the balance sheet date do not change for the remaining life of the asset. The amendments are effective for annual periods beginning after December 15, 2025, and interim reporting periods within those annual reporting periods.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2025, the FASB issued ASU 2025-06, Intangibles—Goodwill and Other— Internal-Use Software (Subtopic 350-40): Targeted Improvements to the Accounting for Internal-Use Software. The amendments in this update simplify the capitalization guidance by removing all references to software development project stages so that the guidance is neutral to different software development methods. The amendments in this ASU are effective for annual reporting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2027, and interim reporting periods within those annual reporting periods,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September 2025, the FASB issued ASU 2025-07, Derivatives and Hedging (Topic 815) and Revenue from Contracts with Customers (Topic 606): Derivatives Scope Refinements and Scope Clarification for Share-Based Noncash Consideration from a Customer in a Revenue Contract. The amendments in this update expand the scope exception for certain contracts not traded on an exchange to include contracts for which settlement is based on operations or activities specific to one of the parties to the contract and reduces the diversity in accounting for share-based noncash consideration from a customer that is consideration for the transfer of goods or services by clarifying when Topic 606 and other Topics are applicable. The amendments in this ASU are effective for annual reporting periods beginning after December 15, 2026, and interim reporting periods within those annual reporting periods, with early adoption permitted. The Company does not expect the impact of this guidance to be material to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(3)Discontinued Operations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the Company placed its International Real Estate Businesses under administration in accordance with insolvency laws within the United Kingdom by giving control to the appointed administrators, Teneo, for purposes of conducting an orderly wind-down. The Company determined it was appropriate to deconsolidate its International Real Estate Businesses resulting from the disposition of the Company’s controlling interest. We concluded that the transaction meets the criteria for discontinued operations as the disposal of the International Real Estate Businesses is a strategic shift that will have a significant effect on our operations and financial results. </w:t>
      </w:r>
    </w:p>
    <w:p>
      <w:pPr>
        <w:pStyle w:val="TextBody"/>
        <w:bidi w:val="0"/>
        <w:spacing w:lineRule="auto" w:line="268" w:before="200" w:after="283"/>
        <w:jc w:val="both"/>
        <w:rPr/>
      </w:pPr>
      <w:r>
        <w:rPr>
          <w:rFonts w:ascii="Times New Roman;serif" w:hAnsi="Times New Roman;serif"/>
          <w:b w:val="false"/>
          <w:color w:val="000000"/>
          <w:sz w:val="22"/>
        </w:rPr>
        <w:t xml:space="preserve">As such, the assets and liabilities, results of operations and cash flows of the International Real Estate Businesses have been classified as discontinued operations for all periods presented in accordance with ASC 205-20, </w:t>
      </w:r>
      <w:r>
        <w:rPr>
          <w:rFonts w:ascii="Times New Roman;serif" w:hAnsi="Times New Roman;serif"/>
          <w:b w:val="false"/>
          <w:i/>
          <w:color w:val="000000"/>
          <w:sz w:val="22"/>
        </w:rPr>
        <w:t xml:space="preserve">Discontinued Operations. </w:t>
      </w:r>
      <w:r>
        <w:rPr>
          <w:rFonts w:ascii="Times New Roman;serif" w:hAnsi="Times New Roman;serif"/>
          <w:b w:val="false"/>
          <w:color w:val="000000"/>
          <w:sz w:val="22"/>
        </w:rPr>
        <w:t xml:space="preserve">As a result, the Company only has one reportable segment remaining. See Note 18 (Segment Reporting). The Company recognized a loss upon disposal of its International Real Estate Businesses of $19.6 million, which is included in the Net income (loss) from discontinued operations in the Condensed Consolidated Statement of Operations as of September 30, 2025.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Upon deconsolidation, intercompany balances between the Company and the International Real Estate Businesses were recognized as third-party balances, which include Other receivables of $2.1 million, which are recorded in Other assets, and other payables of $22.1 million, which are recorded in Accounts payable and accrued expenses, in the Condensed Consolidated Statement of Financial Position as part of continuing operations. Additionally, certain on-going services such as payroll, information technology, and other administrative support, in which the Company acts as a service provider will continue to be provided to the International Real Estate Businesses through the end of the transitionary wind-down period of December 31, 2027. As part of the arrangement with Teneo, these on-going services are recognized as payments against the third party Accounts payable balance. A total of $3.3 million, which includes on-going services of $0.6 million, were paid against the third party Accounts payable balance as of the third quarter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the assets and liabilities classified as discontinued operations:</w:t>
      </w:r>
    </w:p>
    <w:tbl>
      <w:tblPr>
        <w:tblW w:w="5796" w:type="dxa"/>
        <w:jc w:val="left"/>
        <w:tblInd w:w="0" w:type="dxa"/>
        <w:tblLayout w:type="fixed"/>
        <w:tblCellMar>
          <w:top w:w="28" w:type="dxa"/>
          <w:left w:w="28" w:type="dxa"/>
          <w:bottom w:w="28" w:type="dxa"/>
          <w:right w:w="28" w:type="dxa"/>
        </w:tblCellMar>
      </w:tblPr>
      <w:tblGrid>
        <w:gridCol w:w="1283"/>
        <w:gridCol w:w="1125"/>
        <w:gridCol w:w="1131"/>
        <w:gridCol w:w="109"/>
        <w:gridCol w:w="109"/>
        <w:gridCol w:w="395"/>
        <w:gridCol w:w="1334"/>
        <w:gridCol w:w="310"/>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1,389</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25,474</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profit sharing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net of unamortized deferred financing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14,897</w:t>
            </w:r>
            <w:r>
              <w:rPr>
                <w:color w:val="000000"/>
              </w:rPr>
              <w:t>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net income (loss) from discontinued operations, net of taxes:</w:t>
      </w:r>
    </w:p>
    <w:tbl>
      <w:tblPr>
        <w:tblW w:w="10205" w:type="dxa"/>
        <w:jc w:val="left"/>
        <w:tblInd w:w="0" w:type="dxa"/>
        <w:tblLayout w:type="fixed"/>
        <w:tblCellMar>
          <w:top w:w="28" w:type="dxa"/>
          <w:left w:w="28" w:type="dxa"/>
          <w:bottom w:w="28" w:type="dxa"/>
          <w:right w:w="28" w:type="dxa"/>
        </w:tblCellMar>
      </w:tblPr>
      <w:tblGrid>
        <w:gridCol w:w="1311"/>
        <w:gridCol w:w="1077"/>
        <w:gridCol w:w="1082"/>
        <w:gridCol w:w="266"/>
        <w:gridCol w:w="958"/>
        <w:gridCol w:w="147"/>
        <w:gridCol w:w="109"/>
        <w:gridCol w:w="109"/>
        <w:gridCol w:w="109"/>
        <w:gridCol w:w="266"/>
        <w:gridCol w:w="958"/>
        <w:gridCol w:w="147"/>
        <w:gridCol w:w="109"/>
        <w:gridCol w:w="109"/>
        <w:gridCol w:w="109"/>
        <w:gridCol w:w="266"/>
        <w:gridCol w:w="958"/>
        <w:gridCol w:w="147"/>
        <w:gridCol w:w="109"/>
        <w:gridCol w:w="109"/>
        <w:gridCol w:w="109"/>
        <w:gridCol w:w="266"/>
        <w:gridCol w:w="958"/>
        <w:gridCol w:w="147"/>
        <w:gridCol w:w="109"/>
        <w:gridCol w:w="161"/>
      </w:tblGrid>
      <w:tr>
        <w:trPr/>
        <w:tc>
          <w:tcPr>
            <w:tcW w:w="131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 (loss)</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goodwill and intangible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(47,906)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(64,593)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income tax</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(47,905)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(30,846)</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(64,663)</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related to the disposal of the International Real Estate Businesses are included in the discontinued operations section of the Condensed Consolidated Statement of Cash Flows for all periods presented. </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International Real Estate</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Prior to deconsolidation, the Company’s International Real Estate segment included its Real Estate Co-Investment and Real Estate Fund Management businesses. </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Real Estate Co-Investment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Real Estate Co-Investment oversaw deal origination, documentation, and structuring from inception to exit for a variety of strategies, including development, income, value-add, and planning. Investors were typically HNWIs, single family offices, and institutional investors. Management fees were earned through private real estate fund advisory and recurring fees. These fees, governed by an investment advisory agreement, were calculated on a sliding scale based on the fund’s NAV. As a sponsor of private market transactions, the Real Estate Co-Investment businesses generated income from debt and equity structures, including arrangement, management, advisory, performance, and transaction fees. If feeder vehicles were established for clients, additional administration and advisory fees also applied.</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Real Estate Fund Management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Prior to the first quarter of 2024, the Real Estate Fund Management business managed two funds based in the United Kingdom: LXi REIT plc (“LXi”), and Home Long Income Fund (“HLIF”), a private fund. As described further below, during 2024 the Company had exited the management of LXi.</w:t>
      </w:r>
    </w:p>
    <w:p>
      <w:pPr>
        <w:pStyle w:val="TextBody"/>
        <w:bidi w:val="0"/>
        <w:spacing w:lineRule="auto" w:line="288" w:before="20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Home Long Income Fund</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Home Long Income Fund was an English open-ended investment company launched in October 2018. Its investment objective was to deliver secure inflation-protected income and capital growth by investing in a portfolio of UK homeless shelters. HLIF was advised by SHIA and AFM UK acted as its alternative investment fund manager. Both SHIA and AFM UK were wholly owned subsidiaries of the Company. See Note 20 (Commitments and Contingencies) for discussion on HLIF’s litigation status. </w:t>
      </w:r>
    </w:p>
    <w:p>
      <w:pPr>
        <w:pStyle w:val="TextBody"/>
        <w:bidi w:val="0"/>
        <w:spacing w:lineRule="auto" w:line="288" w:before="20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LXi REIT plc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LXi was an English real estate investment trust company, launched in February 2017, whose shares are traded on the premium segment of the London Stock Exchange’s Main Market. LXi was advised by LXi REIT Advisors Limited (“LRA”), and its investment objective was to deliver inflation-protected income and capital growth over the medium-term for its shareholders through investing in a diversified portfolio of UK property that benefited from long-term index-linked leases with institutional-grade tenants. On January 9, 2024, AlTi RE Public Markets Limited entered into heads of terms to sell 100% of the equity of LRA, the advisor to the publicly-traded fund LXi, to LondonMetric Property Plc (“LondonMetric”). This disposal was completed on March 6,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(4)Business Combinations and Divestitures</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Acquisition of East End Advisors, LLC</w:t>
      </w:r>
    </w:p>
    <w:p>
      <w:pPr>
        <w:pStyle w:val="TextBody"/>
        <w:bidi w:val="0"/>
        <w:spacing w:lineRule="auto" w:line="256"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April 3, 2024 (the “EEA Acquisition Date”), the Company acquired all of the issued and outstanding ownership and membership interests of EEA pursuant to the terms of the purchase agreement between the Company and EEA Holding Company, LLC (the “EEA Acquisition”).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EEA Acquisition met the requirements to be considered a business combination under ASC 805. The assets and liabilities acquired from East End Advisors, affected for preliminary adjustments to reflect the fair market values assigned to assets purchased and liabilities assumed, and results of operations, are included in the Company’s condensed consolidated financial statements from the EEA Acquisition Date. The Company has allocated the purchase price to the tangible and identifiable intangible assets acquired and liabilities assumed based on their estimated fair market values at the EEA Acquisition Date as required under ASC 805.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EEA Acquisition was accounted for using the acquisition method of accounting and the fair value of the total purchase consideration transferred was $93.1 million. Included in the total purchase consideration is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 acquisition date and recorded within the Earn-out liabilities, at fair value line item in the Condensed Consolidated Statement of Financial Position.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tbl>
      <w:tblPr>
        <w:tblW w:w="5361" w:type="dxa"/>
        <w:jc w:val="left"/>
        <w:tblInd w:w="0" w:type="dxa"/>
        <w:tblLayout w:type="fixed"/>
        <w:tblCellMar>
          <w:top w:w="28" w:type="dxa"/>
          <w:left w:w="28" w:type="dxa"/>
          <w:bottom w:w="28" w:type="dxa"/>
          <w:right w:w="28" w:type="dxa"/>
        </w:tblCellMar>
      </w:tblPr>
      <w:tblGrid>
        <w:gridCol w:w="1505"/>
        <w:gridCol w:w="1321"/>
        <w:gridCol w:w="1329"/>
        <w:gridCol w:w="226"/>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consideration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69,013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 installments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assumed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93,114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incurred $1.3 million of direct acquisition-related expenses, which were recognized in the Professional fees line item of the Condensed Consolidated Statement of Operations during the year ended December 31, 2024.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fair values of the assets acquired and liabilities assumed in connection with the EEA Acquisition: </w:t>
      </w:r>
    </w:p>
    <w:tbl>
      <w:tblPr>
        <w:tblW w:w="8053" w:type="dxa"/>
        <w:jc w:val="left"/>
        <w:tblInd w:w="0" w:type="dxa"/>
        <w:tblLayout w:type="fixed"/>
        <w:tblCellMar>
          <w:top w:w="28" w:type="dxa"/>
          <w:left w:w="28" w:type="dxa"/>
          <w:bottom w:w="28" w:type="dxa"/>
          <w:right w:w="28" w:type="dxa"/>
        </w:tblCellMar>
      </w:tblPr>
      <w:tblGrid>
        <w:gridCol w:w="1683"/>
        <w:gridCol w:w="1479"/>
        <w:gridCol w:w="1487"/>
        <w:gridCol w:w="636"/>
        <w:gridCol w:w="2331"/>
        <w:gridCol w:w="437"/>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EEA Acquisition Date 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Management/advisory fees receivable</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62,700 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30,094 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assets</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2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96,531</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2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liabilities </w:t>
            </w:r>
          </w:p>
        </w:tc>
        <w:tc>
          <w:tcPr>
            <w:tcW w:w="2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2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3,417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93,114</w:t>
            </w: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 ended December 31, 2024, the Company made a measurement period adjustment to the purchase price allocation, which resulted in an increase to goodwill and a decrease to intangibles of $4.6 million.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2"/>
        </w:rPr>
      </w:pPr>
      <w:r>
        <w:rPr>
          <w:rFonts w:ascii="Times New Roman;serif" w:hAnsi="Times New Roman;serif"/>
          <w:b/>
          <w:i/>
          <w:color w:val="000000"/>
          <w:sz w:val="22"/>
        </w:rPr>
        <w:t>Fair Value of Net Assets Acquired and Intangibles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With the exception of operating right-of-use assets and operating lease liabilities accounted for under ASC 842, </w:t>
      </w:r>
      <w:r>
        <w:rPr>
          <w:rFonts w:ascii="Times New Roman;serif" w:hAnsi="Times New Roman;serif"/>
          <w:b w:val="false"/>
          <w:i/>
          <w:color w:val="000000"/>
          <w:sz w:val="22"/>
        </w:rPr>
        <w:t>Leases</w:t>
      </w:r>
      <w:r>
        <w:rPr>
          <w:rFonts w:ascii="Times New Roman;serif" w:hAnsi="Times New Roman;serif"/>
          <w:b w:val="false"/>
          <w:color w:val="000000"/>
          <w:sz w:val="22"/>
        </w:rPr>
        <w:t xml:space="preserve">, in accordance with ASC 805, the assets and liabilities were recorded at their respective fair values as of April 1, 2024. The Company developed the fair value of intangible assets, which includes trade names, customer relationships and developed technology, using various techniques including relief of royalty, excess earnings method, and a discounted cash flow approach.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EEA Acquisition:</w:t>
      </w:r>
    </w:p>
    <w:p>
      <w:pPr>
        <w:pStyle w:val="TextBody"/>
        <w:bidi w:val="0"/>
        <w:spacing w:before="0" w:after="0"/>
        <w:jc w:val="left"/>
        <w:rPr/>
      </w:pPr>
      <w:r>
        <w:rPr/>
      </w:r>
    </w:p>
    <w:tbl>
      <w:tblPr>
        <w:tblW w:w="8395" w:type="dxa"/>
        <w:jc w:val="left"/>
        <w:tblInd w:w="0" w:type="dxa"/>
        <w:tblLayout w:type="fixed"/>
        <w:tblCellMar>
          <w:top w:w="28" w:type="dxa"/>
          <w:left w:w="28" w:type="dxa"/>
          <w:bottom w:w="28" w:type="dxa"/>
          <w:right w:w="28" w:type="dxa"/>
        </w:tblCellMar>
      </w:tblPr>
      <w:tblGrid>
        <w:gridCol w:w="847"/>
        <w:gridCol w:w="744"/>
        <w:gridCol w:w="748"/>
        <w:gridCol w:w="652"/>
        <w:gridCol w:w="2389"/>
        <w:gridCol w:w="319"/>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EEA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Trade Name</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61,000 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Developed Technology</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62,700 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operations for EEA have been included in the Company’s condensed consolidated financial statements from the EEA Acquisition Date. </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Acquisition of Pointwise Partners Limited</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On May 9, 2024 (the “PW Acquisition Date”), the Company acquired the remaining 50% of the issued and outstanding ownership and membership interest of PW, increasing its interest from 50% to 100% (the “PW Acquisition”).</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PW Acquisition met the requirements to be considered a business combination under ASC 805. The assets and liabilities acquired from PW, affected for preliminary adjustments to reflect the fair market values assigned to assets purchased and liabilities assumed, and results of operations, are included in the Company’s condensed consolidated financial statements from the PW Acquisition Date. The Company has allocated the purchase price to the tangible and identifiable intangible assets and liabilities assumed based on their estimated fair market values at the PW Acquisition Date as required under ASC 805.</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PW Acquisition was accounted for using the acquisition method of accounting and the fair value of the total purchase consideration was $8.0 million. The total purchase consideration transferred includes cash consideration, equity consideration, estimated deferred consideration, and the settlement of pre-existing relationships as summarized below:</w:t>
      </w:r>
    </w:p>
    <w:p>
      <w:pPr>
        <w:pStyle w:val="TextBody"/>
        <w:bidi w:val="0"/>
        <w:spacing w:before="0" w:after="0"/>
        <w:jc w:val="both"/>
        <w:rPr/>
      </w:pPr>
      <w:r>
        <w:rPr/>
      </w:r>
    </w:p>
    <w:tbl>
      <w:tblPr>
        <w:tblW w:w="5505" w:type="dxa"/>
        <w:jc w:val="left"/>
        <w:tblInd w:w="0" w:type="dxa"/>
        <w:tblLayout w:type="fixed"/>
        <w:tblCellMar>
          <w:top w:w="28" w:type="dxa"/>
          <w:left w:w="28" w:type="dxa"/>
          <w:bottom w:w="28" w:type="dxa"/>
          <w:right w:w="28" w:type="dxa"/>
        </w:tblCellMar>
      </w:tblPr>
      <w:tblGrid>
        <w:gridCol w:w="1504"/>
        <w:gridCol w:w="1322"/>
        <w:gridCol w:w="1329"/>
        <w:gridCol w:w="281"/>
        <w:gridCol w:w="878"/>
        <w:gridCol w:w="191"/>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PW 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Initial Cash consideration</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 consideration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Deferred consideration </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pre-existing relationships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7,954</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estimated deferred consideration of $3.0 million was paid in cash and equity during the first quarter ended March 31, 2025. An additional amount of $1.0 million was paid fully in cash rather than in equity to PW employees upon meeting certain performance milestones. This additional amount was determined to be compensation rather than consideration transferred.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 the PW Acquisition Date, as required by ASC 805, the Company’s existing 50% equity in PW, which was previously recognized as an equity method investment, was revalued to reflect the fair value at this date. The fair value of this existing equity method investment was $6.2 million, which was calculated as 50% of the fair value of PW total equity value, excluding the impact of any synergies or control premium that would be realized by a controlling interest.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the fair values of the assets acquired, and liabilities assumed in connection with the PW business combination:</w:t>
      </w:r>
    </w:p>
    <w:tbl>
      <w:tblPr>
        <w:tblW w:w="6899" w:type="dxa"/>
        <w:jc w:val="left"/>
        <w:tblInd w:w="0" w:type="dxa"/>
        <w:tblLayout w:type="fixed"/>
        <w:tblCellMar>
          <w:top w:w="28" w:type="dxa"/>
          <w:left w:w="28" w:type="dxa"/>
          <w:bottom w:w="28" w:type="dxa"/>
          <w:right w:w="28" w:type="dxa"/>
        </w:tblCellMar>
      </w:tblPr>
      <w:tblGrid>
        <w:gridCol w:w="1683"/>
        <w:gridCol w:w="1479"/>
        <w:gridCol w:w="1487"/>
        <w:gridCol w:w="420"/>
        <w:gridCol w:w="1541"/>
        <w:gridCol w:w="289"/>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PW 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16,736</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liability</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2,630</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14,106</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2"/>
        </w:rPr>
      </w:pPr>
      <w:r>
        <w:rPr>
          <w:rFonts w:ascii="Times New Roman;serif" w:hAnsi="Times New Roman;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Goodwill is comprised of expected synergies of the combined operations, including employees acquired in a business combination. The components of goodwill do not qualify as a separately recognized intangible asset. The Company will test for impairment in other periods if an event occurs or circumstances change that may indicate impairment.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PW business combination:</w:t>
      </w:r>
    </w:p>
    <w:p>
      <w:pPr>
        <w:pStyle w:val="TextBody"/>
        <w:bidi w:val="0"/>
        <w:spacing w:before="0" w:after="0"/>
        <w:jc w:val="both"/>
        <w:rPr/>
      </w:pPr>
      <w:r>
        <w:rPr/>
      </w:r>
    </w:p>
    <w:tbl>
      <w:tblPr>
        <w:tblW w:w="8289" w:type="dxa"/>
        <w:jc w:val="left"/>
        <w:tblInd w:w="0" w:type="dxa"/>
        <w:tblLayout w:type="fixed"/>
        <w:tblCellMar>
          <w:top w:w="28" w:type="dxa"/>
          <w:left w:w="28" w:type="dxa"/>
          <w:bottom w:w="28" w:type="dxa"/>
          <w:right w:w="28" w:type="dxa"/>
        </w:tblCellMar>
      </w:tblPr>
      <w:tblGrid>
        <w:gridCol w:w="847"/>
        <w:gridCol w:w="744"/>
        <w:gridCol w:w="748"/>
        <w:gridCol w:w="704"/>
        <w:gridCol w:w="2206"/>
        <w:gridCol w:w="344"/>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PW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fair value of customer relationships was determined using the multi-period excess earnings method. The intangible assets are subject to amortization over a useful life of 14 years.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results of the PW Acquisition have been included in the Company’s condensed consolidated financial statements from the PW Acquisition Date. Prior to the PW Acquisition Date, the results of PW were included as a 50% held equity method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Acquisition of Envoi, LLC</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 2024 (the “Envoi Acquisition Date”), the Company purchased substantially all of the assets of Envoi, LLC (“Envoi”) pursuant to the terms of the asset purchase agreement by and among the Company and Envoi, as well as Envoi’s individual members (the “Envoi Acquisition”).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Envoi Acquisition met the requirements to be considered a business combination under ASC 805. The assets and liabilities acquired from Envoi, affected for preliminary adjustments to reflect the fair market values assigned to assets purchased and liabilities assumed, and results of operations, are included in the Company’s condensed consolidated financial statements from the Envoi Acquisition Date. The Company has allocated the purchase price to the tangible and identifiable intangible assets and liabilities assumed based on their estimated fair market values at the Envoi Acquisition Date as required under ASC 805.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Envoi Acquisition was accounted for using the acquisition method of accounting and the fair value of the total purchase consideration was $34.3 million. Included in the total consideration is cash consideration of $25.3 million, and estimated contingent consideration of $9.0 million comprised of the Envoi earn-out liability and earn-out growth consideration liability. A portion of the contingent consideration will be used to establish a retention pool which is payable in a mixture of cash and equity to employees upon meeting certain revenue thresholds over a required service period. The portion of contingent consideration used to establish the retention pool is treated as compensation rather than consideration transferred. Refer to Note 6 (Equity-Based Compensation) for further details about the related equity award. The amount of contingent consideration related to consideration transferred was measured at fair value at the acquisition date and recorded within the Earn-out liabilities, at fair value line item in the Condensed Consolidated Statement of Financial Position. The total purchase consideration is summarized below:</w:t>
      </w:r>
    </w:p>
    <w:p>
      <w:pPr>
        <w:pStyle w:val="TextBody"/>
        <w:bidi w:val="0"/>
        <w:spacing w:before="0" w:after="0"/>
        <w:jc w:val="both"/>
        <w:rPr/>
      </w:pPr>
      <w:r>
        <w:rPr/>
      </w:r>
    </w:p>
    <w:tbl>
      <w:tblPr>
        <w:tblW w:w="5714" w:type="dxa"/>
        <w:jc w:val="left"/>
        <w:tblInd w:w="0" w:type="dxa"/>
        <w:tblLayout w:type="fixed"/>
        <w:tblCellMar>
          <w:top w:w="28" w:type="dxa"/>
          <w:left w:w="28" w:type="dxa"/>
          <w:bottom w:w="28" w:type="dxa"/>
          <w:right w:w="28" w:type="dxa"/>
        </w:tblCellMar>
      </w:tblPr>
      <w:tblGrid>
        <w:gridCol w:w="1504"/>
        <w:gridCol w:w="1321"/>
        <w:gridCol w:w="1329"/>
        <w:gridCol w:w="292"/>
        <w:gridCol w:w="1069"/>
        <w:gridCol w:w="199"/>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Envoi Amount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consideration</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25,258 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Earn-out consideration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0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34,258</w:t>
            </w:r>
            <w:r>
              <w:rPr>
                <w:color w:val="000000"/>
              </w:rPr>
              <w:t>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incurred $1.1 million of direct acquisition-related expenditures, which were recognized in the Professional fees line item of the Condensed Consolidated Statement of Operations during the third quarter ended September 30, 2024.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fair values of the assets acquired, and liabilities assumed in connection with the Envoi Acquisition:</w:t>
      </w:r>
    </w:p>
    <w:tbl>
      <w:tblPr>
        <w:tblW w:w="7109" w:type="dxa"/>
        <w:jc w:val="left"/>
        <w:tblInd w:w="0" w:type="dxa"/>
        <w:tblLayout w:type="fixed"/>
        <w:tblCellMar>
          <w:top w:w="28" w:type="dxa"/>
          <w:left w:w="28" w:type="dxa"/>
          <w:bottom w:w="28" w:type="dxa"/>
          <w:right w:w="28" w:type="dxa"/>
        </w:tblCellMar>
      </w:tblPr>
      <w:tblGrid>
        <w:gridCol w:w="1683"/>
        <w:gridCol w:w="1479"/>
        <w:gridCol w:w="1487"/>
        <w:gridCol w:w="460"/>
        <w:gridCol w:w="1684"/>
        <w:gridCol w:w="316"/>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Envoi 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right-of-use assets </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2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34,477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 Assumed</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34,258</w:t>
            </w: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 ended December 31, 2024, the Company made a measurement period adjustment to the purchase price allocation, which resulted in an increase to intangibles and a decrease to goodwill of $1.0 million.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with ASC 805, the assets and liabilities were recorded at their respective fair values as of July 1, 2024. The Company developed the fair value of intangible assets, which includes customer relationships, using various techniques including the multi-period excess earnings method.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The goodwill resulting from this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is expected to be deductible for tax purposes. The components of goodwill do not qualify as a separately recognized intangible asset.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Envoi Acquisition:</w:t>
      </w:r>
    </w:p>
    <w:p>
      <w:pPr>
        <w:pStyle w:val="TextBody"/>
        <w:bidi w:val="0"/>
        <w:spacing w:before="0" w:after="0"/>
        <w:jc w:val="both"/>
        <w:rPr/>
      </w:pPr>
      <w:r>
        <w:rPr/>
      </w:r>
    </w:p>
    <w:tbl>
      <w:tblPr>
        <w:tblW w:w="8499" w:type="dxa"/>
        <w:jc w:val="left"/>
        <w:tblInd w:w="0" w:type="dxa"/>
        <w:tblLayout w:type="fixed"/>
        <w:tblCellMar>
          <w:top w:w="28" w:type="dxa"/>
          <w:left w:w="28" w:type="dxa"/>
          <w:bottom w:w="28" w:type="dxa"/>
          <w:right w:w="28" w:type="dxa"/>
        </w:tblCellMar>
      </w:tblPr>
      <w:tblGrid>
        <w:gridCol w:w="847"/>
        <w:gridCol w:w="744"/>
        <w:gridCol w:w="748"/>
        <w:gridCol w:w="672"/>
        <w:gridCol w:w="2464"/>
        <w:gridCol w:w="328"/>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Envoi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Intangible Assets</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the Envoi Acquisition have been included in the Company’s condensed consolidated financial statements from the Envoi Acquisition 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Acquisition of Kontora Family Office GmbH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April 30, 2025 (the “Kontora Acquisition Date”), the Company acquired all of the outstanding ownership interests of Kontora Family Office GmbH (“Kontora”) (the “Kontora Acquisition”).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Kontora Acquisition met the requirements to be considered a business combination under ASC 805. The assets acquired and liabilities assumed from Kontora reflect the fair market values, affected for preliminary adjustments to reflect the fair market values assigned to assets purchased and liabilities assumed, and results of operations, are included and are included in the Company’s Condensed Consolidated Statement of Financial Position and the Company’s Condensed Consolidated Statement of Operations, respectively, as of the Kontora Acquisition 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The contingent consideration was measured at fair value at the Kontora Acquisition Date and recorded within the Earn-out liabilities, at fair value line item in the Condensed Consolidated Statement of Financial Position. In addition to the contingent consideration, the Company may be required to make additional compensatory payments comprised of a combination of cash and equity at the Company’s option based on Kontora’s adjusted EBITDA (see Note 6 Equity-Based Compensation). </w:t>
      </w:r>
    </w:p>
    <w:p>
      <w:pPr>
        <w:pStyle w:val="TextBody"/>
        <w:bidi w:val="0"/>
        <w:spacing w:before="0" w:after="0"/>
        <w:jc w:val="both"/>
        <w:rPr/>
      </w:pPr>
      <w:r>
        <w:rPr/>
      </w:r>
    </w:p>
    <w:tbl>
      <w:tblPr>
        <w:tblW w:w="5361" w:type="dxa"/>
        <w:jc w:val="left"/>
        <w:tblInd w:w="0" w:type="dxa"/>
        <w:tblLayout w:type="fixed"/>
        <w:tblCellMar>
          <w:top w:w="28" w:type="dxa"/>
          <w:left w:w="28" w:type="dxa"/>
          <w:bottom w:w="28" w:type="dxa"/>
          <w:right w:w="28" w:type="dxa"/>
        </w:tblCellMar>
      </w:tblPr>
      <w:tblGrid>
        <w:gridCol w:w="1505"/>
        <w:gridCol w:w="1322"/>
        <w:gridCol w:w="1328"/>
        <w:gridCol w:w="226"/>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Initial purchase price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8,740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purchase consideration transferred</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15,696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incurred $1.6 million of direct acquisition-related expenses, which were recognized in the Professional fees line item of the Condensed Consolidated Statement of Operations during the nine months ended September 30,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fair values of the assets acquired and liabilities assumed in connection with the Kontora Acquisition: </w:t>
      </w:r>
    </w:p>
    <w:tbl>
      <w:tblPr>
        <w:tblW w:w="8460" w:type="dxa"/>
        <w:jc w:val="left"/>
        <w:tblInd w:w="0" w:type="dxa"/>
        <w:tblLayout w:type="fixed"/>
        <w:tblCellMar>
          <w:top w:w="28" w:type="dxa"/>
          <w:left w:w="28" w:type="dxa"/>
          <w:bottom w:w="28" w:type="dxa"/>
          <w:right w:w="28" w:type="dxa"/>
        </w:tblCellMar>
      </w:tblPr>
      <w:tblGrid>
        <w:gridCol w:w="1694"/>
        <w:gridCol w:w="1489"/>
        <w:gridCol w:w="1497"/>
        <w:gridCol w:w="707"/>
        <w:gridCol w:w="2588"/>
        <w:gridCol w:w="485"/>
      </w:tblGrid>
      <w:tr>
        <w:trPr/>
        <w:tc>
          <w:tcPr>
            <w:tcW w:w="169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Kontora Acquisition Date Fair Value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3,440 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Fees receivable</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2,702 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Equity method investments</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14,075 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assets</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assets, net</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 net</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26,955</w:t>
            </w: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accrued expenses</w:t>
            </w:r>
          </w:p>
        </w:tc>
        <w:tc>
          <w:tcPr>
            <w:tcW w:w="3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526 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compensation and profit sharing</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net of unamortized deferred financing cost</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732 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lease liability </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1,952 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liability</w:t>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 net</w:t>
            </w:r>
          </w:p>
        </w:tc>
        <w:tc>
          <w:tcPr>
            <w:tcW w:w="3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3,057 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Liabilities Assumed</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11,259</w:t>
            </w:r>
            <w:r>
              <w:rPr>
                <w:color w:val="000000"/>
              </w:rPr>
              <w:t>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Assets Acquired and Liabilities Assumed</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15,696</w:t>
            </w: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purchase price allocation is preliminary and subject to change during the measurement period, which is not to exceed one year from the Kontora Acquisition Date. During the nine months ended September 30, 2025, the Company made a measurement period adjustment to the purchase price allocation, which resulted in a decrease to intangible assets of $0.7 million, an increase to goodwill of $0.4 million, a decrease to deferred tax liability of $0.3 million, an increase to other assets, net of $24.0 thousand and a decrease to the purchase consideration of $10.0 thousand. At this time we do not expect any additional material adjustments to the above allocations. When the valuation is final, changes to the valuation of acquired assets and liabilities could result in adjustments to identified intangibles and goodwill.</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i/>
          <w:color w:val="000000"/>
          <w:sz w:val="22"/>
        </w:rPr>
      </w:pPr>
      <w:r>
        <w:rPr>
          <w:rFonts w:ascii="Times New Roman;serif" w:hAnsi="Times New Roman;serif"/>
          <w:b/>
          <w:i/>
          <w:color w:val="000000"/>
          <w:sz w:val="22"/>
        </w:rPr>
        <w:t>Fair Value of Net Assets Acquired and Intangibles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With the exception of operating right-of-use assets and operating lease liabilities accounted for under ASC 842, </w:t>
      </w:r>
      <w:r>
        <w:rPr>
          <w:rFonts w:ascii="Times New Roman;serif" w:hAnsi="Times New Roman;serif"/>
          <w:b w:val="false"/>
          <w:i/>
          <w:color w:val="000000"/>
          <w:sz w:val="22"/>
        </w:rPr>
        <w:t>Leases</w:t>
      </w:r>
      <w:r>
        <w:rPr>
          <w:rFonts w:ascii="Times New Roman;serif" w:hAnsi="Times New Roman;serif"/>
          <w:b w:val="false"/>
          <w:color w:val="000000"/>
          <w:sz w:val="22"/>
        </w:rPr>
        <w:t xml:space="preserve">, in accordance with ASC 805, the assets and liabilities were recorded at their respective fair values as of April 30, 2025. The Company developed the fair value of intangible assets, which includes trade names, customer relationships, and licenses granted by the German Federal Financial Supervisory Authority. Various techniques were applied to derive the fair values of the intangible assets including, but not limited to, relief from royalty method, excess earnings method, replacement cost method, and a discounted cash flow approach.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all other major assets and liabilities acquired, the Company determined that book value approximated fair value. Goodwill is comprised of expected synergies for the combined operations and the assembled workforce acquired in the Kontora Acquisition, which does not qualify as a separately recognized intangible asset.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Kontora Acquisition:</w:t>
      </w:r>
    </w:p>
    <w:p>
      <w:pPr>
        <w:pStyle w:val="TextBody"/>
        <w:bidi w:val="0"/>
        <w:spacing w:before="0" w:after="0"/>
        <w:jc w:val="left"/>
        <w:rPr/>
      </w:pPr>
      <w:r>
        <w:rPr/>
      </w:r>
    </w:p>
    <w:tbl>
      <w:tblPr>
        <w:tblW w:w="8800" w:type="dxa"/>
        <w:jc w:val="left"/>
        <w:tblInd w:w="0" w:type="dxa"/>
        <w:tblLayout w:type="fixed"/>
        <w:tblCellMar>
          <w:top w:w="28" w:type="dxa"/>
          <w:left w:w="28" w:type="dxa"/>
          <w:bottom w:w="28" w:type="dxa"/>
          <w:right w:w="28" w:type="dxa"/>
        </w:tblCellMar>
      </w:tblPr>
      <w:tblGrid>
        <w:gridCol w:w="858"/>
        <w:gridCol w:w="754"/>
        <w:gridCol w:w="758"/>
        <w:gridCol w:w="724"/>
        <w:gridCol w:w="2656"/>
        <w:gridCol w:w="354"/>
        <w:gridCol w:w="109"/>
        <w:gridCol w:w="109"/>
        <w:gridCol w:w="109"/>
        <w:gridCol w:w="692"/>
        <w:gridCol w:w="692"/>
        <w:gridCol w:w="985"/>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c>
          <w:tcPr>
            <w:tcW w:w="3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Kontora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Estimated Life (Years)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Brand</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187 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License</w:t>
            </w:r>
          </w:p>
        </w:tc>
        <w:tc>
          <w:tcPr>
            <w:tcW w:w="3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4,385 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relationships</w:t>
            </w:r>
          </w:p>
        </w:tc>
        <w:tc>
          <w:tcPr>
            <w:tcW w:w="3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9,443 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Software</w:t>
            </w:r>
          </w:p>
        </w:tc>
        <w:tc>
          <w:tcPr>
            <w:tcW w:w="3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Intangible Assets</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2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2"/>
              </w:rPr>
              <w:t>14,075</w:t>
            </w:r>
            <w:r>
              <w:rPr>
                <w:color w:val="000000"/>
              </w:rPr>
              <w:t>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operations for Kontora have been included in the Company’s condensed consolidated financial statements as of the Kontora Acquisition Date. </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Supplemental Pro Forma Financial Information (Unaudited)</w:t>
      </w:r>
    </w:p>
    <w:p>
      <w:pPr>
        <w:pStyle w:val="TextBody"/>
        <w:bidi w:val="0"/>
        <w:spacing w:lineRule="auto" w:line="256"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selected unaudited supplemental pro forma financial information is a summary of our combined results for Envoi, EEA, PW, and Kontora for the three and nine months ended September 30, 2025 and September 30, 2024. The unaudited supplemental pro forma financial information gives effect to the acquisitions as if they had occurred on January 1, 2024. The unaudited pro forma financial information for Envoi, EEA, and PW have been excluded for the three and nine months ended September 30, 2025 and as of April 30, 2025 for Kontora since their results of operations are included in our unaudited condensed consolidated statement of operations for that period.</w:t>
      </w:r>
    </w:p>
    <w:p>
      <w:pPr>
        <w:pStyle w:val="TextBody"/>
        <w:bidi w:val="0"/>
        <w:spacing w:lineRule="auto" w:line="256" w:before="200" w:after="283"/>
        <w:jc w:val="both"/>
        <w:rPr>
          <w:rFonts w:ascii="Times New Roman;serif" w:hAnsi="Times New Roman;serif"/>
          <w:b w:val="false"/>
          <w:color w:val="000000"/>
          <w:sz w:val="22"/>
        </w:rPr>
      </w:pPr>
      <w:r>
        <w:rPr>
          <w:rFonts w:ascii="Times New Roman;serif" w:hAnsi="Times New Roman;serif"/>
          <w:b w:val="false"/>
          <w:color w:val="000000"/>
          <w:sz w:val="22"/>
        </w:rPr>
        <w:t>The unaudited pro forma financial information presented below is for informational purposes only, and is not necessarily indicative of the results that would have been achieved if the Envoi, EEA, PW, and Kontora acquisitions had taken place on January 1, 2024, nor is it indicative of future results.</w:t>
      </w:r>
    </w:p>
    <w:tbl>
      <w:tblPr>
        <w:tblW w:w="10205" w:type="dxa"/>
        <w:jc w:val="left"/>
        <w:tblInd w:w="0" w:type="dxa"/>
        <w:tblLayout w:type="fixed"/>
        <w:tblCellMar>
          <w:top w:w="28" w:type="dxa"/>
          <w:left w:w="28" w:type="dxa"/>
          <w:bottom w:w="28" w:type="dxa"/>
          <w:right w:w="28" w:type="dxa"/>
        </w:tblCellMar>
      </w:tblPr>
      <w:tblGrid>
        <w:gridCol w:w="709"/>
        <w:gridCol w:w="623"/>
        <w:gridCol w:w="627"/>
        <w:gridCol w:w="315"/>
        <w:gridCol w:w="1280"/>
        <w:gridCol w:w="152"/>
        <w:gridCol w:w="109"/>
        <w:gridCol w:w="109"/>
        <w:gridCol w:w="109"/>
        <w:gridCol w:w="315"/>
        <w:gridCol w:w="1280"/>
        <w:gridCol w:w="152"/>
        <w:gridCol w:w="109"/>
        <w:gridCol w:w="109"/>
        <w:gridCol w:w="109"/>
        <w:gridCol w:w="288"/>
        <w:gridCol w:w="1324"/>
        <w:gridCol w:w="138"/>
        <w:gridCol w:w="109"/>
        <w:gridCol w:w="109"/>
        <w:gridCol w:w="109"/>
        <w:gridCol w:w="309"/>
        <w:gridCol w:w="1294"/>
        <w:gridCol w:w="148"/>
        <w:gridCol w:w="109"/>
        <w:gridCol w:w="161"/>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70" w:type="dxa"/>
            <w:gridSpan w:val="2"/>
            <w:tcBorders/>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57,238 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51,809 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172,656 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167,518 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3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(84,135)</w:t>
            </w:r>
          </w:p>
        </w:tc>
        <w:tc>
          <w:tcPr>
            <w:tcW w:w="1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(72,542)</w:t>
            </w:r>
          </w:p>
        </w:tc>
        <w:tc>
          <w:tcPr>
            <w:tcW w:w="1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(106,843)</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(43,116)</w:t>
            </w:r>
          </w:p>
        </w:tc>
        <w:tc>
          <w:tcPr>
            <w:tcW w:w="1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FOS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May 8, 2024, the Company sold FOS, its European-based trust and private office service which was part of the Company’s Wealth &amp; Capital Solutions segment, for a cash consideration of approximately $20.1 million. Subsequently, an adjustment to the cash consideration of $(0.6) million was made, resulting in a final cash consideration of approximately $19.5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(5)Revenue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represents the Company’s revenue disaggregated by fee type for the periods presented below: </w:t>
      </w:r>
    </w:p>
    <w:tbl>
      <w:tblPr>
        <w:tblW w:w="10205" w:type="dxa"/>
        <w:jc w:val="left"/>
        <w:tblInd w:w="0" w:type="dxa"/>
        <w:tblLayout w:type="fixed"/>
        <w:tblCellMar>
          <w:top w:w="28" w:type="dxa"/>
          <w:left w:w="28" w:type="dxa"/>
          <w:bottom w:w="28" w:type="dxa"/>
          <w:right w:w="28" w:type="dxa"/>
        </w:tblCellMar>
      </w:tblPr>
      <w:tblGrid>
        <w:gridCol w:w="950"/>
        <w:gridCol w:w="818"/>
        <w:gridCol w:w="759"/>
        <w:gridCol w:w="309"/>
        <w:gridCol w:w="1131"/>
        <w:gridCol w:w="149"/>
        <w:gridCol w:w="109"/>
        <w:gridCol w:w="109"/>
        <w:gridCol w:w="109"/>
        <w:gridCol w:w="309"/>
        <w:gridCol w:w="1131"/>
        <w:gridCol w:w="149"/>
        <w:gridCol w:w="109"/>
        <w:gridCol w:w="109"/>
        <w:gridCol w:w="109"/>
        <w:gridCol w:w="286"/>
        <w:gridCol w:w="1200"/>
        <w:gridCol w:w="137"/>
        <w:gridCol w:w="109"/>
        <w:gridCol w:w="109"/>
        <w:gridCol w:w="109"/>
        <w:gridCol w:w="286"/>
        <w:gridCol w:w="1200"/>
        <w:gridCol w:w="137"/>
        <w:gridCol w:w="109"/>
        <w:gridCol w:w="164"/>
      </w:tblGrid>
      <w:tr>
        <w:trPr/>
        <w:tc>
          <w:tcPr>
            <w:tcW w:w="9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73" w:type="dxa"/>
            <w:gridSpan w:val="2"/>
            <w:tcBorders/>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51,680 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48,101 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145,692 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136,436 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fees/income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Income</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57,238 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51,809 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166,701 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146,919 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8697" w:type="dxa"/>
        <w:jc w:val="left"/>
        <w:tblInd w:w="0" w:type="dxa"/>
        <w:tblLayout w:type="fixed"/>
        <w:tblCellMar>
          <w:top w:w="28" w:type="dxa"/>
          <w:left w:w="28" w:type="dxa"/>
          <w:bottom w:w="28" w:type="dxa"/>
          <w:right w:w="28" w:type="dxa"/>
        </w:tblCellMar>
      </w:tblPr>
      <w:tblGrid>
        <w:gridCol w:w="1379"/>
        <w:gridCol w:w="1211"/>
        <w:gridCol w:w="1220"/>
        <w:gridCol w:w="444"/>
        <w:gridCol w:w="1622"/>
        <w:gridCol w:w="214"/>
        <w:gridCol w:w="109"/>
        <w:gridCol w:w="109"/>
        <w:gridCol w:w="109"/>
        <w:gridCol w:w="427"/>
        <w:gridCol w:w="1562"/>
        <w:gridCol w:w="291"/>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September 30,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2024 </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Management/advisory fees receivable</w:t>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26,802 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Ending balance </w:t>
            </w:r>
            <w:r>
              <w:rPr>
                <w:rFonts w:ascii="Times New Roman;serif" w:hAnsi="Times New Roman;serif"/>
                <w:b/>
                <w:color w:val="000000"/>
                <w:sz w:val="14"/>
              </w:rPr>
              <w:t>(1)</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28,896 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Incentive fees receivable</w:t>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40,356 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Ending balance </w:t>
            </w:r>
            <w:r>
              <w:rPr>
                <w:rFonts w:ascii="Times New Roman;serif" w:hAnsi="Times New Roman;serif"/>
                <w:b/>
                <w:color w:val="000000"/>
                <w:sz w:val="14"/>
              </w:rPr>
              <w:t>(2)</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Other fees/income receivable</w:t>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Deferred management/advisory fees</w:t>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Deferred other fees/income</w:t>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As of September 30, 2025 and December 31, 2024, this amount includes $0.5 million</w:t>
      </w:r>
      <w:r>
        <w:rPr>
          <w:color w:val="000000"/>
        </w:rPr>
        <w:t xml:space="preserve"> </w:t>
      </w:r>
      <w:r>
        <w:rPr>
          <w:rFonts w:ascii="Times New Roman;serif" w:hAnsi="Times New Roman;serif"/>
          <w:b w:val="false"/>
          <w:color w:val="000000"/>
          <w:sz w:val="18"/>
        </w:rPr>
        <w:t>and $0.7 million, respectively, in Management/advisory fees receivable due from related parties. See Note 17 (Related Party Transactions) for further details.</w:t>
      </w:r>
    </w:p>
    <w:p>
      <w:pPr>
        <w:pStyle w:val="TextBody"/>
        <w:bidi w:val="0"/>
        <w:spacing w:lineRule="auto" w:line="288" w:before="20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As of September 30, 2025</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December 31, 2024, this amount includes $1.3 million and $0.2 million, respectively, in Incentive fees receivable due from related parties. See Note 17 (Related Party Transactions) for further details.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(6)Equity-Based Compensation</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grants equity-based compensation awards in the form of restricted share units (“RSUs”) or performance restricted share units (“PRSUs”) for Class A Common Stock to its management, employees, consultants, and independent members of the board of directors under its 2023 Stock Incentive Plan (the “Plan”). The total number of shares of Class A Common Stock that may be issued under the Plan is 20,798,132,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of which 6,032,108 remain available as of September 30, 2025. To the extent that an award expires or is canceled, forfeited, terminated, surrendered, exchanged or withheld to cover tax withholding obligations, the unissued awards will again be available for grant under the Plan.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recognizes equity-based compensation expenses at the Company’s stock price as of the grant date. As of September 30, 2025, the Company has an unrecognized equity-based compensation expense of $28.3 million, which is expected to be recognized over a weighted average period of 1.78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award activity for the nine months ended September 30, 2025, and September 30,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9"/>
        <w:gridCol w:w="810"/>
        <w:gridCol w:w="812"/>
        <w:gridCol w:w="564"/>
        <w:gridCol w:w="532"/>
        <w:gridCol w:w="366"/>
        <w:gridCol w:w="115"/>
        <w:gridCol w:w="115"/>
        <w:gridCol w:w="115"/>
        <w:gridCol w:w="475"/>
        <w:gridCol w:w="1118"/>
        <w:gridCol w:w="230"/>
        <w:gridCol w:w="109"/>
        <w:gridCol w:w="109"/>
        <w:gridCol w:w="109"/>
        <w:gridCol w:w="564"/>
        <w:gridCol w:w="472"/>
        <w:gridCol w:w="366"/>
        <w:gridCol w:w="115"/>
        <w:gridCol w:w="115"/>
        <w:gridCol w:w="115"/>
        <w:gridCol w:w="462"/>
        <w:gridCol w:w="1089"/>
        <w:gridCol w:w="329"/>
      </w:tblGrid>
      <w:tr>
        <w:trPr/>
        <w:tc>
          <w:tcPr>
            <w:tcW w:w="9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Restricted common stock</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beginning of period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6,216,514 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4,797,464 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common stock granted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7,676,202 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4,123,786 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forfeited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(256,559)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(615,060)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vested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(2,231,567)</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(1,823,811)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end of period</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11,404,590 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6,482,379 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recognized, which is included in Compensation and employee benefits in the Condensed Consolidated Statement of Operations, during the three and nine months ended September 30, 2025, and September 30,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7"/>
        <w:gridCol w:w="647"/>
        <w:gridCol w:w="633"/>
        <w:gridCol w:w="389"/>
        <w:gridCol w:w="1134"/>
        <w:gridCol w:w="199"/>
        <w:gridCol w:w="124"/>
        <w:gridCol w:w="124"/>
        <w:gridCol w:w="124"/>
        <w:gridCol w:w="389"/>
        <w:gridCol w:w="1134"/>
        <w:gridCol w:w="199"/>
        <w:gridCol w:w="109"/>
        <w:gridCol w:w="109"/>
        <w:gridCol w:w="109"/>
        <w:gridCol w:w="348"/>
        <w:gridCol w:w="1195"/>
        <w:gridCol w:w="180"/>
        <w:gridCol w:w="109"/>
        <w:gridCol w:w="109"/>
        <w:gridCol w:w="109"/>
        <w:gridCol w:w="348"/>
        <w:gridCol w:w="1195"/>
        <w:gridCol w:w="180"/>
        <w:gridCol w:w="109"/>
        <w:gridCol w:w="163"/>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72" w:type="dxa"/>
            <w:gridSpan w:val="2"/>
            <w:tcBorders/>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PRSUs </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2"/>
        </w:rPr>
      </w:pPr>
      <w:r>
        <w:rPr>
          <w:rFonts w:ascii="Times New Roman;serif" w:hAnsi="Times New Roman;serif"/>
          <w:b w:val="false"/>
          <w:i/>
          <w:color w:val="000000"/>
          <w:sz w:val="22"/>
        </w:rPr>
        <w:t>RSUs</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On May 31, 2023, the Company granted 4,697,317 RSUs to its employees, which vest over a three-year period and had a fair value of $4.35 per share. On June 5, 2024, the Company granted 2,219,661 RSUs to its employees, which vest over a three-year period and had a fair value of $4.78 per share. On February 27, 2025 and May 14, 2025, the Company granted 2,772,576 and 99,245, respectively, of RSUs to its employees, which vest over a three-year period and had a fair value of $3.45 and $3.32, respectively, per share. These grants resulted in compensation expense of $2.5 million and $2.8 million for the three months ended September 30, 2025 and September 30, 2024, respectively, and $9.0 million and $6.1 million for the nine months ended September 30, 2025 and September 30, 2024, respectively. Since the initial grant date of these awards, 1,047,964 shares have been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March 23, 2023, in connection with the Business Combination, the Company granted 65,554 RSUs to its board of directors, which vested over an approximate nine-month period and had a fair value of $12.56 per share. On March 1, 2024, the Company granted 138,564 RSUs to its board of directors, which vested over a four-month period and had a fair value of $5.87 per share. On June 27, 2024, the Company granted 123,732 RSUs to its board of directors, which vested over a twelve-month period and had a grant date fair value of $4.91 per share. On August 2, 2024, the Company granted 45,549 RSUs to its board of directors, which vested over an eleven-month period and had a grant date fair value of $4.38 per share. On June 23, 2025, the Company granted 231,889 RSUs to its board of directors, which vest over a twelve-month period and had a grant date fair value of $4.07 per share. These grants resulted in compensation expense of $0.2 million and $0.2 million for the three months ended September 30, 2025 and September 30, 2024, respectively, and $0.7 million and $1.0 million for the nine months ended September 30, 2025 and September 30, 2024, respectively.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On various dates throughout 2023, the Company granted 111,148 and 118,987 RSUs to employees, representative of buy-out equity awards as restricted units, vesting generally over a one to three year period, with a fair value of $7.66 and $8.72, respectively, per share. On February 6, 2024, the Company granted 29,154 shares of Class A Common Stock to employees, representative of buy-out equity awards as restricted units, vesting over a two year period, with a fair value of $5.36 per share. On December 23, 2024, the Company granted 57,458 shares of Class A Common Stock to employees, representative of buy-out equity awards as restricted units, vesting over a three year period, with a fair value of $4.14 per share. On April 15, 2025, the Company granted 81,266 shares of Class A Common Stock to employees, representative of buy-out equity awards as restricted units, vesting over a three-year period, with a fair value of $3.31 per share. The Company recognized compensation expense of $0.1 million and $0.1 million for the three months ended September 30, 2025 and September 30, 2024, respectively, and $0.8 million and $1.0 million for the nine months ended September 30, 2025 and September 30, 2024, respectively, related to these buy-out equity awards. Since the initial grant date of these awards, 39,662 shares have been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nine months ended September 30, 2025, the Company reclassed certain liability classified retention awards to be equity classified. The Company recognized compensation expense for the three and nine months ended September 30, 2025 of $1.8 million and $3.2 million, respectively, related to these retention awards.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PRSUs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grants PRSUs to selected members of AlTi’s executive team. Vesting of the PRSUs is based on meeting certain market conditions and the requisite service period. The PRSUs are eligible to vest on a graded basis at the end of each of three annual performance periods, subject to the employee’s continued service with the Company through the applicable performance period, and are only earned upon achievement of total shareholder return of the Company’s Class A Common Stock exceeding certain thresholds.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June 5, 2024, the Company granted 1,567,125 PRSUs to participants and used a Monte Carlo simulation model to determine the average grant date fair value of $5.76 per share using the following model inputs and assumptions: i) ending average stock price of $4.78, ii) volatility rate of 62.1%, iii) risk free rate of 4.5% and iv) expected term of 2.88 years. Compensation expense associated with the PRSUs will be recognized over the longer of the expected achievement period for the service or market condition. On May 22, 2025, the Company granted 263,564 PRSUs to participants and used a Monte Carlo simulation model to determine the average grant date fair value of $2.82 per share using the following model inputs and assumptions: i) ending average stock price of $3.19, ii) volatility rate of 60.7%, iii) risk free rate of 4.0% and iv) expected term of 2.86 years. Compensation expense associated with the PRSUs will be recognized over the longer of the expected achievement period for the service or market condition. These grants resulted in compensation expense of $0.7 million and $1.7 million for the three months ended September 30, 2025 and September 30, 2024, respectively, and $2.5 million and $2.2 million for the nine months ended September 30, 2025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September 30, 2024, respectively. Since the initial grant date of these awards, 289,942 shares have been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Acquisition-Related Equity-Based Compensation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number of shares awarded will be calculated based on the twenty day average volume weighted average price of the Company’s Class A Common Stock preceding the first and second payment dates. The Company recognized an expense for the earn-ins of $12.8 thousand and $0.7 million for the three months ended September 30, 2025 and September 30, 2024, respectively, and $0.9 million and $3.2 million for the nine months ended September 30, 2025 and September 30, 2024,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pattern as the above-described amendment for the compensatory earn-ins. On April 1, 2025, the final contingent consideration payment was made, extinguishing the liability balance as of September 30, 2025. As of December 31, 2024, this contingent consideration is recorded as a liability of $0.9 million in the Earn-in consideration payable line of the Condensed Consolidated Statement of Financial Condition.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East End Advisors (see Note 4 Business Combinations and Divestitures), certain employees of East End Advisors are entitled to receive a portion of the contingent consideration comprised of a combination of additional cash and shares of the Company (the “EEA Equity Awards”) based on the future EBITDA performance targets between the closing date of April 3, 2024 and the fifth anniversary of the closing date. The portion of the EEA Equity Awards to be issued in shares was measured at fair value as of the closing date. The Company recognized compensation expense for the estimated shares in relation to the accrual of the EEA Equity Awards of $0.5 million and $0.7 million for the three months ended September 30, 2025 and September 30, 2024, respectively, and $1.7 million and $1.0 million for the nine months ended September 30, 2025 and September 30,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Envoi (see Note 4 Business Combinations and Divestitures), certain employees of Envoi are entitled to receive a portion of the earn-out growth consideration liability comprised of a combination of cash and additional shares of the Company (the “Envoi Equity Awards”). Compensation expense related to the Envoi Equity Awards is determined in accordance with revenue based formulas provided for in the asset purchase agreement and are payable to eligible employees in 2028. The Company recognized compensation expense in relation to the accrual of the Envoi Equity Awards of $40.6 thousand and $0.1 million for the three months ended September 30, 2025 and September 30, 2024, respectively, and $0.2 million and $0.1 million for the nine months ended September 30, 2025 and September 30,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PW (see Note 4 Business Combinations and Divestitures), certain employees of PW were entitled to receive additional shares of the Company (the “PW Earn-Ins”). The PW Earn-Ins were payable in equity upon the achievement of certain integration milestones and were due for payment no later than March 1, 2025. The estimated deferred consideration was paid in cash and equity during the first quarter ended March 31, 2025. The Company recognized compensation expense in relation to the accrual of the PW Earn-Ins of $0.4 million and $0.6 million for the three and nine months ended September 30, 2024,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Company’s acquisition of Kontora (see Note 4 Business Combinations and Divestitures), the Company may be required to make additional compensatory payments comprised of a combination of cash and equity at the Company’s option based on Kontora’s adjusted EBITDA (the “Kontora Earn-Ins”). The Company recognized compensation expense in relation to the accrual of the Kontora Earn-Ins of $(0.4) million and $1.8 million for the three and nine months ended September 30, 2025, respectively.</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2"/>
        </w:rPr>
      </w:pPr>
      <w:r>
        <w:rPr>
          <w:rFonts w:ascii="Times New Roman;serif" w:hAnsi="Times New Roman;serif"/>
          <w:b w:val="false"/>
          <w:i/>
          <w:color w:val="000000"/>
          <w:sz w:val="22"/>
        </w:rPr>
        <w:t>Revenue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three months ended September 30, 2025 and September 30, 2024, the Company accrued $0.3 million and $0.4 million, respectively, and during the nine months ended September 30, 2025 and September 30, 2024, the Company accrued $0.5 million and $0.8 million, respectively, in compensation expense related to various revenue share arrangements to its employees, which is included in Compensation and employee benefits in the Condensed Consolidated Statement of Operations and in Accrued compensation and profit sharing in the Condensed Consolidated Statement of Financial Position.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Deferred Compensation Liability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acquisition of all of the issued and outstanding ownership and membership interests of AlTi Wealth Management (Singapore) Pte Limited (“ALWP”) pursuant to the terms of the share purchase agreement between the Company and ALWP on April 6, 2023, the Company accrued, during the three months ended September 30, 2025 and September 30, 2024, $1.3 million and $0.9 million, respectively, and during the nine months ended September 30, 2025 and September 30, 2024, $2.4 million and $3.2 million, respectively, in shares of Class A Common Stock which is included in Compensation and employee benefits in the Condensed Consolidated Statement of Operations and in Accrued compensation and profit sharing in the Condensed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(7)Income Taxes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The Company had an effective tax rate of (39.1)% and 7.8% for the three months ended September 30, 2025 and September 30, 2024, respectively, and (20.4)% and 9.1% for the nine months ended September 30, 2025 and September 30, 2024, respectively. The effective tax rates were calculated using an Annual Effective Tax Rate approach. The book income related to fair value changes to liabilities was excluded from forecasted earnings as these amounts are based on changes in stock price and are unable to be forecasted. The effective tax rates differed from the statutory rate primarily due to the portion of income allocated to noncontrolling interests,</w:t>
      </w:r>
      <w:r>
        <w:rPr>
          <w:color w:val="000000"/>
        </w:rPr>
        <w:t xml:space="preserve"> </w:t>
      </w:r>
      <w:r>
        <w:rPr>
          <w:rFonts w:ascii="Times New Roman;serif" w:hAnsi="Times New Roman;serif"/>
          <w:b w:val="false"/>
          <w:color w:val="000000"/>
          <w:sz w:val="22"/>
        </w:rPr>
        <w:t>state and local taxes, and the impact of a full valuation allowance on the Company’s deferred tax assets, including those generated in the Company’s subsidiaries in the U.S. and the U.K and its investment in Umbrella.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regularly evaluates the realizability of its deferred tax asset and may recognize or adjust any valuation allowance when it is more-likely-than-not that all or a portion of the deferred tax assets may not be realized. As of September 30, 2025, the Company has recorded a full valuation allowance of $74.4 million against its deferred tax assets, including those generated by its subsidiaries in the U.S. and U.K. and its investment in Umbrella. The key factor for providing a full valuation allowance was our 3-year cumulative operating losses. Once the Company begins generating profits, we will re-evaluate whether a full valuation allowance remains appropriate or if the allowance should be reduced.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The Company is currently under examination by the New York City UBT for the years ended December 2020 and </w:t>
      </w:r>
      <w:r>
        <w:rPr>
          <w:rFonts w:ascii="Times New Roman;serif" w:hAnsi="Times New Roman;serif"/>
          <w:b w:val="false"/>
          <w:color w:val="000000"/>
          <w:sz w:val="24"/>
        </w:rPr>
        <w:t>2021</w:t>
      </w:r>
      <w:r>
        <w:rPr>
          <w:rFonts w:ascii="Times New Roman;serif" w:hAnsi="Times New Roman;serif"/>
          <w:b w:val="false"/>
          <w:color w:val="000000"/>
          <w:sz w:val="22"/>
        </w:rPr>
        <w:t>.</w:t>
      </w:r>
      <w:r>
        <w:rPr>
          <w:color w:val="008080"/>
        </w:rPr>
        <w:t xml:space="preserve"> </w:t>
      </w:r>
      <w:r>
        <w:rPr>
          <w:rFonts w:ascii="Times New Roman;serif" w:hAnsi="Times New Roman;serif"/>
          <w:b w:val="false"/>
          <w:color w:val="000000"/>
          <w:sz w:val="22"/>
        </w:rPr>
        <w:t>We do not believe that there is material exposure in connection with the examination.</w:t>
      </w:r>
      <w:r>
        <w:rPr>
          <w:color w:val="008080"/>
        </w:rPr>
        <w:t xml:space="preserve"> </w:t>
      </w:r>
      <w:r>
        <w:rPr>
          <w:rFonts w:ascii="Times New Roman;serif" w:hAnsi="Times New Roman;serif"/>
          <w:b w:val="false"/>
          <w:color w:val="000000"/>
          <w:sz w:val="22"/>
        </w:rPr>
        <w:t xml:space="preserve">As of September 30, 2025, the Company has evaluated its tax filing positions and assessed no change to the reserve of $0.2 million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(8) Fair Value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jc w:val="both"/>
        <w:rPr/>
      </w:pPr>
      <w:r>
        <w:rPr>
          <w:color w:val="000000"/>
        </w:rPr>
        <w:t>•</w:t>
      </w:r>
      <w:r>
        <w:rPr>
          <w:rFonts w:ascii="Times New Roman;serif" w:hAnsi="Times New Roman;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jc w:val="both"/>
        <w:rPr/>
      </w:pPr>
      <w:r>
        <w:rPr>
          <w:color w:val="000000"/>
        </w:rPr>
        <w:t>•</w:t>
      </w:r>
      <w:r>
        <w:rPr>
          <w:rFonts w:ascii="Times New Roman;serif" w:hAnsi="Times New Roman;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jc w:val="both"/>
        <w:rPr/>
      </w:pPr>
      <w:r>
        <w:rPr>
          <w:color w:val="000000"/>
        </w:rPr>
        <w:t>•</w:t>
      </w:r>
      <w:r>
        <w:rPr>
          <w:rFonts w:ascii="Times New Roman;serif" w:hAnsi="Times New Roman;serif"/>
          <w:b w:val="false"/>
          <w:color w:val="000000"/>
          <w:sz w:val="22"/>
        </w:rPr>
        <w:t>Level 3 – Valuations based on inputs that are unobservable and significant to the overall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Level 3 Valuation Techniques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 </w:t>
      </w:r>
    </w:p>
    <w:p>
      <w:pPr>
        <w:pStyle w:val="TextBody"/>
        <w:bidi w:val="0"/>
        <w:spacing w:lineRule="auto" w:line="268" w:before="180" w:after="283"/>
        <w:ind w:left="0" w:right="0" w:hanging="360"/>
        <w:jc w:val="both"/>
        <w:rPr/>
      </w:pPr>
      <w:r>
        <w:rPr>
          <w:color w:val="000000"/>
        </w:rPr>
        <w:t>•</w:t>
      </w:r>
      <w:r>
        <w:rPr>
          <w:rFonts w:ascii="Times New Roman;serif" w:hAnsi="Times New Roman;serif"/>
          <w:b/>
          <w:color w:val="000000"/>
          <w:sz w:val="22"/>
        </w:rPr>
        <w:t xml:space="preserve">Business Combination Earn-Out Liability - </w:t>
      </w:r>
      <w:r>
        <w:rPr>
          <w:rFonts w:ascii="Times New Roman;serif" w:hAnsi="Times New Roman;serif"/>
          <w:b w:val="false"/>
          <w:color w:val="000000"/>
          <w:sz w:val="22"/>
        </w:rPr>
        <w:t xml:space="preserve">The Company’s valuation approach utilized a Monte Carlo simulation to estimate future share prices and the implied earn-out payment discounted using the risk-free rate.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TRA Liability - </w:t>
      </w:r>
      <w:r>
        <w:rPr>
          <w:rFonts w:ascii="Times New Roman;serif" w:hAnsi="Times New Roman;serif"/>
          <w:b w:val="false"/>
          <w:color w:val="000000"/>
          <w:sz w:val="22"/>
        </w:rPr>
        <w:t>The Company’s valuation approach utilized a Monte Carlo simulation to estimate future taxable income, share prices, and the implied TRA payments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AWMS Earn-Out Liability</w:t>
      </w:r>
      <w:r>
        <w:rPr>
          <w:color w:val="000000"/>
        </w:rPr>
        <w:t xml:space="preserve"> </w:t>
      </w:r>
      <w:r>
        <w:rPr>
          <w:rFonts w:ascii="Times New Roman;serif" w:hAnsi="Times New Roman;serif"/>
          <w:b w:val="false"/>
          <w:color w:val="000000"/>
          <w:sz w:val="22"/>
        </w:rPr>
        <w:t xml:space="preserve">- In connection with the deferred cash consideration related to its acquisition of the remaining 70% of the issued and outstanding ownership and membership interests of AlTi Wealth Management (Switzerland) SA, (“AWMS”), increasing its interest in AWMS from 30% to 100%, on August 2, 2023, the Company’s valuation approach utilized a Monte Carlo simulation to estimate future revenue and the implied earn out payment discounted using the liability discount rate which is estimated based on the Company’s credit rating. As of September 30, 2024, the settlement amount became known, which was based on actual revenues received, and the use of the Level 3 valuation technique was discontinued. Additionally, during the fourth quarter of 2024, the AWMS earn-out liability was fully paid.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EEA Earn-Out Liability -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Company’s credit quality.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Consideration Liability</w:t>
      </w:r>
      <w:r>
        <w:rPr>
          <w:color w:val="000000"/>
        </w:rPr>
        <w:t xml:space="preserve"> </w:t>
      </w:r>
      <w:r>
        <w:rPr>
          <w:rFonts w:ascii="Times New Roman;serif" w:hAnsi="Times New Roman;serif"/>
          <w:b w:val="false"/>
          <w:color w:val="000000"/>
          <w:sz w:val="22"/>
        </w:rPr>
        <w:t>- The Company’s valuation approach utilized a risk-adjusted Discounted Cash Flow approach to determine the fair value using the liability discount rate which is estimated based on the Company’s credit quality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Growth Consideration Liability</w:t>
      </w:r>
      <w:r>
        <w:rPr>
          <w:color w:val="000000"/>
        </w:rPr>
        <w:t xml:space="preserve"> </w:t>
      </w:r>
      <w:r>
        <w:rPr>
          <w:rFonts w:ascii="Times New Roman;serif" w:hAnsi="Times New Roman;serif"/>
          <w:b w:val="false"/>
          <w:color w:val="000000"/>
          <w:sz w:val="22"/>
        </w:rPr>
        <w:t xml:space="preserve">- The Company’s valuation approach utilized a Monte Carlo simulation to estimate future revenue and the implied earn out payment discounted using the liability discount rate which is estimated based on the Company’s credit quality rating.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Kontora Earn-Out Liability -</w:t>
      </w:r>
      <w:r>
        <w:rPr>
          <w:color w:val="000000"/>
        </w:rPr>
        <w:t xml:space="preserve">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Kontora subgroups’ weighted average cost of capital for a useful life of ten years.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Preferred Stock Tranche Liability</w:t>
      </w:r>
      <w:r>
        <w:rPr>
          <w:color w:val="000000"/>
        </w:rPr>
        <w:t xml:space="preserve"> </w:t>
      </w:r>
      <w:r>
        <w:rPr>
          <w:rFonts w:ascii="Times New Roman;serif" w:hAnsi="Times New Roman;serif"/>
          <w:b w:val="false"/>
          <w:color w:val="000000"/>
          <w:sz w:val="22"/>
        </w:rPr>
        <w:t xml:space="preserve">- The fair value of the Allianz Tranche Right is determined based on Level 3 inputs using a binomial lattice model. At each node of the 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inducting values in the binomial lattice model to the initial node. A probability-weighted assessment is also included as part of the inputs to the valuation of the Allianz Tranche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Investments in External Strategic Managers - </w:t>
      </w:r>
      <w:r>
        <w:rPr>
          <w:rFonts w:ascii="Times New Roman;serif" w:hAnsi="Times New Roman;serif"/>
          <w:b w:val="false"/>
          <w:color w:val="000000"/>
          <w:sz w:val="22"/>
        </w:rPr>
        <w:t>The Company utilized a Discounted Cash Flow approach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Refer to the valuation methodologies table below for further analysis of Level 3 valuations.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is a summary categorization of the Company’s financial instruments based on the inputs utilized in determining the value of such financial instruments. Investments at fair value as of September 30, 2025, and December 31, 2024 are presented below:</w:t>
      </w:r>
    </w:p>
    <w:tbl>
      <w:tblPr>
        <w:tblW w:w="9716" w:type="dxa"/>
        <w:jc w:val="left"/>
        <w:tblInd w:w="0" w:type="dxa"/>
        <w:tblLayout w:type="fixed"/>
        <w:tblCellMar>
          <w:top w:w="28" w:type="dxa"/>
          <w:left w:w="28" w:type="dxa"/>
          <w:bottom w:w="28" w:type="dxa"/>
          <w:right w:w="28" w:type="dxa"/>
        </w:tblCellMar>
      </w:tblPr>
      <w:tblGrid>
        <w:gridCol w:w="1157"/>
        <w:gridCol w:w="1016"/>
        <w:gridCol w:w="1022"/>
        <w:gridCol w:w="322"/>
        <w:gridCol w:w="668"/>
        <w:gridCol w:w="179"/>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 External Strategic Managers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Investments – Affiliated Funds </w:t>
            </w:r>
            <w:r>
              <w:rPr>
                <w:rFonts w:ascii="Times New Roman;serif" w:hAnsi="Times New Roman;serif"/>
                <w:b/>
                <w:color w:val="000000"/>
                <w:sz w:val="12"/>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receivable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Other</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149,867 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152,254 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63,162 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Investments in Affiliated Funds are measured at fair value using the NAV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pStyle w:val="TextBody"/>
        <w:bidi w:val="0"/>
        <w:spacing w:lineRule="auto" w:line="288" w:before="12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The Company carries a portion of its TRA liability at fair value equal to the expected future payments under the TRA.</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tbl>
      <w:tblPr>
        <w:tblW w:w="9731" w:type="dxa"/>
        <w:jc w:val="left"/>
        <w:tblInd w:w="0" w:type="dxa"/>
        <w:tblLayout w:type="fixed"/>
        <w:tblCellMar>
          <w:top w:w="28" w:type="dxa"/>
          <w:left w:w="28" w:type="dxa"/>
          <w:bottom w:w="28" w:type="dxa"/>
          <w:right w:w="28" w:type="dxa"/>
        </w:tblCellMar>
      </w:tblPr>
      <w:tblGrid>
        <w:gridCol w:w="1162"/>
        <w:gridCol w:w="1020"/>
        <w:gridCol w:w="1027"/>
        <w:gridCol w:w="316"/>
        <w:gridCol w:w="679"/>
        <w:gridCol w:w="175"/>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External Strategic Managers</w:t>
            </w:r>
            <w:r>
              <w:rPr>
                <w:color w:val="000000"/>
              </w:rPr>
              <w:t xml:space="preserve">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Affiliated Funds</w:t>
            </w:r>
            <w:r>
              <w:rPr>
                <w:color w:val="000000"/>
              </w:rPr>
              <w:t xml:space="preserve"> </w:t>
            </w:r>
            <w:r>
              <w:rPr>
                <w:rFonts w:ascii="Times New Roman;serif" w:hAnsi="Times New Roman;serif"/>
                <w:b/>
                <w:color w:val="000000"/>
                <w:sz w:val="12"/>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receivable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 consideration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77,957 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12"/>
          <w:shd w:fill="FFFFFF" w:val="clear"/>
        </w:rPr>
        <w:t>(1)</w:t>
      </w:r>
      <w:r>
        <w:rPr>
          <w:color w:val="000000"/>
          <w:shd w:fill="FFFFFF" w:val="clear"/>
        </w:rPr>
        <w:t xml:space="preserve"> </w:t>
      </w:r>
      <w:r>
        <w:rPr>
          <w:rFonts w:ascii="Times New Roman;serif" w:hAnsi="Times New Roman;serif"/>
          <w:b w:val="false"/>
          <w:color w:val="000000"/>
          <w:sz w:val="18"/>
        </w:rPr>
        <w:t>Investments in Affiliated Funds are measured at fair value using the NAV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pStyle w:val="TextBody"/>
        <w:bidi w:val="0"/>
        <w:spacing w:lineRule="auto" w:line="288" w:before="24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The Company carries a portion of its TRA liability at fair value equal to the expected future payments under the TRA.</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Reconciliation of Fair Value Measurements Categorized within Level 3</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Unrealized gains and losses on the Company’s assets and liabilities carried at fair value on a recurring basis are included within other losses in the Condensed Consolidated Statement of Operations. During the year ended December 31, 2024, there was one transfer from Level 3 to Level 1 of the AWMS earn-out liability. The following table sets forth a summary of changes in the fair value of Level 3 measurements as of September 30, 2025 and December 31, 2024:</w:t>
      </w:r>
    </w:p>
    <w:tbl>
      <w:tblPr>
        <w:tblW w:w="11548" w:type="dxa"/>
        <w:jc w:val="left"/>
        <w:tblInd w:w="0" w:type="dxa"/>
        <w:tblLayout w:type="fixed"/>
        <w:tblCellMar>
          <w:top w:w="28" w:type="dxa"/>
          <w:left w:w="28" w:type="dxa"/>
          <w:bottom w:w="28" w:type="dxa"/>
          <w:right w:w="28" w:type="dxa"/>
        </w:tblCellMar>
      </w:tblPr>
      <w:tblGrid>
        <w:gridCol w:w="375"/>
        <w:gridCol w:w="277"/>
        <w:gridCol w:w="279"/>
        <w:gridCol w:w="196"/>
        <w:gridCol w:w="646"/>
        <w:gridCol w:w="109"/>
        <w:gridCol w:w="109"/>
        <w:gridCol w:w="109"/>
        <w:gridCol w:w="109"/>
        <w:gridCol w:w="196"/>
        <w:gridCol w:w="646"/>
        <w:gridCol w:w="109"/>
        <w:gridCol w:w="109"/>
        <w:gridCol w:w="109"/>
        <w:gridCol w:w="109"/>
        <w:gridCol w:w="109"/>
        <w:gridCol w:w="109"/>
        <w:gridCol w:w="196"/>
        <w:gridCol w:w="646"/>
        <w:gridCol w:w="109"/>
        <w:gridCol w:w="109"/>
        <w:gridCol w:w="109"/>
        <w:gridCol w:w="109"/>
        <w:gridCol w:w="246"/>
        <w:gridCol w:w="698"/>
        <w:gridCol w:w="137"/>
        <w:gridCol w:w="109"/>
        <w:gridCol w:w="109"/>
        <w:gridCol w:w="109"/>
        <w:gridCol w:w="246"/>
        <w:gridCol w:w="698"/>
        <w:gridCol w:w="137"/>
        <w:gridCol w:w="109"/>
        <w:gridCol w:w="109"/>
        <w:gridCol w:w="109"/>
        <w:gridCol w:w="109"/>
        <w:gridCol w:w="109"/>
        <w:gridCol w:w="311"/>
        <w:gridCol w:w="245"/>
        <w:gridCol w:w="246"/>
        <w:gridCol w:w="109"/>
        <w:gridCol w:w="109"/>
        <w:gridCol w:w="109"/>
        <w:gridCol w:w="109"/>
        <w:gridCol w:w="109"/>
        <w:gridCol w:w="196"/>
        <w:gridCol w:w="556"/>
        <w:gridCol w:w="109"/>
        <w:gridCol w:w="109"/>
        <w:gridCol w:w="109"/>
        <w:gridCol w:w="109"/>
        <w:gridCol w:w="196"/>
        <w:gridCol w:w="64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 Liabilities as of September 30, 2025</w:t>
            </w:r>
          </w:p>
        </w:tc>
        <w:tc>
          <w:tcPr>
            <w:tcW w:w="2729" w:type="dxa"/>
            <w:gridSpan w:val="14"/>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EEA earn-out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Envoi earn-out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Envoi earn-out growth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Kontora earn-out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Preferred stock tranche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out of Level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6,789 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tbl>
      <w:tblPr>
        <w:tblW w:w="11607" w:type="dxa"/>
        <w:jc w:val="left"/>
        <w:tblInd w:w="0" w:type="dxa"/>
        <w:tblLayout w:type="fixed"/>
        <w:tblCellMar>
          <w:top w:w="28" w:type="dxa"/>
          <w:left w:w="28" w:type="dxa"/>
          <w:bottom w:w="28" w:type="dxa"/>
          <w:right w:w="28" w:type="dxa"/>
        </w:tblCellMar>
      </w:tblPr>
      <w:tblGrid>
        <w:gridCol w:w="375"/>
        <w:gridCol w:w="277"/>
        <w:gridCol w:w="27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46"/>
        <w:gridCol w:w="698"/>
        <w:gridCol w:w="137"/>
        <w:gridCol w:w="109"/>
        <w:gridCol w:w="109"/>
        <w:gridCol w:w="109"/>
        <w:gridCol w:w="246"/>
        <w:gridCol w:w="698"/>
        <w:gridCol w:w="137"/>
        <w:gridCol w:w="109"/>
        <w:gridCol w:w="109"/>
        <w:gridCol w:w="109"/>
        <w:gridCol w:w="109"/>
        <w:gridCol w:w="109"/>
        <w:gridCol w:w="109"/>
        <w:gridCol w:w="109"/>
        <w:gridCol w:w="109"/>
        <w:gridCol w:w="109"/>
        <w:gridCol w:w="196"/>
        <w:gridCol w:w="556"/>
        <w:gridCol w:w="109"/>
        <w:gridCol w:w="109"/>
        <w:gridCol w:w="109"/>
        <w:gridCol w:w="109"/>
        <w:gridCol w:w="196"/>
        <w:gridCol w:w="64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 Liabilities as of December 31, 2024</w:t>
            </w:r>
          </w:p>
        </w:tc>
        <w:tc>
          <w:tcPr>
            <w:tcW w:w="2511" w:type="dxa"/>
            <w:gridSpan w:val="12"/>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AWMS 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EEA earn-out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Envoi earn-out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Envoi earn-out growth consideration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Preferred stock tranche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out of Level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8493" w:type="dxa"/>
        <w:jc w:val="left"/>
        <w:tblInd w:w="0" w:type="dxa"/>
        <w:tblLayout w:type="fixed"/>
        <w:tblCellMar>
          <w:top w:w="28" w:type="dxa"/>
          <w:left w:w="28" w:type="dxa"/>
          <w:bottom w:w="28" w:type="dxa"/>
          <w:right w:w="28" w:type="dxa"/>
        </w:tblCellMar>
      </w:tblPr>
      <w:tblGrid>
        <w:gridCol w:w="1069"/>
        <w:gridCol w:w="939"/>
        <w:gridCol w:w="946"/>
        <w:gridCol w:w="644"/>
        <w:gridCol w:w="2419"/>
        <w:gridCol w:w="357"/>
        <w:gridCol w:w="231"/>
        <w:gridCol w:w="231"/>
        <w:gridCol w:w="231"/>
        <w:gridCol w:w="231"/>
        <w:gridCol w:w="109"/>
        <w:gridCol w:w="196"/>
        <w:gridCol w:w="73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 Assets as of September 30, 2025</w:t>
            </w:r>
          </w:p>
        </w:tc>
        <w:tc>
          <w:tcPr>
            <w:tcW w:w="1195"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Investments – External Strategic Managers</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Gains (Losses)</w:t>
            </w:r>
          </w:p>
        </w:tc>
        <w:tc>
          <w:tcPr>
            <w:tcW w:w="3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149,867 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8477" w:type="dxa"/>
        <w:jc w:val="left"/>
        <w:tblInd w:w="0" w:type="dxa"/>
        <w:tblLayout w:type="fixed"/>
        <w:tblCellMar>
          <w:top w:w="28" w:type="dxa"/>
          <w:left w:w="28" w:type="dxa"/>
          <w:bottom w:w="28" w:type="dxa"/>
          <w:right w:w="28" w:type="dxa"/>
        </w:tblCellMar>
      </w:tblPr>
      <w:tblGrid>
        <w:gridCol w:w="1069"/>
        <w:gridCol w:w="939"/>
        <w:gridCol w:w="946"/>
        <w:gridCol w:w="644"/>
        <w:gridCol w:w="2418"/>
        <w:gridCol w:w="358"/>
        <w:gridCol w:w="227"/>
        <w:gridCol w:w="227"/>
        <w:gridCol w:w="227"/>
        <w:gridCol w:w="227"/>
        <w:gridCol w:w="109"/>
        <w:gridCol w:w="196"/>
        <w:gridCol w:w="73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 Assets as of December 31, 2024</w:t>
            </w:r>
          </w:p>
        </w:tc>
        <w:tc>
          <w:tcPr>
            <w:tcW w:w="1195"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Investments – External Strategic Managers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164,077 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Gains (Losses)</w:t>
            </w:r>
          </w:p>
        </w:tc>
        <w:tc>
          <w:tcPr>
            <w:tcW w:w="3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3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September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8"/>
        <w:gridCol w:w="510"/>
        <w:gridCol w:w="513"/>
        <w:gridCol w:w="196"/>
        <w:gridCol w:w="736"/>
        <w:gridCol w:w="109"/>
        <w:gridCol w:w="109"/>
        <w:gridCol w:w="109"/>
        <w:gridCol w:w="109"/>
        <w:gridCol w:w="402"/>
        <w:gridCol w:w="402"/>
        <w:gridCol w:w="403"/>
        <w:gridCol w:w="109"/>
        <w:gridCol w:w="109"/>
        <w:gridCol w:w="109"/>
        <w:gridCol w:w="533"/>
        <w:gridCol w:w="533"/>
        <w:gridCol w:w="535"/>
        <w:gridCol w:w="109"/>
        <w:gridCol w:w="109"/>
        <w:gridCol w:w="109"/>
        <w:gridCol w:w="263"/>
        <w:gridCol w:w="224"/>
        <w:gridCol w:w="446"/>
        <w:gridCol w:w="109"/>
        <w:gridCol w:w="109"/>
        <w:gridCol w:w="109"/>
        <w:gridCol w:w="564"/>
        <w:gridCol w:w="564"/>
        <w:gridCol w:w="567"/>
        <w:gridCol w:w="109"/>
        <w:gridCol w:w="109"/>
        <w:gridCol w:w="109"/>
        <w:gridCol w:w="109"/>
        <w:gridCol w:w="109"/>
        <w:gridCol w:w="164"/>
      </w:tblGrid>
      <w:tr>
        <w:trPr/>
        <w:tc>
          <w:tcPr>
            <w:tcW w:w="6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17.5% -30.0%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10.2% - 11.2%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6.0% - 13.0%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December 31, 2024</w:t>
      </w:r>
    </w:p>
    <w:tbl>
      <w:tblPr>
        <w:tblW w:w="10205" w:type="dxa"/>
        <w:jc w:val="left"/>
        <w:tblInd w:w="0" w:type="dxa"/>
        <w:tblLayout w:type="fixed"/>
        <w:tblCellMar>
          <w:top w:w="28" w:type="dxa"/>
          <w:left w:w="28" w:type="dxa"/>
          <w:bottom w:w="28" w:type="dxa"/>
          <w:right w:w="28" w:type="dxa"/>
        </w:tblCellMar>
      </w:tblPr>
      <w:tblGrid>
        <w:gridCol w:w="749"/>
        <w:gridCol w:w="574"/>
        <w:gridCol w:w="578"/>
        <w:gridCol w:w="196"/>
        <w:gridCol w:w="736"/>
        <w:gridCol w:w="109"/>
        <w:gridCol w:w="109"/>
        <w:gridCol w:w="109"/>
        <w:gridCol w:w="109"/>
        <w:gridCol w:w="423"/>
        <w:gridCol w:w="423"/>
        <w:gridCol w:w="425"/>
        <w:gridCol w:w="109"/>
        <w:gridCol w:w="109"/>
        <w:gridCol w:w="109"/>
        <w:gridCol w:w="575"/>
        <w:gridCol w:w="575"/>
        <w:gridCol w:w="578"/>
        <w:gridCol w:w="109"/>
        <w:gridCol w:w="109"/>
        <w:gridCol w:w="109"/>
        <w:gridCol w:w="286"/>
        <w:gridCol w:w="218"/>
        <w:gridCol w:w="460"/>
        <w:gridCol w:w="109"/>
        <w:gridCol w:w="109"/>
        <w:gridCol w:w="109"/>
        <w:gridCol w:w="580"/>
        <w:gridCol w:w="580"/>
        <w:gridCol w:w="832"/>
      </w:tblGrid>
      <w:tr>
        <w:trPr/>
        <w:tc>
          <w:tcPr>
            <w:tcW w:w="7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18.0% -33%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10.2% - 10.9%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6.1% - 13.2%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bl>
    <w:p>
      <w:pPr>
        <w:pStyle w:val="TextBody"/>
        <w:bidi w:val="0"/>
        <w:spacing w:before="200" w:after="283"/>
        <w:jc w:val="both"/>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(9) Equity Method Investments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30, 2025 and December 31, 2024, the Company had $0.1 million and $20.4 million, respectively, of equity method investments recorded within equity method investments on the Condensed Consolidated Statement of Financial Position and Condensed Consolidated Statement of Financial Position, respectively. In accordance with US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recognized $18.5 thousand and $1.7 million for the three and nine months ended September 30, 2024, respectively, of impairment on its equity method investments within gain (loss) on investments in the Condensed Consolidated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(10) Investments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investments include Investments at fair value and Equity method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reflect economic events in earnings on a timely basis;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mitigate volatility in earnings from using different measurement attributes;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address simplification and cost-benefit considerations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Such election is irrevocable and is applied on an investment-by-investment basis at initial recognition or at other eligible election dates. Changes in the fair value of such instruments are recognized in Loss on investments in the Condensed Consolidated Statement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Cost and Fair Value of Investments as of September 30, 2025 and December 31, 2024 are presented below:</w:t>
      </w:r>
    </w:p>
    <w:tbl>
      <w:tblPr>
        <w:tblW w:w="9521" w:type="dxa"/>
        <w:jc w:val="left"/>
        <w:tblInd w:w="0" w:type="dxa"/>
        <w:tblLayout w:type="fixed"/>
        <w:tblCellMar>
          <w:top w:w="28" w:type="dxa"/>
          <w:left w:w="28" w:type="dxa"/>
          <w:bottom w:w="28" w:type="dxa"/>
          <w:right w:w="28" w:type="dxa"/>
        </w:tblCellMar>
      </w:tblPr>
      <w:tblGrid>
        <w:gridCol w:w="1297"/>
        <w:gridCol w:w="1139"/>
        <w:gridCol w:w="1148"/>
        <w:gridCol w:w="211"/>
        <w:gridCol w:w="826"/>
        <w:gridCol w:w="109"/>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 and BDC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Opportunities Feeder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Capital Management Limited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Zebedee Asset Management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Romspen Investment Corporation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method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equity method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 - investment advisory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Carried interest vehicles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169,077 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Investments at fair value include unrealized gains (losses) and realized gains (losses) in the Condensed Consolidated Statement of Financial Position.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breakdown of unrealized gains (losses) and realized gains (losses) on Investments at fair value for the relevant periods are as follows:</w:t>
      </w:r>
    </w:p>
    <w:tbl>
      <w:tblPr>
        <w:tblW w:w="10205" w:type="dxa"/>
        <w:jc w:val="left"/>
        <w:tblInd w:w="0" w:type="dxa"/>
        <w:tblLayout w:type="fixed"/>
        <w:tblCellMar>
          <w:top w:w="28" w:type="dxa"/>
          <w:left w:w="28" w:type="dxa"/>
          <w:bottom w:w="28" w:type="dxa"/>
          <w:right w:w="28" w:type="dxa"/>
        </w:tblCellMar>
      </w:tblPr>
      <w:tblGrid>
        <w:gridCol w:w="1142"/>
        <w:gridCol w:w="918"/>
        <w:gridCol w:w="925"/>
        <w:gridCol w:w="340"/>
        <w:gridCol w:w="973"/>
        <w:gridCol w:w="168"/>
        <w:gridCol w:w="118"/>
        <w:gridCol w:w="118"/>
        <w:gridCol w:w="118"/>
        <w:gridCol w:w="340"/>
        <w:gridCol w:w="973"/>
        <w:gridCol w:w="168"/>
        <w:gridCol w:w="109"/>
        <w:gridCol w:w="109"/>
        <w:gridCol w:w="109"/>
        <w:gridCol w:w="335"/>
        <w:gridCol w:w="977"/>
        <w:gridCol w:w="168"/>
        <w:gridCol w:w="115"/>
        <w:gridCol w:w="115"/>
        <w:gridCol w:w="115"/>
        <w:gridCol w:w="335"/>
        <w:gridCol w:w="977"/>
        <w:gridCol w:w="168"/>
        <w:gridCol w:w="109"/>
        <w:gridCol w:w="163"/>
      </w:tblGrid>
      <w:tr>
        <w:trPr/>
        <w:tc>
          <w:tcPr>
            <w:tcW w:w="11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72"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Gains (Losses) on Investments at fair value:</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gains (losses) </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gains (losses) on Investments at fair value</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(11) Intangible Assets,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Intangible assets, net reported on the Condensed Consolidated Statement of Financial Position.</w:t>
      </w:r>
    </w:p>
    <w:tbl>
      <w:tblPr>
        <w:tblW w:w="10205" w:type="dxa"/>
        <w:jc w:val="left"/>
        <w:tblInd w:w="0" w:type="dxa"/>
        <w:tblLayout w:type="fixed"/>
        <w:tblCellMar>
          <w:top w:w="28" w:type="dxa"/>
          <w:left w:w="28" w:type="dxa"/>
          <w:bottom w:w="28" w:type="dxa"/>
          <w:right w:w="28" w:type="dxa"/>
        </w:tblCellMar>
      </w:tblPr>
      <w:tblGrid>
        <w:gridCol w:w="871"/>
        <w:gridCol w:w="576"/>
        <w:gridCol w:w="579"/>
        <w:gridCol w:w="445"/>
        <w:gridCol w:w="445"/>
        <w:gridCol w:w="447"/>
        <w:gridCol w:w="109"/>
        <w:gridCol w:w="109"/>
        <w:gridCol w:w="109"/>
        <w:gridCol w:w="211"/>
        <w:gridCol w:w="826"/>
        <w:gridCol w:w="109"/>
        <w:gridCol w:w="109"/>
        <w:gridCol w:w="109"/>
        <w:gridCol w:w="109"/>
        <w:gridCol w:w="290"/>
        <w:gridCol w:w="1017"/>
        <w:gridCol w:w="152"/>
        <w:gridCol w:w="109"/>
        <w:gridCol w:w="109"/>
        <w:gridCol w:w="109"/>
        <w:gridCol w:w="109"/>
        <w:gridCol w:w="109"/>
        <w:gridCol w:w="109"/>
        <w:gridCol w:w="109"/>
        <w:gridCol w:w="248"/>
        <w:gridCol w:w="871"/>
        <w:gridCol w:w="130"/>
        <w:gridCol w:w="109"/>
        <w:gridCol w:w="109"/>
        <w:gridCol w:w="109"/>
        <w:gridCol w:w="218"/>
        <w:gridCol w:w="857"/>
        <w:gridCol w:w="169"/>
      </w:tblGrid>
      <w:tr>
        <w:trPr/>
        <w:tc>
          <w:tcPr>
            <w:tcW w:w="8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2929" w:type="dxa"/>
            <w:gridSpan w:val="10"/>
            <w:tcBorders/>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 xml:space="preserve">Amount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Impairment/Disposals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 management agreements</w:t>
            </w:r>
            <w:r>
              <w:rPr>
                <w:color w:val="000000"/>
              </w:rPr>
              <w:t xml:space="preserve"> </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 management agreements</w:t>
            </w:r>
            <w:r>
              <w:rPr>
                <w:color w:val="000000"/>
              </w:rPr>
              <w:t xml:space="preserve"> </w:t>
            </w:r>
            <w:r>
              <w:rPr>
                <w:rFonts w:ascii="Times New Roman;serif" w:hAnsi="Times New Roman;serif"/>
                <w:b w:val="false"/>
                <w:color w:val="000000"/>
                <w:sz w:val="13"/>
              </w:rPr>
              <w:t>(3)</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440,085 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and other intangible assets related to domain names and other software, for which there is no contractual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As of September 30, 2025, gross carrying amounts related to the Company’s intangible assets include additions to intangibles of $14.8 million and purchase price adjustments of $(0.7) million</w:t>
      </w:r>
      <w:r>
        <w:rPr>
          <w:color w:val="000000"/>
        </w:rPr>
        <w:t xml:space="preserve"> </w:t>
      </w:r>
      <w:r>
        <w:rPr>
          <w:rFonts w:ascii="Times New Roman;serif" w:hAnsi="Times New Roman;serif"/>
          <w:b w:val="false"/>
          <w:color w:val="000000"/>
          <w:sz w:val="18"/>
        </w:rPr>
        <w:t>(see Note 4 (Business Combinations and Divestitures)) related to the Kontora Acquisition, as well as foreign currency translation differences of $3.9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During the third quarter ended September 30, 2025, the Company recognized an impairment of $35.0 million related to TIG’s Investment Management Agreement (“IMA”), which is classified as an indefinite-lived intangible asset. Drivers of the impairment for the IMA include the financial projections and discount rate.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42"/>
        <w:gridCol w:w="677"/>
        <w:gridCol w:w="681"/>
        <w:gridCol w:w="458"/>
        <w:gridCol w:w="458"/>
        <w:gridCol w:w="459"/>
        <w:gridCol w:w="109"/>
        <w:gridCol w:w="109"/>
        <w:gridCol w:w="109"/>
        <w:gridCol w:w="211"/>
        <w:gridCol w:w="826"/>
        <w:gridCol w:w="109"/>
        <w:gridCol w:w="109"/>
        <w:gridCol w:w="109"/>
        <w:gridCol w:w="109"/>
        <w:gridCol w:w="224"/>
        <w:gridCol w:w="789"/>
        <w:gridCol w:w="118"/>
        <w:gridCol w:w="109"/>
        <w:gridCol w:w="109"/>
        <w:gridCol w:w="109"/>
        <w:gridCol w:w="109"/>
        <w:gridCol w:w="109"/>
        <w:gridCol w:w="109"/>
        <w:gridCol w:w="109"/>
        <w:gridCol w:w="248"/>
        <w:gridCol w:w="872"/>
        <w:gridCol w:w="130"/>
        <w:gridCol w:w="109"/>
        <w:gridCol w:w="109"/>
        <w:gridCol w:w="109"/>
        <w:gridCol w:w="222"/>
        <w:gridCol w:w="869"/>
        <w:gridCol w:w="168"/>
      </w:tblGrid>
      <w:tr>
        <w:trPr/>
        <w:tc>
          <w:tcPr>
            <w:tcW w:w="94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2945" w:type="dxa"/>
            <w:gridSpan w:val="10"/>
            <w:tcBorders/>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 xml:space="preserve">Amount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268,563 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management agreements </w:t>
            </w:r>
            <w:r>
              <w:rPr>
                <w:rFonts w:ascii="Times New Roman;serif" w:hAnsi="Times New Roman;serif"/>
                <w:b w:val="false"/>
                <w:color w:val="000000"/>
                <w:sz w:val="13"/>
              </w:rPr>
              <w:t>(3)</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469,563 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in which there is no contractual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As of December 31, 2024, gross carrying amounts related to the Company’s intangible assets include additions to intangibles of $99.3 million related to the PW, EEA, and Envoi Acquisitions, a transfer of $4.6 million to Goodwill related to measurement period adjustments for the EEA Acquisition and a transfer of $1.0 million from Goodwill related to measurement period adjustments for the Envoi Acquisition (see Note 4 Business Combinations and Divestitures), as well as foreign currency translation differences of $(1.3)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During the third quarter ended September 30, 2024, the Company commenced a strategic review of its International Real Estate Businesses and conducted a realignment of its operating segments. Prior to the realignment, the Company conducted a goodwill impairment test to determine whether the fair value of its reporting units declined to an amount lower than the carrying value of goodwill. As part of the test, we utilized the discounted cash flow method and determined the fair value of TIG’s Investment Management Agreement (the “IMA”) had declined. As such, the Company recognized intangible asset impairment charges of $44.9 million related to the IMA, which is classified as an indefinite-lived intangible asset and part of the Wealth &amp; Capital Solutions segment. Drivers of the impairment for the IMA primarily include the financial projections and discount rate associated with the instrument. </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Amortization expense of approximately $4.1 million and $4.0 million for the three months ended September 30, 2025 and September 30, 2024, respectively, and $11.8 million and $9.7 million for the nine months ended September 30, 2025 and September 30, 2024, respectively, was recognized.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estimated future amortization for finite-lived intangible assets for each of the next five years and thereafter are as follows:</w:t>
      </w:r>
    </w:p>
    <w:tbl>
      <w:tblPr>
        <w:tblW w:w="4003" w:type="dxa"/>
        <w:jc w:val="left"/>
        <w:tblInd w:w="0" w:type="dxa"/>
        <w:tblLayout w:type="fixed"/>
        <w:tblCellMar>
          <w:top w:w="28" w:type="dxa"/>
          <w:left w:w="28" w:type="dxa"/>
          <w:bottom w:w="28" w:type="dxa"/>
          <w:right w:w="28" w:type="dxa"/>
        </w:tblCellMar>
      </w:tblPr>
      <w:tblGrid>
        <w:gridCol w:w="624"/>
        <w:gridCol w:w="548"/>
        <w:gridCol w:w="552"/>
        <w:gridCol w:w="404"/>
        <w:gridCol w:w="1581"/>
        <w:gridCol w:w="29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beyond</w:t>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221,442 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274,081 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(12) Other assets, net and Other liabilities, net</w:t>
      </w:r>
    </w:p>
    <w:p>
      <w:pPr>
        <w:pStyle w:val="TextBody"/>
        <w:bidi w:val="0"/>
        <w:spacing w:lineRule="auto" w:line="288" w:before="200" w:after="283"/>
        <w:jc w:val="both"/>
        <w:rPr/>
      </w:pPr>
      <w:r>
        <w:rPr>
          <w:rFonts w:ascii="Times New Roman;serif" w:hAnsi="Times New Roman;serif"/>
          <w:b w:val="false"/>
          <w:color w:val="000000"/>
          <w:sz w:val="22"/>
        </w:rPr>
        <w:t>The following table provides a breakdown of Other assets, net reported on the Condensed</w:t>
      </w:r>
      <w:r>
        <w:rPr>
          <w:color w:val="000000"/>
        </w:rPr>
        <w:t xml:space="preserve"> </w:t>
      </w:r>
      <w:r>
        <w:rPr>
          <w:rFonts w:ascii="Times New Roman;serif" w:hAnsi="Times New Roman;serif"/>
          <w:b w:val="false"/>
          <w:color w:val="000000"/>
          <w:sz w:val="22"/>
        </w:rPr>
        <w:t>Consolidated Statement of Financial Position.</w:t>
      </w:r>
    </w:p>
    <w:tbl>
      <w:tblPr>
        <w:tblW w:w="8486" w:type="dxa"/>
        <w:jc w:val="left"/>
        <w:tblInd w:w="0" w:type="dxa"/>
        <w:tblLayout w:type="fixed"/>
        <w:tblCellMar>
          <w:top w:w="28" w:type="dxa"/>
          <w:left w:w="28" w:type="dxa"/>
          <w:bottom w:w="28" w:type="dxa"/>
          <w:right w:w="28" w:type="dxa"/>
        </w:tblCellMar>
      </w:tblPr>
      <w:tblGrid>
        <w:gridCol w:w="1337"/>
        <w:gridCol w:w="1172"/>
        <w:gridCol w:w="1180"/>
        <w:gridCol w:w="453"/>
        <w:gridCol w:w="1548"/>
        <w:gridCol w:w="234"/>
        <w:gridCol w:w="109"/>
        <w:gridCol w:w="109"/>
        <w:gridCol w:w="109"/>
        <w:gridCol w:w="434"/>
        <w:gridCol w:w="1484"/>
        <w:gridCol w:w="317"/>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difference</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2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incentive receivables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Sundry receivables</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receivables</w:t>
            </w:r>
            <w:r>
              <w:rPr>
                <w:color w:val="000000"/>
              </w:rPr>
              <w:t xml:space="preserve"> </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receivables related to IRE</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assets, net</w:t>
            </w:r>
            <w:r>
              <w:rPr>
                <w:color w:val="000000"/>
              </w:rPr>
              <w:t xml:space="preserve"> </w:t>
            </w:r>
            <w:r>
              <w:rPr>
                <w:rFonts w:ascii="Times New Roman;serif" w:hAnsi="Times New Roman;serif"/>
                <w:b w:val="false"/>
                <w:color w:val="000000"/>
                <w:sz w:val="13"/>
              </w:rPr>
              <w:t>(1)</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50,388 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As of September 30, 2025 and December 31, 2024, these amounts include $0.3 million and $0.5 million, respectively, in receivables due from related parties. See Note 17 (Related Party Transactions) for further details.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following table provides a breakdown of Other liabilities, net reported on the Condensed</w:t>
      </w:r>
      <w:r>
        <w:rPr>
          <w:color w:val="000000"/>
        </w:rPr>
        <w:t xml:space="preserve"> </w:t>
      </w:r>
      <w:r>
        <w:rPr>
          <w:rFonts w:ascii="Times New Roman;serif" w:hAnsi="Times New Roman;serif"/>
          <w:b w:val="false"/>
          <w:color w:val="000000"/>
          <w:sz w:val="22"/>
        </w:rPr>
        <w:t>Consolidated Statement of Financial Position.</w:t>
      </w:r>
    </w:p>
    <w:tbl>
      <w:tblPr>
        <w:tblW w:w="7062" w:type="dxa"/>
        <w:jc w:val="left"/>
        <w:tblInd w:w="0" w:type="dxa"/>
        <w:tblLayout w:type="fixed"/>
        <w:tblCellMar>
          <w:top w:w="28" w:type="dxa"/>
          <w:left w:w="28" w:type="dxa"/>
          <w:bottom w:w="28" w:type="dxa"/>
          <w:right w:w="28" w:type="dxa"/>
        </w:tblCellMar>
      </w:tblPr>
      <w:tblGrid>
        <w:gridCol w:w="820"/>
        <w:gridCol w:w="720"/>
        <w:gridCol w:w="725"/>
        <w:gridCol w:w="453"/>
        <w:gridCol w:w="1548"/>
        <w:gridCol w:w="234"/>
        <w:gridCol w:w="109"/>
        <w:gridCol w:w="109"/>
        <w:gridCol w:w="109"/>
        <w:gridCol w:w="434"/>
        <w:gridCol w:w="1484"/>
        <w:gridCol w:w="317"/>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PW deferred consideration</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Corporation tax payable</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 xml:space="preserve">(1) </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Liabilities, net </w:t>
            </w:r>
            <w:r>
              <w:rPr>
                <w:rFonts w:ascii="Times New Roman;serif" w:hAnsi="Times New Roman;serif"/>
                <w:b w:val="false"/>
                <w:color w:val="000000"/>
                <w:sz w:val="13"/>
              </w:rPr>
              <w:t>(2)</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 other category is comprised primarily of miscellaneous payables and provisions. </w:t>
      </w:r>
    </w:p>
    <w:p>
      <w:pPr>
        <w:pStyle w:val="TextBody"/>
        <w:bidi w:val="0"/>
        <w:spacing w:lineRule="auto" w:line="288" w:before="20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 xml:space="preserve">As of September 30, 2025 and December 31, 2024, these amounts include $3.3 million and $6.7 million, respectively, in liabilities due to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(13) Leases</w:t>
      </w:r>
    </w:p>
    <w:p>
      <w:pPr>
        <w:pStyle w:val="TextBody"/>
        <w:bidi w:val="0"/>
        <w:spacing w:lineRule="auto" w:line="288" w:before="200" w:after="283"/>
        <w:jc w:val="both"/>
        <w:rPr/>
      </w:pPr>
      <w:r>
        <w:rPr>
          <w:rFonts w:ascii="Times New Roman;serif" w:hAnsi="Times New Roman;serif"/>
          <w:b w:val="false"/>
          <w:color w:val="000000"/>
          <w:sz w:val="22"/>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w:t>
      </w:r>
      <w:r>
        <w:rPr>
          <w:color w:val="000000"/>
        </w:rPr>
        <w:t xml:space="preserve"> </w:t>
      </w:r>
      <w:r>
        <w:rPr>
          <w:rFonts w:ascii="Times New Roman;serif" w:hAnsi="Times New Roman;serif"/>
          <w:b w:val="false"/>
          <w:color w:val="000000"/>
          <w:sz w:val="22"/>
        </w:rPr>
        <w:t xml:space="preserve">Consolidated Statement of Financial Position. The Company primarily has non-cancellable operating leases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office spaces across various countries. We categorize leases as either operating or finance leases at the commencement date of the respective lease.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components of lease costs are as follows:</w:t>
      </w:r>
    </w:p>
    <w:tbl>
      <w:tblPr>
        <w:tblW w:w="10205" w:type="dxa"/>
        <w:jc w:val="left"/>
        <w:tblInd w:w="0" w:type="dxa"/>
        <w:tblLayout w:type="fixed"/>
        <w:tblCellMar>
          <w:top w:w="28" w:type="dxa"/>
          <w:left w:w="28" w:type="dxa"/>
          <w:bottom w:w="28" w:type="dxa"/>
          <w:right w:w="28" w:type="dxa"/>
        </w:tblCellMar>
      </w:tblPr>
      <w:tblGrid>
        <w:gridCol w:w="746"/>
        <w:gridCol w:w="648"/>
        <w:gridCol w:w="652"/>
        <w:gridCol w:w="387"/>
        <w:gridCol w:w="1129"/>
        <w:gridCol w:w="198"/>
        <w:gridCol w:w="123"/>
        <w:gridCol w:w="123"/>
        <w:gridCol w:w="123"/>
        <w:gridCol w:w="387"/>
        <w:gridCol w:w="1129"/>
        <w:gridCol w:w="198"/>
        <w:gridCol w:w="109"/>
        <w:gridCol w:w="109"/>
        <w:gridCol w:w="109"/>
        <w:gridCol w:w="347"/>
        <w:gridCol w:w="1191"/>
        <w:gridCol w:w="179"/>
        <w:gridCol w:w="109"/>
        <w:gridCol w:w="109"/>
        <w:gridCol w:w="109"/>
        <w:gridCol w:w="347"/>
        <w:gridCol w:w="1191"/>
        <w:gridCol w:w="179"/>
        <w:gridCol w:w="109"/>
        <w:gridCol w:w="165"/>
      </w:tblGrid>
      <w:tr>
        <w:trPr/>
        <w:tc>
          <w:tcPr>
            <w:tcW w:w="7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74" w:type="dxa"/>
            <w:gridSpan w:val="2"/>
            <w:tcBorders/>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lease expense</w:t>
            </w:r>
            <w:r>
              <w:rPr>
                <w:color w:val="000000"/>
              </w:rPr>
              <w:t xml:space="preserve"> </w:t>
            </w:r>
            <w:r>
              <w:rPr>
                <w:rFonts w:ascii="Times New Roman;serif" w:hAnsi="Times New Roman;serif"/>
                <w:b w:val="false"/>
                <w:color w:val="000000"/>
                <w:sz w:val="13"/>
              </w:rPr>
              <w:t>(1)</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These amounts include $0.1 million and $0.1 million for the three months ended September 30, 2025 and September 30, 2024, respectively, and $0.4 million and $0.4 million for the nine months ended September 30, 2025 and September 30, 2024, respectively, in operating lease expense from related parties. See Note 17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Supplemental cash flow information and non-cash activity related to our operating leases are as follows:</w:t>
      </w:r>
    </w:p>
    <w:tbl>
      <w:tblPr>
        <w:tblW w:w="9303" w:type="dxa"/>
        <w:jc w:val="left"/>
        <w:tblInd w:w="0" w:type="dxa"/>
        <w:tblLayout w:type="fixed"/>
        <w:tblCellMar>
          <w:top w:w="28" w:type="dxa"/>
          <w:left w:w="28" w:type="dxa"/>
          <w:bottom w:w="28" w:type="dxa"/>
          <w:right w:w="28" w:type="dxa"/>
        </w:tblCellMar>
      </w:tblPr>
      <w:tblGrid>
        <w:gridCol w:w="1863"/>
        <w:gridCol w:w="1635"/>
        <w:gridCol w:w="1647"/>
        <w:gridCol w:w="398"/>
        <w:gridCol w:w="1166"/>
        <w:gridCol w:w="205"/>
        <w:gridCol w:w="119"/>
        <w:gridCol w:w="119"/>
        <w:gridCol w:w="119"/>
        <w:gridCol w:w="398"/>
        <w:gridCol w:w="1166"/>
        <w:gridCol w:w="205"/>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cash flow information:</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Operating cash flow from operating leases </w:t>
            </w:r>
            <w:r>
              <w:rPr>
                <w:rFonts w:ascii="Times New Roman;serif" w:hAnsi="Times New Roman;serif"/>
                <w:b w:val="false"/>
                <w:color w:val="000000"/>
                <w:sz w:val="13"/>
              </w:rPr>
              <w:t>(1)</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activity:</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These amounts include $0.4 million and $0.4 million for the nine months ended September 30, 2025 and 2024, respectively, in operating cash flow from operating leases from related parties. See Note 17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Weighted-average remaining lease term and discount rate for our operating leases are as follows:</w:t>
      </w:r>
    </w:p>
    <w:tbl>
      <w:tblPr>
        <w:tblW w:w="8125" w:type="dxa"/>
        <w:jc w:val="left"/>
        <w:tblInd w:w="0" w:type="dxa"/>
        <w:tblLayout w:type="fixed"/>
        <w:tblCellMar>
          <w:top w:w="28" w:type="dxa"/>
          <w:left w:w="28" w:type="dxa"/>
          <w:bottom w:w="28" w:type="dxa"/>
          <w:right w:w="28" w:type="dxa"/>
        </w:tblCellMar>
      </w:tblPr>
      <w:tblGrid>
        <w:gridCol w:w="1207"/>
        <w:gridCol w:w="1059"/>
        <w:gridCol w:w="1064"/>
        <w:gridCol w:w="497"/>
        <w:gridCol w:w="497"/>
        <w:gridCol w:w="1240"/>
        <w:gridCol w:w="109"/>
        <w:gridCol w:w="109"/>
        <w:gridCol w:w="109"/>
        <w:gridCol w:w="455"/>
        <w:gridCol w:w="455"/>
        <w:gridCol w:w="132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Future minimum lease payments for the Company’s operating leases as of September 30, 2025,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2025</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91,491 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63,722 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(14) Goodwill, net</w:t>
      </w:r>
    </w:p>
    <w:p>
      <w:pPr>
        <w:pStyle w:val="TextBody"/>
        <w:bidi w:val="0"/>
        <w:spacing w:lineRule="auto" w:line="288" w:before="200" w:after="283"/>
        <w:jc w:val="both"/>
        <w:rPr/>
      </w:pPr>
      <w:r>
        <w:rPr>
          <w:rFonts w:ascii="Times New Roman;serif" w:hAnsi="Times New Roman;serif"/>
          <w:b w:val="false"/>
          <w:color w:val="000000"/>
          <w:sz w:val="22"/>
        </w:rPr>
        <w:t>The following table provides a reconciliation of Goodwill, net reported on the Condensed</w:t>
      </w:r>
      <w:r>
        <w:rPr>
          <w:color w:val="000000"/>
        </w:rPr>
        <w:t xml:space="preserve"> </w:t>
      </w:r>
      <w:r>
        <w:rPr>
          <w:rFonts w:ascii="Times New Roman;serif" w:hAnsi="Times New Roman;serif"/>
          <w:b w:val="false"/>
          <w:color w:val="000000"/>
          <w:sz w:val="22"/>
        </w:rPr>
        <w:t>Consolidated Statement of Financial Position and Condensed</w:t>
      </w:r>
      <w:r>
        <w:rPr>
          <w:color w:val="000000"/>
        </w:rPr>
        <w:t xml:space="preserve"> </w:t>
      </w:r>
      <w:r>
        <w:rPr>
          <w:rFonts w:ascii="Times New Roman;serif" w:hAnsi="Times New Roman;serif"/>
          <w:b w:val="false"/>
          <w:color w:val="000000"/>
          <w:sz w:val="22"/>
        </w:rPr>
        <w:t>Consolidated Statement of Financial Position as of September 30, 2025 and December 31, 2024, respectively.</w:t>
      </w:r>
    </w:p>
    <w:tbl>
      <w:tblPr>
        <w:tblW w:w="9609" w:type="dxa"/>
        <w:jc w:val="left"/>
        <w:tblInd w:w="0" w:type="dxa"/>
        <w:tblLayout w:type="fixed"/>
        <w:tblCellMar>
          <w:top w:w="28" w:type="dxa"/>
          <w:left w:w="28" w:type="dxa"/>
          <w:bottom w:w="28" w:type="dxa"/>
          <w:right w:w="28" w:type="dxa"/>
        </w:tblCellMar>
      </w:tblPr>
      <w:tblGrid>
        <w:gridCol w:w="1308"/>
        <w:gridCol w:w="1149"/>
        <w:gridCol w:w="1157"/>
        <w:gridCol w:w="109"/>
        <w:gridCol w:w="109"/>
        <w:gridCol w:w="109"/>
        <w:gridCol w:w="109"/>
        <w:gridCol w:w="411"/>
        <w:gridCol w:w="1611"/>
        <w:gridCol w:w="212"/>
        <w:gridCol w:w="109"/>
        <w:gridCol w:w="109"/>
        <w:gridCol w:w="109"/>
        <w:gridCol w:w="109"/>
        <w:gridCol w:w="109"/>
        <w:gridCol w:w="109"/>
        <w:gridCol w:w="109"/>
        <w:gridCol w:w="403"/>
        <w:gridCol w:w="1579"/>
        <w:gridCol w:w="208"/>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361,780 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44,065 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385,721 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 ended December 31, 2024, the Company recognized a $29.4 million impairment to goodwill. The primary drivers of impairment were a decrease in the financial projections resulting from redemption activity, existing levels of AUM, the change in the discount rate for the IMAs, and market multiples for goodwill. </w:t>
      </w:r>
    </w:p>
    <w:p>
      <w:pPr>
        <w:pStyle w:val="TextBody"/>
        <w:bidi w:val="0"/>
        <w:spacing w:before="0" w:after="0"/>
        <w:ind w:left="0" w:right="0" w:firstLine="167"/>
        <w:jc w:val="both"/>
        <w:rPr/>
      </w:pPr>
      <w:r>
        <w:rPr/>
      </w:r>
    </w:p>
    <w:p>
      <w:pPr>
        <w:pStyle w:val="TextBody"/>
        <w:bidi w:val="0"/>
        <w:spacing w:lineRule="auto" w:line="268" w:before="0" w:after="0"/>
        <w:jc w:val="both"/>
        <w:rPr/>
      </w:pPr>
      <w:r>
        <w:rPr>
          <w:rFonts w:ascii="Times New Roman;serif" w:hAnsi="Times New Roman;serif"/>
          <w:b w:val="false"/>
          <w:color w:val="000000"/>
          <w:sz w:val="22"/>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indefinite lived intangible assets and reporting units could be required, which could be material to the condensed</w:t>
      </w:r>
      <w:r>
        <w:rPr>
          <w:color w:val="000000"/>
        </w:rPr>
        <w:t xml:space="preserve"> </w:t>
      </w:r>
      <w:r>
        <w:rPr>
          <w:rFonts w:ascii="Times New Roman;serif" w:hAnsi="Times New Roman;serif"/>
          <w:b w:val="false"/>
          <w:color w:val="000000"/>
          <w:sz w:val="22"/>
        </w:rPr>
        <w:t xml:space="preserve">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(15) Debt, net of unamortized deferred financing cost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outstanding debt obligations of the Company as of September 30, 2025 and December 31, 2024:</w:t>
      </w:r>
    </w:p>
    <w:tbl>
      <w:tblPr>
        <w:tblW w:w="10205" w:type="dxa"/>
        <w:jc w:val="left"/>
        <w:tblInd w:w="0" w:type="dxa"/>
        <w:tblLayout w:type="fixed"/>
        <w:tblCellMar>
          <w:top w:w="28" w:type="dxa"/>
          <w:left w:w="28" w:type="dxa"/>
          <w:bottom w:w="28" w:type="dxa"/>
          <w:right w:w="28" w:type="dxa"/>
        </w:tblCellMar>
      </w:tblPr>
      <w:tblGrid>
        <w:gridCol w:w="645"/>
        <w:gridCol w:w="567"/>
        <w:gridCol w:w="570"/>
        <w:gridCol w:w="391"/>
        <w:gridCol w:w="864"/>
        <w:gridCol w:w="203"/>
        <w:gridCol w:w="109"/>
        <w:gridCol w:w="109"/>
        <w:gridCol w:w="109"/>
        <w:gridCol w:w="301"/>
        <w:gridCol w:w="667"/>
        <w:gridCol w:w="157"/>
        <w:gridCol w:w="109"/>
        <w:gridCol w:w="109"/>
        <w:gridCol w:w="109"/>
        <w:gridCol w:w="212"/>
        <w:gridCol w:w="470"/>
        <w:gridCol w:w="109"/>
        <w:gridCol w:w="109"/>
        <w:gridCol w:w="109"/>
        <w:gridCol w:w="109"/>
        <w:gridCol w:w="423"/>
        <w:gridCol w:w="815"/>
        <w:gridCol w:w="220"/>
        <w:gridCol w:w="109"/>
        <w:gridCol w:w="109"/>
        <w:gridCol w:w="109"/>
        <w:gridCol w:w="326"/>
        <w:gridCol w:w="628"/>
        <w:gridCol w:w="169"/>
        <w:gridCol w:w="109"/>
        <w:gridCol w:w="109"/>
        <w:gridCol w:w="109"/>
        <w:gridCol w:w="226"/>
        <w:gridCol w:w="434"/>
        <w:gridCol w:w="173"/>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left"/>
              <w:rPr/>
            </w:pPr>
            <w:r>
              <w:rPr>
                <w:rFonts w:ascii="Times New Roman;serif" w:hAnsi="Times New Roman;serif"/>
                <w:b w:val="false"/>
                <w:color w:val="000000"/>
                <w:sz w:val="20"/>
              </w:rPr>
              <w:t xml:space="preserve">Value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Fair</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left"/>
              <w:rPr/>
            </w:pPr>
            <w:r>
              <w:rPr>
                <w:rFonts w:ascii="Times New Roman;serif" w:hAnsi="Times New Roman;serif"/>
                <w:b w:val="false"/>
                <w:color w:val="000000"/>
                <w:sz w:val="20"/>
              </w:rPr>
              <w:t>Value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Fair</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(2)</w:t>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Kontora Credit Facility</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Represents debt outstanding net of unamortized debt issuance costs.</w:t>
      </w:r>
    </w:p>
    <w:p>
      <w:pPr>
        <w:pStyle w:val="TextBody"/>
        <w:bidi w:val="0"/>
        <w:spacing w:lineRule="auto" w:line="268" w:before="120" w:after="283"/>
        <w:jc w:val="both"/>
        <w:rPr/>
      </w:pPr>
      <w:r>
        <w:rPr>
          <w:rFonts w:ascii="Times New Roman;serif" w:hAnsi="Times New Roman;serif"/>
          <w:b/>
          <w:color w:val="000000"/>
          <w:sz w:val="12"/>
        </w:rPr>
        <w:t>(2</w:t>
      </w:r>
      <w:r>
        <w:rPr>
          <w:rFonts w:ascii="Times New Roman;serif" w:hAnsi="Times New Roman;serif"/>
          <w:b w:val="false"/>
          <w:color w:val="000000"/>
          <w:sz w:val="12"/>
        </w:rPr>
        <w:t xml:space="preserve">) </w:t>
      </w:r>
      <w:r>
        <w:rPr>
          <w:rFonts w:ascii="Times New Roman;serif" w:hAnsi="Times New Roman;serif"/>
          <w:b w:val="false"/>
          <w:color w:val="000000"/>
          <w:sz w:val="18"/>
        </w:rPr>
        <w:t xml:space="preserve">The fair value of the Term Loan approximates carrying value as of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Kontora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30, 2025 the Company acquired Kontora. See Note 4 (Business Combinations and Divestitures). At the acquisition date, Kontora had a term loan with HypoVereinsbank with an outstanding principal amount of $0.6 million. The term loan is repayable in fixed quarterly installments of $0.1 million plus interest, with the final payment due on June 30, 2027. The term loan bears interest at 6.7% per annum which is payable quarterly. Throughout the period of the loan Kontora Family Office GmbH, as a standalone entity, is required to maintain economic equity of the higher of $1.8 million or 30% of the total assets of this standalone entity.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Contractual maturities of the term loan as of September 30, 2025, are set out in the table below: </w:t>
      </w:r>
    </w:p>
    <w:tbl>
      <w:tblPr>
        <w:tblW w:w="3988" w:type="dxa"/>
        <w:jc w:val="left"/>
        <w:tblInd w:w="0" w:type="dxa"/>
        <w:tblLayout w:type="fixed"/>
        <w:tblCellMar>
          <w:top w:w="28" w:type="dxa"/>
          <w:left w:w="28" w:type="dxa"/>
          <w:bottom w:w="28" w:type="dxa"/>
          <w:right w:w="28" w:type="dxa"/>
        </w:tblCellMar>
      </w:tblPr>
      <w:tblGrid>
        <w:gridCol w:w="624"/>
        <w:gridCol w:w="548"/>
        <w:gridCol w:w="552"/>
        <w:gridCol w:w="563"/>
        <w:gridCol w:w="1314"/>
        <w:gridCol w:w="387"/>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Aggregate Maturities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2025</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2026</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2028</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2029</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586 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Allianz Tranche Right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Company issued the Allianz Tranche Right in which Allianz, at their option, can purchase up to a total of 50,000 additional shares of Series A Preferred Stock at $1,000 per share. See Note 1 (Description of the Business) for details. On May 13, 2025, Allianz exercised the Allianz Tranche Right to purchase an additional 18,471 shares of Series A Preferred Stock at the stated price for $18.5 million. As of September 30, 2025 and December 31, 2024, the Allianz Tranche Right of $1.7 million and $3.9 million, respectively, is classified as a liability in accordance with ASC 480, </w:t>
      </w:r>
      <w:r>
        <w:rPr>
          <w:rFonts w:ascii="Times New Roman;serif" w:hAnsi="Times New Roman;serif"/>
          <w:b w:val="false"/>
          <w:i/>
          <w:color w:val="000000"/>
          <w:sz w:val="22"/>
        </w:rPr>
        <w:t>Liabilities</w:t>
      </w:r>
      <w:r>
        <w:rPr>
          <w:rFonts w:ascii="Times New Roman;serif" w:hAnsi="Times New Roman;serif"/>
          <w:b w:val="false"/>
          <w:color w:val="000000"/>
          <w:sz w:val="22"/>
        </w:rPr>
        <w:t xml:space="preserve">, and is recorded in the line item Preferred stock tranche liability on the Company’s Condensed Consolidated Statement of Financial Position. For the three and nine months ended September 30, 2025, the change in fair value of the Allianz Tranche Right is $0.5 million and $2.3 million, respectively, which is recorded in the line item Gain (loss) on preferred stock liability in the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Subsequent to entering into the Credit Agreement and prior to the pay down of its debt in its entirety (see discussion below), the Company entered into multiple amendments during 2023 and 2024, which included a reduction of the aggregate commitment amount under the Revolving Credit Facility from $150.0 million to $110.0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Term Loans and Revolving Credit Facility bore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ranged between 1.0% and 2.0% for base rate loans and between 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and 3.0% for SOFR loans. The Company paid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was subject to quarterly amortization payments and matured on December 31, 2024. The Revolving Credit Facility terminated on December 31, 2024. As security for the Term Loans and Revolving Credit Facility, the borrower and the guarantors thereunder pledged substantially all of their assets, subject to agreed-upon exclusions. The guarantor group consisted of the Company’s U.S. and non-U.S. subsidiaries, subject to an agreed-upon materiality threshold. </w:t>
      </w:r>
    </w:p>
    <w:p>
      <w:pPr>
        <w:pStyle w:val="TextBody"/>
        <w:bidi w:val="0"/>
        <w:spacing w:lineRule="auto" w:line="288" w:before="200" w:after="283"/>
        <w:jc w:val="both"/>
        <w:rPr/>
      </w:pPr>
      <w:r>
        <w:rPr>
          <w:rFonts w:ascii="Times New Roman;serif" w:hAnsi="Times New Roman;serif"/>
          <w:b w:val="false"/>
          <w:color w:val="000000"/>
          <w:sz w:val="22"/>
        </w:rPr>
        <w:t>On December 19, 2024, the Company paid off its debt outstanding in the amount of $133.4 million related to the BMO Credit Facility, with the proceeds raised from the Allianz Transaction and the Constellation Transaction (see Note 1 (Description of the Business)). This debt was due to terminate on December 31, 2024. The Company recognized a write-off of the deferred issuance costs related to the extinguishment of this debt in the amount of $4.5 million, which was recorded in the line Interest expense in the Condensed</w:t>
      </w:r>
      <w:r>
        <w:rPr>
          <w:color w:val="000000"/>
        </w:rPr>
        <w:t xml:space="preserve"> </w:t>
      </w:r>
      <w:r>
        <w:rPr>
          <w:rFonts w:ascii="Times New Roman;serif" w:hAnsi="Times New Roman;serif"/>
          <w:b w:val="false"/>
          <w:color w:val="000000"/>
          <w:sz w:val="22"/>
        </w:rPr>
        <w:t>Consolidated Statement of Operations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(16) Retirement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 </w:t>
      </w:r>
    </w:p>
    <w:tbl>
      <w:tblPr>
        <w:tblW w:w="10184" w:type="dxa"/>
        <w:jc w:val="left"/>
        <w:tblInd w:w="0" w:type="dxa"/>
        <w:tblLayout w:type="fixed"/>
        <w:tblCellMar>
          <w:top w:w="28" w:type="dxa"/>
          <w:left w:w="28" w:type="dxa"/>
          <w:bottom w:w="28" w:type="dxa"/>
          <w:right w:w="28" w:type="dxa"/>
        </w:tblCellMar>
      </w:tblPr>
      <w:tblGrid>
        <w:gridCol w:w="624"/>
        <w:gridCol w:w="548"/>
        <w:gridCol w:w="552"/>
        <w:gridCol w:w="474"/>
        <w:gridCol w:w="1051"/>
        <w:gridCol w:w="245"/>
        <w:gridCol w:w="145"/>
        <w:gridCol w:w="145"/>
        <w:gridCol w:w="145"/>
        <w:gridCol w:w="474"/>
        <w:gridCol w:w="1051"/>
        <w:gridCol w:w="245"/>
        <w:gridCol w:w="109"/>
        <w:gridCol w:w="109"/>
        <w:gridCol w:w="109"/>
        <w:gridCol w:w="398"/>
        <w:gridCol w:w="1166"/>
        <w:gridCol w:w="205"/>
        <w:gridCol w:w="119"/>
        <w:gridCol w:w="119"/>
        <w:gridCol w:w="119"/>
        <w:gridCol w:w="398"/>
        <w:gridCol w:w="1166"/>
        <w:gridCol w:w="205"/>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9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Contributions</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2"/>
        </w:rPr>
        <w:t>As of September 30, 2025, $1.4 million in contributions was payable, which is included in Accounts payable and accrued expenses on the Condensed</w:t>
      </w:r>
      <w:r>
        <w:rPr>
          <w:color w:val="000000"/>
        </w:rPr>
        <w:t xml:space="preserve"> </w:t>
      </w:r>
      <w:r>
        <w:rPr>
          <w:rFonts w:ascii="Times New Roman;serif" w:hAnsi="Times New Roman;serif"/>
          <w:b w:val="false"/>
          <w:color w:val="000000"/>
          <w:sz w:val="22"/>
        </w:rPr>
        <w:t xml:space="preserve">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(17) Related Party Transactions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1880"/>
        <w:gridCol w:w="1250"/>
        <w:gridCol w:w="1258"/>
        <w:gridCol w:w="109"/>
        <w:gridCol w:w="109"/>
        <w:gridCol w:w="109"/>
        <w:gridCol w:w="758"/>
        <w:gridCol w:w="736"/>
        <w:gridCol w:w="737"/>
        <w:gridCol w:w="236"/>
        <w:gridCol w:w="927"/>
        <w:gridCol w:w="122"/>
        <w:gridCol w:w="233"/>
        <w:gridCol w:w="916"/>
        <w:gridCol w:w="120"/>
        <w:gridCol w:w="109"/>
        <w:gridCol w:w="109"/>
        <w:gridCol w:w="109"/>
        <w:gridCol w:w="109"/>
        <w:gridCol w:w="109"/>
        <w:gridCol w:w="160"/>
      </w:tblGrid>
      <w:tr>
        <w:trPr/>
        <w:tc>
          <w:tcPr>
            <w:tcW w:w="188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 Line Item</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September 30, </w:t>
              <w:br/>
              <w:t>2025</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Certain TWMH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adjustment in connection with the purchase of Kontora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Alvarium related fee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TIG related fee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with Allianz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TWMH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member distribution payable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Non-Controlling Interest Holders in Connection with the Tax Receivable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share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share purchase agreement</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profit sharing</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PW deferred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Certain TWMH Members, TIG GP Members, TIG MGMT Members and Alvarium Shareholders in connection with the Business Combination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EEA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Envoi earn-out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Envoi earn-out growth consideration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Kontora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tranche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tranche liability</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Cumulative Convertible Preferred Stock</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Series C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Redeemable Cumulative Convertible Preferred Stock</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Allianz Warrants,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Constellation Warrants,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Due from TWMH Members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 On March 14, 2024, a certain member repaid their note totaling $0.7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For the three months ended September 30, 2025 and September 30, 2024, the Company recognized $56 thousand and $57 thousand, respectively, and for the nine months ended September 30, 2025 and September 30, 2024, the Company recognized $168 thousand and $173 thousand, respectively, of forgiveness of principal debt and accrued interest within Compensation and employee benefits expense on the Condensed</w:t>
      </w:r>
      <w:r>
        <w:rPr>
          <w:color w:val="000000"/>
        </w:rPr>
        <w:t xml:space="preserve"> </w:t>
      </w:r>
      <w:r>
        <w:rPr>
          <w:rFonts w:ascii="Times New Roman;serif" w:hAnsi="Times New Roman;serif"/>
          <w:b w:val="false"/>
          <w:color w:val="000000"/>
          <w:sz w:val="22"/>
        </w:rPr>
        <w:t xml:space="preserve">Consolidated Statement of Operations.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w:t>
      </w:r>
      <w:r>
        <w:rPr>
          <w:color w:val="000000"/>
        </w:rPr>
        <w:t xml:space="preserve"> </w:t>
      </w:r>
      <w:r>
        <w:rPr>
          <w:rFonts w:ascii="Times New Roman;serif" w:hAnsi="Times New Roman;serif"/>
          <w:b w:val="false"/>
          <w:color w:val="000000"/>
          <w:sz w:val="22"/>
        </w:rPr>
        <w:t>Consolidated Statement of Financial Condition. As of September 30, 2025 and December 31, 2024, the balances of loans to members was $0.3 million and $0.4 million,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Due to Certain TIG GP Members and TIG MGMT Members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Certain TIG GP and TIG MGMT Members were issued a distribution from the legacy partnership businesses in connection with the Business Combination. This was treated as a partnership distribution and is presented as Accrued member distributions payable on the Condensed Consolidated Statement of Financial Condition. As of September 30, 2025 and December 31, 2024, the balance of Accrued member distributions payable was $3.3 million and $3.4 million,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Tax Receivable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each of their Class B Unit of Umbrella paired with a share of Class B Common Stock (collectively, the “Paired Interests”) for Class A Common Stock in accordance with the Umbrella LLC Agreement and the making of payments under the TRA.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The TRA is recognized on the Condensed</w:t>
      </w:r>
      <w:r>
        <w:rPr>
          <w:color w:val="000000"/>
        </w:rPr>
        <w:t xml:space="preserve"> </w:t>
      </w:r>
      <w:r>
        <w:rPr>
          <w:rFonts w:ascii="Times New Roman;serif" w:hAnsi="Times New Roman;serif"/>
          <w:b w:val="false"/>
          <w:color w:val="000000"/>
          <w:sz w:val="22"/>
        </w:rPr>
        <w:t xml:space="preserve">Consolidated Statement of Financial Condition as the TRA Liability. The value of the TRA Liability as of September 30, 2025 and December 31, 2024 was $32.5 million and $28.8 million, respectively. As of September 30, 2025 and December 31, 2024, the Company carried $10.8 million and $9.4 million, respectively, of its TRA Liability at fair value, as it is contingent consideration from the Business Combination. The remaining portion related to the TRA Liability is related to the TRA Exchange of $21.7 million and $19.4 million as of September 30, 2025 and December 31, 2024, respectively, is recorded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2"/>
        </w:rPr>
        <w:t>its carrying value. For the three months ended September 30, 2025 and September 30, 2024, the Company recognized a loss of $(0.9) million and a loss of $(2.5) million, respectively, and for the nine months ended September 30, 2025 and September 30, 2024, the Company recognized a loss of $(1.4) million and a gain of $3.8 million, respectively, which is recorded in Gain (loss) on TRA in the Condensed</w:t>
      </w:r>
      <w:r>
        <w:rPr>
          <w:color w:val="000000"/>
        </w:rPr>
        <w:t xml:space="preserve"> </w:t>
      </w:r>
      <w:r>
        <w:rPr>
          <w:rFonts w:ascii="Times New Roman;serif" w:hAnsi="Times New Roman;serif"/>
          <w:b w:val="false"/>
          <w:color w:val="000000"/>
          <w:sz w:val="22"/>
        </w:rPr>
        <w:t xml:space="preserve">Consolidated Statement of Operations. </w:t>
      </w:r>
    </w:p>
    <w:p>
      <w:pPr>
        <w:pStyle w:val="TextBody"/>
        <w:bidi w:val="0"/>
        <w:spacing w:lineRule="auto" w:line="268" w:before="200" w:after="283"/>
        <w:jc w:val="both"/>
        <w:rPr/>
      </w:pPr>
      <w:r>
        <w:rPr>
          <w:rFonts w:ascii="Times New Roman;serif" w:hAnsi="Times New Roman;serif"/>
          <w:b w:val="false"/>
          <w:color w:val="000000"/>
          <w:sz w:val="22"/>
        </w:rPr>
        <w:t xml:space="preserve">As of September 30, 2025, </w:t>
      </w:r>
      <w:r>
        <w:rPr>
          <w:rFonts w:ascii="Times New Roman;serif" w:hAnsi="Times New Roman;serif"/>
          <w:b w:val="false"/>
          <w:color w:val="000000"/>
          <w:sz w:val="22"/>
          <w:shd w:fill="FFFFFF" w:val="clear"/>
        </w:rPr>
        <w:t>holders of Class B Units have exchanged a tot</w:t>
      </w:r>
      <w:r>
        <w:rPr>
          <w:rFonts w:ascii="Times New Roman;serif" w:hAnsi="Times New Roman;serif"/>
          <w:b w:val="false"/>
          <w:color w:val="000000"/>
          <w:sz w:val="22"/>
        </w:rPr>
        <w:t>al of 10,844,400 Class B Paired Interests with the Company, for shares of Class A Common Stock on a 1:1 basis totaling an amount equal to the weighted average price of $5.68 multiplied by the total number of shares of Class A Common Stock received at the time of the transactions. For the nine months ended September 30, 2025, the Company did not make any tax distributions to Class B Units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Liability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September 30, 2025 and December 31, 2024, the fair value of the Business Combination Earn-out Liability was $11.4 million and $23.8 million, respectively, and is reported in Earn-out liabilities, at fair value, in the Condensed</w:t>
      </w:r>
      <w:r>
        <w:rPr>
          <w:color w:val="000000"/>
        </w:rPr>
        <w:t xml:space="preserve"> </w:t>
      </w:r>
      <w:r>
        <w:rPr>
          <w:rFonts w:ascii="Times New Roman;serif" w:hAnsi="Times New Roman;serif"/>
          <w:b w:val="false"/>
          <w:color w:val="000000"/>
          <w:sz w:val="22"/>
        </w:rPr>
        <w:t>Consolidated Statement of Financial Position. The Company recognized the change in fair value of $6.3 million and $9.7 million for the three months ended September 30, 2025 and September 30, 2024, respectively, and $12.4 million and $48.1 million for the nine months ended September 30, 2025 and September 30, 2024, respectively, which is recorded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EEA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(or EEA earn-out liability). During the second quarter ended June 30, 2025, a cash payment of $7.4 million related to this contingent consideration was made. As of September 30, 2025 and December 31, 2024, the EEA earn-out liability of $24.2 million and $29.9 million, respectively, is reported in Earn-out liabilities, at fair value, in the Condensed</w:t>
      </w:r>
      <w:r>
        <w:rPr>
          <w:color w:val="000000"/>
        </w:rPr>
        <w:t xml:space="preserve"> </w:t>
      </w:r>
      <w:r>
        <w:rPr>
          <w:rFonts w:ascii="Times New Roman;serif" w:hAnsi="Times New Roman;serif"/>
          <w:b w:val="false"/>
          <w:color w:val="000000"/>
          <w:sz w:val="22"/>
        </w:rPr>
        <w:t xml:space="preserve">Consolidated Statement of Financial Position. The fair value will be remeasured at each reporting date in accordance with ASC 820, </w:t>
      </w:r>
      <w:r>
        <w:rPr>
          <w:rFonts w:ascii="Times New Roman;serif" w:hAnsi="Times New Roman;serif"/>
          <w:b w:val="false"/>
          <w:i/>
          <w:color w:val="000000"/>
          <w:sz w:val="22"/>
        </w:rPr>
        <w:t xml:space="preserve">Fair Value Measurement. </w:t>
      </w:r>
      <w:r>
        <w:rPr>
          <w:rFonts w:ascii="Times New Roman;serif" w:hAnsi="Times New Roman;serif"/>
          <w:b w:val="false"/>
          <w:color w:val="000000"/>
          <w:sz w:val="22"/>
        </w:rPr>
        <w:t>The Company recognized the change in fair value of $(0.6) million and $(5.6) million for the three months ended September 30, 2025 and September 30, 2024, respectively, and $(1.7) million and $(6.3) million for the nine months ended September 30, 2025 and September 30, 2024, respectively, which is recorded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Envoi Earn-out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required to pay additional cash or equity consideration contingent on future revenue-based performance targets between the closing date and the fourth anniversary of the closing date. As of September 30, 2025 and December 31, 2024, the Envoi earn-out consideration liability of $7.3 million and $9.6 million, respectively, and the Envoi earn-out growth consideration liability of $1.1 million and $1.3 million, respectively, are reported in the Earn-out liabilities, at fair value, in the Condensed</w:t>
      </w:r>
      <w:r>
        <w:rPr>
          <w:color w:val="000000"/>
        </w:rPr>
        <w:t xml:space="preserve"> </w:t>
      </w:r>
      <w:r>
        <w:rPr>
          <w:rFonts w:ascii="Times New Roman;serif" w:hAnsi="Times New Roman;serif"/>
          <w:b w:val="false"/>
          <w:color w:val="000000"/>
          <w:sz w:val="22"/>
        </w:rPr>
        <w:t>Consolidated Statement of Financial Position. The Company recognized the change in fair value for the Envoi earn-out consideration liability of $(0.5) million and $(0.6) million, respectively, for the three and nine months ended September 30, 2025, and the change in fair value for the Envoi earn-out growth consideration liability of $0.1 million and $0.3 million, respectively, for the three and nine months ended September 30, 2025, which are recorded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As of September 30, 2025, the Kontora earn-out liability of $6.8 million is reported in the Earn-out liabilities, at fair value, in the Condensed</w:t>
      </w:r>
      <w:r>
        <w:rPr>
          <w:color w:val="000000"/>
        </w:rPr>
        <w:t xml:space="preserve"> </w:t>
      </w:r>
      <w:r>
        <w:rPr>
          <w:rFonts w:ascii="Times New Roman;serif" w:hAnsi="Times New Roman;serif"/>
          <w:b w:val="false"/>
          <w:color w:val="000000"/>
          <w:sz w:val="22"/>
        </w:rPr>
        <w:t>Consolidated Statement of Financial Position. The Company recognized the change in fair value for the Kontora earn-out liability of $561.0 thousand and $1,046.0 thousand for the three and nine months ended September 30, 2025, respectively, which is recorded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Due to Certain Employees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In August 2020, a senior executive of the Company entered into a Share Purchase Agreement with Tiedemann Constantia AG (“TC”), a wholly owned subsidiary of the Company, in connection with a share buyback transaction pursuant to which the senior executive sold 702 shares of TC stock (“TC Shares”) to TC in exchange for a vendor loan note issued by TC (the “Vendor Loan Note”). The Vendor Loan Note accrues interest until settlement. On May 18, 2025, the senior executive sent the Company a demand notice for repayment of the Vendor Loan Note in accordance with its terms. The Company expects the loan to be settled in mid-2026. As of September 30, 2025, the outstanding balance of this loan was approximately $0.7 million and is reported in Other liabilities in the Condensed</w:t>
      </w:r>
      <w:r>
        <w:rPr>
          <w:color w:val="000000"/>
        </w:rPr>
        <w:t xml:space="preserve"> </w:t>
      </w:r>
      <w:r>
        <w:rPr>
          <w:rFonts w:ascii="Times New Roman;serif" w:hAnsi="Times New Roman;serif"/>
          <w:b w:val="false"/>
          <w:color w:val="000000"/>
          <w:sz w:val="22"/>
        </w:rPr>
        <w:t xml:space="preserve">Consolidated Statement of Financial Position.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w:t>
      </w:r>
      <w:r>
        <w:rPr>
          <w:color w:val="000000"/>
        </w:rPr>
        <w:t xml:space="preserve"> </w:t>
      </w:r>
      <w:r>
        <w:rPr>
          <w:rFonts w:ascii="Times New Roman;serif" w:hAnsi="Times New Roman;serif"/>
          <w:b w:val="false"/>
          <w:color w:val="000000"/>
          <w:sz w:val="22"/>
        </w:rPr>
        <w:t>Consolidated Statement of Financial Position. The deferred consideration was paid during the first quarter ended March 31, 2025, in cash and equity totaling $3.0 million. For the nine months ended September 30, 2025, the Company recognized the change in fair value for the deferred consideration liability of $372.6 thousand, of which $390.7 thousand is recorded in Gain (loss) on earnout liabilities and $(18.1) thousand is recorded in Interest expense, both in the Condensed</w:t>
      </w:r>
      <w:r>
        <w:rPr>
          <w:color w:val="000000"/>
        </w:rPr>
        <w:t xml:space="preserve"> </w:t>
      </w:r>
      <w:r>
        <w:rPr>
          <w:rFonts w:ascii="Times New Roman;serif" w:hAnsi="Times New Roman;serif"/>
          <w:b w:val="false"/>
          <w:color w:val="000000"/>
          <w:sz w:val="22"/>
        </w:rPr>
        <w:t xml:space="preserve">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Operating Lease Liabilities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ALWP has renewed a lease it had previously entered into for its Singapore office with a related party. The lease renewal was entered into on May 2, 2025 and will become effective on November 1, 2025. The lessor is the head of investments of this subsidiary. As of September 30, 2025 and December 31, 2024, the operating lease payable amounted to $1.2 million and $0.3 million, respectively, and is reported in the Operating lease liabilities in the Condensed</w:t>
      </w:r>
      <w:r>
        <w:rPr>
          <w:color w:val="000000"/>
        </w:rPr>
        <w:t xml:space="preserve"> </w:t>
      </w:r>
      <w:r>
        <w:rPr>
          <w:rFonts w:ascii="Times New Roman;serif" w:hAnsi="Times New Roman;serif"/>
          <w:b w:val="false"/>
          <w:color w:val="000000"/>
          <w:sz w:val="22"/>
        </w:rPr>
        <w:t>Consolidated Statement of Financial Position. The Company recorded lease expense related to this lease of $0.1 million and $0.1 million for the three months ended September 30, 2025 and September 30, 2024, respectively, and $0.4 million and $0.4 million for the nine months ended September 30, 2025 and September 30, 2024, respectively, which is recorded in Occupancy costs in the Condensed</w:t>
      </w:r>
      <w:r>
        <w:rPr>
          <w:color w:val="000000"/>
        </w:rPr>
        <w:t xml:space="preserve"> </w:t>
      </w:r>
      <w:r>
        <w:rPr>
          <w:rFonts w:ascii="Times New Roman;serif" w:hAnsi="Times New Roman;serif"/>
          <w:b w:val="false"/>
          <w:color w:val="000000"/>
          <w:sz w:val="22"/>
        </w:rPr>
        <w:t>Consolidated Statement of Operations and</w:t>
      </w:r>
      <w:r>
        <w:rPr>
          <w:color w:val="000000"/>
        </w:rPr>
        <w:t xml:space="preserve"> </w:t>
      </w:r>
      <w:r>
        <w:rPr>
          <w:rFonts w:ascii="Times New Roman;serif" w:hAnsi="Times New Roman;serif"/>
          <w:b w:val="false"/>
          <w:color w:val="000000"/>
          <w:sz w:val="22"/>
        </w:rPr>
        <w:t>$0.4 million and $0.4 million for the nine months ended September 30, 2025 and 2024, respectively, in Operating cash flow from operating leases in the Condensed</w:t>
      </w:r>
      <w:r>
        <w:rPr>
          <w:color w:val="000000"/>
        </w:rPr>
        <w:t xml:space="preserve"> </w:t>
      </w:r>
      <w:r>
        <w:rPr>
          <w:rFonts w:ascii="Times New Roman;serif" w:hAnsi="Times New Roman;serif"/>
          <w:b w:val="false"/>
          <w:color w:val="000000"/>
          <w:sz w:val="22"/>
        </w:rPr>
        <w:t xml:space="preserve">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Fees Receivable, net</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2"/>
        </w:rPr>
        <w:t>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Condensed</w:t>
      </w:r>
      <w:r>
        <w:rPr>
          <w:color w:val="000000"/>
        </w:rPr>
        <w:t xml:space="preserve"> </w:t>
      </w:r>
      <w:r>
        <w:rPr>
          <w:rFonts w:ascii="Times New Roman;serif" w:hAnsi="Times New Roman;serif"/>
          <w:b w:val="false"/>
          <w:color w:val="000000"/>
          <w:sz w:val="22"/>
        </w:rPr>
        <w:t xml:space="preserve">Consolidated Statement of Financial Condition as Fees Receivable, net. As of September 30, 2025 and December 31, 2024, fees due from Alvarium related fee arrangements were $0.0 thousand and $84.0 thousand, respectively. Additionally, as of September 30, 2025 and December 31, 2024, management and incentive fees receivable due from TIG related fee agreements were $1.8 million and $0.8 million, respectively.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2"/>
        </w:rPr>
      </w:pPr>
      <w:r>
        <w:rPr>
          <w:rFonts w:ascii="Times New Roman;serif" w:hAnsi="Times New Roman;serif"/>
          <w:b/>
          <w:i/>
          <w:color w:val="000000"/>
          <w:sz w:val="22"/>
        </w:rPr>
        <w:t>Allianz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31, 2024, the Company closed on the Allianz Transaction which resulted in the issuance of 140,000 shares of Series A Preferred Stock, 19,318,580.96 shares of Class A Common Stock, the Allianz Warrants to purchase 5,000,000 shares of Class A Common Stock, and the Allianz Tranche Right which permits Allianz, at its option, to purchase up to 50,000 additional shares of Series A Preferred Stock up to an aggregate amount equal to $50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Additionally, the Company’s board of directors established a Transaction Committee for purposes of reviewing and assessing all proposals, plans, or recommendations by the Company’s management with respect to potential or proposed merger, acquisition or investment (including minority investments and investments into any funds); (ii) material asset purchase (including the hiring of groups of key employees of target businesses in lieu of acquiring legal entities or property); (iii) divestiture or disposition of a material asset or a material portion of any business; and (iv) financing of any of the foregoing.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Allianz Investor Rights Agreement, Allianz has the right to nominate two directors (the “Investor Designees”) until such time as Allianz ceases to own at least 50% of the initial shares of Class A Common Stock. For so long as Allianz is permitted to designate the Investor Designees, one Investor Designee will serve as a member of the Transaction Committee and each Investor Designee will serve as a member of at least one other Board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on Allianz’s rights under the Investor Rights Agreement, including to hold Board seats, the Company has concluded that Allianz represents a related party. As of both September 30, 2025 and December 31,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Allianz Warrants of $6.6 million are recorded as a component of equity in the line item Additional paid-in capital on the Company’s Condensed</w:t>
      </w:r>
      <w:r>
        <w:rPr>
          <w:color w:val="000000"/>
        </w:rPr>
        <w:t xml:space="preserve"> </w:t>
      </w:r>
      <w:r>
        <w:rPr>
          <w:rFonts w:ascii="Times New Roman;serif" w:hAnsi="Times New Roman;serif"/>
          <w:b w:val="false"/>
          <w:color w:val="000000"/>
          <w:sz w:val="22"/>
        </w:rPr>
        <w:t xml:space="preserve">Consolidated Statement of Financial Position.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May 13, 2025, Allianz exercised the Allianz Tranche Right to purchase an additional 18,471 shares of Series A Preferred Stock at $1,000 per share. As of September 30, 2025 and December 31, 2024, the Allianz Tranche Right of $1.7 million and $3.9 million, respectively, is recorded in the line item Preferred stock tranche liability on the Company’s Condensed</w:t>
      </w:r>
      <w:r>
        <w:rPr>
          <w:color w:val="000000"/>
        </w:rPr>
        <w:t xml:space="preserve"> </w:t>
      </w:r>
      <w:r>
        <w:rPr>
          <w:rFonts w:ascii="Times New Roman;serif" w:hAnsi="Times New Roman;serif"/>
          <w:b w:val="false"/>
          <w:color w:val="000000"/>
          <w:sz w:val="22"/>
        </w:rPr>
        <w:t>Consolidated Statement of Financial Position. For the three and nine months ended September 30, 2025, the change in fair value of the Allianz Tranche Right is $0.5 million and $2.3 million, respectively, and is recorded in the line item Gain (loss) on preferred stock tranche liability in the Condensed</w:t>
      </w:r>
      <w:r>
        <w:rPr>
          <w:color w:val="000000"/>
        </w:rPr>
        <w:t xml:space="preserve"> </w:t>
      </w:r>
      <w:r>
        <w:rPr>
          <w:rFonts w:ascii="Times New Roman;serif" w:hAnsi="Times New Roman;serif"/>
          <w:b w:val="false"/>
          <w:color w:val="000000"/>
          <w:sz w:val="22"/>
        </w:rPr>
        <w:t xml:space="preserve">Consolidated Statement of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June 30, 2025, the Company’s board of directors declared dividends payable in kind to Allianz that were comprised of 50% shares of Series A Preferred Stock and 50% in shares of Class A Common Stock. The Series A Preferred Stock of 166,924, inclusive of dividends paid in kind, is classified outside of permanent equity as mezzanine equity in the accompanying Condensed</w:t>
      </w:r>
      <w:r>
        <w:rPr>
          <w:color w:val="000000"/>
        </w:rPr>
        <w:t xml:space="preserve"> </w:t>
      </w:r>
      <w:r>
        <w:rPr>
          <w:rFonts w:ascii="Times New Roman;serif" w:hAnsi="Times New Roman;serif"/>
          <w:b w:val="false"/>
          <w:color w:val="000000"/>
          <w:sz w:val="22"/>
        </w:rPr>
        <w:t xml:space="preserve">Consolidated Statement of Financial Position and is presented net of issuance costs and inclusive of accrued dividends. An additional 1,523,289 shares of Class A Common Stock were issued to Allianz as part of the 50% dividends paid in kind. Refer to Note 1 (Description of the Business), Note 8 (Fair Value Disclosures), and Note 15 (Debt, net of unamortized deferred financing cost) for additional details around instruments related to the Allianz Transaction.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As of December 31, 2024, the Company entered into an equity method investment of $20.3 million with Allianz, which was recorded in the line item Equity method investments on the Company’s Condensed</w:t>
      </w:r>
      <w:r>
        <w:rPr>
          <w:color w:val="000000"/>
        </w:rPr>
        <w:t xml:space="preserve"> </w:t>
      </w:r>
      <w:r>
        <w:rPr>
          <w:rFonts w:ascii="Times New Roman;serif" w:hAnsi="Times New Roman;serif"/>
          <w:b w:val="false"/>
          <w:color w:val="000000"/>
          <w:sz w:val="22"/>
        </w:rPr>
        <w:t>Consolidated Statement of Financial Position. The equity method investment was sold at cost along with an immaterial gain as of the first quarter ended March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2"/>
        </w:rPr>
      </w:pPr>
      <w:r>
        <w:rPr>
          <w:rFonts w:ascii="Times New Roman;serif" w:hAnsi="Times New Roman;serif"/>
          <w:b/>
          <w:i/>
          <w:color w:val="000000"/>
          <w:sz w:val="22"/>
        </w:rPr>
        <w:t>Constellation Transaction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ended March 31, 2024, the Company entered into an agreement with Constellation for the sale and issuance of 150,000 shares of Series C Preferred Stock that occurred in two transactions,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September 30, 2025, the 150,000 outstanding shares of Series C Preferred Stock represent 7.5% of the total voting power of all shares.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2"/>
        </w:rPr>
        <w:t>Additionally, the Company issued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No Constellation Warrants were exercised during the nine months ended September 30, 2025. As of both September 30, 2025 and December 31, 2024, the Constellation Warrants of $3.0 million, are recorded as a component of equity in the line item Additional paid-in capital on the Company’s Condensed</w:t>
      </w:r>
      <w:r>
        <w:rPr>
          <w:color w:val="000000"/>
        </w:rPr>
        <w:t xml:space="preserve"> </w:t>
      </w:r>
      <w:r>
        <w:rPr>
          <w:rFonts w:ascii="Times New Roman;serif" w:hAnsi="Times New Roman;serif"/>
          <w:b w:val="false"/>
          <w:color w:val="000000"/>
          <w:sz w:val="22"/>
        </w:rPr>
        <w:t xml:space="preserve">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(18) Segment Reporting</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Prior to the third quarter ended September 30, 2025, the Company was organized into two reportable segments: Wealth &amp; Capital Solutions and International Real Estate. On July 11, 2025, the Company’s board of directors approved a plan to conduct an orderly wind</w:t>
        <w:noBreakHyphen/>
        <w:t>down of the International Real Estate Businesses. See Note 3 (Discontinued Operations) for further information. As such, during the third quarter ended September 30, 2025, the Company disposed of its International Real Estate segment, and is now organized as one reportable segment as of September 30, 2025.</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Our chief operating decision maker (“CODM”), currently, our Chief Executive Officer, assesses the Company’s performance and allocation of resources based on Net income (loss) from continuing operations, as reported in the Condensed Consolidated Statement of Operations, to assist with the evaluation of strategic business decisions, including potential acquisitions or divestitures and whether to invest in certain products or services, and expense management.</w:t>
      </w:r>
    </w:p>
    <w:p>
      <w:pPr>
        <w:pStyle w:val="TextBody"/>
        <w:bidi w:val="0"/>
        <w:spacing w:lineRule="auto" w:line="268" w:before="200" w:after="283"/>
        <w:jc w:val="both"/>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expense categories that are regularly reviewed by the CODM are presented in the Company's Condensed</w:t>
      </w:r>
      <w:r>
        <w:rPr>
          <w:color w:val="000000"/>
        </w:rPr>
        <w:t xml:space="preserve"> </w:t>
      </w:r>
      <w:r>
        <w:rPr>
          <w:rFonts w:ascii="Times New Roman;serif" w:hAnsi="Times New Roman;serif"/>
          <w:b w:val="false"/>
          <w:color w:val="000000"/>
          <w:sz w:val="22"/>
        </w:rPr>
        <w:t xml:space="preserve">Consolidated Statement of Operations. Items regularly reviewed consist of non-compensation expenses, such as professional fees, sales, distribution and marketing, travel and entertainment, systems, technology and telephone, occupancy costs and general, administrative,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(19) Earnings Per Share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Company’s treatment for basic and diluted earnings (loss) per share for instruments outstanding of the Company. Potentially dilutive instruments are only considered in the calculation to the extent they would be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3"/>
        <w:gridCol w:w="552"/>
        <w:gridCol w:w="482"/>
        <w:gridCol w:w="109"/>
        <w:gridCol w:w="109"/>
        <w:gridCol w:w="109"/>
        <w:gridCol w:w="364"/>
        <w:gridCol w:w="364"/>
        <w:gridCol w:w="376"/>
        <w:gridCol w:w="128"/>
        <w:gridCol w:w="128"/>
        <w:gridCol w:w="128"/>
        <w:gridCol w:w="717"/>
        <w:gridCol w:w="717"/>
        <w:gridCol w:w="731"/>
        <w:gridCol w:w="122"/>
        <w:gridCol w:w="122"/>
        <w:gridCol w:w="122"/>
        <w:gridCol w:w="364"/>
        <w:gridCol w:w="364"/>
        <w:gridCol w:w="376"/>
        <w:gridCol w:w="128"/>
        <w:gridCol w:w="128"/>
        <w:gridCol w:w="128"/>
        <w:gridCol w:w="643"/>
        <w:gridCol w:w="643"/>
        <w:gridCol w:w="938"/>
      </w:tblGrid>
      <w:tr>
        <w:trPr/>
        <w:tc>
          <w:tcPr>
            <w:tcW w:w="111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and Nine Months Ended</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A Preferred Stock</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C Preferred Stock</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Allianz Tranche Right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Warrants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Constellation Warrants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PW Deferred Consideration Shares</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Acquisition-Related Awards</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PRSUs</w:t>
            </w:r>
            <w:r>
              <w:rPr>
                <w:color w:val="000000"/>
              </w:rPr>
              <w:t xml:space="preserve"> </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bl>
    <w:p>
      <w:pPr>
        <w:pStyle w:val="TextBody"/>
        <w:bidi w:val="0"/>
        <w:spacing w:lineRule="auto" w:line="268" w:before="24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For the nine months ended September 30, 2025 and September 30, 2024, 1,950,315 and 7,080,837, respectively,</w:t>
      </w:r>
      <w:r>
        <w:rPr>
          <w:color w:val="000000"/>
        </w:rPr>
        <w:t xml:space="preserve"> </w:t>
      </w:r>
      <w:r>
        <w:rPr>
          <w:rFonts w:ascii="Times New Roman;serif" w:hAnsi="Times New Roman;serif"/>
          <w:b w:val="false"/>
          <w:color w:val="000000"/>
          <w:sz w:val="18"/>
        </w:rPr>
        <w:t xml:space="preserve">of Class B shares were converted into Class A Common Stock. </w:t>
      </w:r>
    </w:p>
    <w:p>
      <w:pPr>
        <w:pStyle w:val="TextBody"/>
        <w:bidi w:val="0"/>
        <w:spacing w:lineRule="auto" w:line="268" w:before="120" w:after="283"/>
        <w:jc w:val="both"/>
        <w:rPr/>
      </w:pPr>
      <w:r>
        <w:rPr>
          <w:rFonts w:ascii="Times New Roman;serif" w:hAnsi="Times New Roman;serif"/>
          <w:b/>
          <w:color w:val="000000"/>
          <w:sz w:val="12"/>
        </w:rPr>
        <w:t>(2)</w:t>
      </w:r>
      <w:r>
        <w:rPr>
          <w:color w:val="000000"/>
        </w:rPr>
        <w:t xml:space="preserve"> </w:t>
      </w:r>
      <w:r>
        <w:rPr>
          <w:rFonts w:ascii="Times New Roman;serif" w:hAnsi="Times New Roman;serif"/>
          <w:b w:val="false"/>
          <w:color w:val="000000"/>
          <w:sz w:val="18"/>
        </w:rPr>
        <w:t xml:space="preserve">On July 31, 2024, the Company issued shares of Series A Preferred Stock and warrants for shares of Class A Common Stock. The Series A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and nine months ended September 30, 2025, the shares of Series A Preferred Stock were excluded from the Company’s diluted earnings per share calculation as the effects were determined to be anti-dilutive due to the Company’s net loss from continuing operations. </w:t>
      </w:r>
    </w:p>
    <w:p>
      <w:pPr>
        <w:pStyle w:val="TextBody"/>
        <w:bidi w:val="0"/>
        <w:spacing w:lineRule="auto" w:line="268" w:before="120" w:after="283"/>
        <w:jc w:val="both"/>
        <w:rPr/>
      </w:pPr>
      <w:r>
        <w:rPr>
          <w:rFonts w:ascii="Times New Roman;serif" w:hAnsi="Times New Roman;serif"/>
          <w:b/>
          <w:color w:val="000000"/>
          <w:sz w:val="12"/>
        </w:rPr>
        <w:t>(3)</w:t>
      </w:r>
      <w:r>
        <w:rPr>
          <w:color w:val="000000"/>
        </w:rPr>
        <w:t xml:space="preserve"> </w:t>
      </w:r>
      <w:r>
        <w:rPr>
          <w:rFonts w:ascii="Times New Roman;serif" w:hAnsi="Times New Roman;serif"/>
          <w:b w:val="false"/>
          <w:color w:val="000000"/>
          <w:sz w:val="18"/>
        </w:rPr>
        <w:t xml:space="preserve">During the first quarter ended March 31, 2024, the Company issued shares of Series C Preferred Stock and warrants for shares of Class A Common Stock. The Series C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and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September 30, 2025 and September 30, 2024, the shares of Series C Preferred Stock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 xml:space="preserve">The Allianz Tranche Right was issued as part of the Allianz Transaction, which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as described in Note 1 (Description of the Business). The Allianz Tranche Right is classified as a contingently convertible instrument and will be included in our diluted earnings per share if the right has been exercised within the reporting period. For the three and nine months ended September 30, 2025, an additional 18,471 shares under the Allianz Tranche Right had been issued; however, these shares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 xml:space="preserve">As mentioned in footnotes 2 and 3 above, the Company issued shares of Series A and C Preferred Stock in addition to warrants for Class A Shares to Allianz and Constellation. The warrants do not participate in dividends declared on common stock and are excluded from the calculation of basic earnings per share. Since the warrants are classified as a component of equity and can be exercised in exchange for Class A Shares, application of the treasury stock method for calculation of diluted earnings per share is applied. For the three and nine months ended September 30, 2025, the warrants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 xml:space="preserve">Earn-Out Shares are the portion of estimated contingent consideration related to our Business Combination, EEA earn-out liability, and Envoi growth-consideration liability that could be paid out in Class A Common Stock. Earn-Out Shares are excluded from the calculation of basic earnings per share if it’s determined that the contingency period has not been completed as of the current reporting period. As of September 30, 2025, 618,453 shares of Class A Common Stock were issued as part of the EEA earn-out liability and included in the Company’s basic earnings per share calculation.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treasury stock method is applied for calculating diluted earnings per share since our Earn-Outs are classified as liabilities and remeasured at fair value each period and includes reversing the income statement effect of the fair value remeasurement for the period. See Note 4 (Business Combinations and Divestitures) for additional information related to our Earn-Outs. For the three and nine months ended September 30, 2025 and September 30, 2024, the Earn-Out Shares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(7) </w:t>
      </w:r>
      <w:r>
        <w:rPr>
          <w:rFonts w:ascii="Times New Roman;serif" w:hAnsi="Times New Roman;serif"/>
          <w:b w:val="false"/>
          <w:color w:val="000000"/>
          <w:sz w:val="18"/>
        </w:rPr>
        <w:t xml:space="preserve">PW Deferred Consideration Shares relate to the portion of deferred consideration payable in Class A Common Stock upon meeting certain revenue thresholds related to our PW acquisition. During the first quarter ended March 31, 2025, the PW Deferred Consideration Shares were issued to the sellers and are included in the Company’s basic earnings per share. There are no further contingent shares outstanding related to the PW Deferred Consideration Shares. Refer to Note 4 (Business Combinations and Divestitures) for further details. </w:t>
      </w:r>
    </w:p>
    <w:p>
      <w:pPr>
        <w:pStyle w:val="TextBody"/>
        <w:bidi w:val="0"/>
        <w:spacing w:lineRule="auto" w:line="268" w:before="120" w:after="283"/>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 xml:space="preserve">Acquisition-Related Awards include the Holbein Earn-Ins, EEA Equity Awards, Envoi Equity Awards, and Kontora Earn-Ins. Certain compensatory awards related to the PW acquisition (the “PW Equity Awards”) were reclassified to be paid out fully in cash rather than equity as of September 30, 2025. As such, the PW Equity Awards are excluded from the Company’s earnings (loss) per share calculations.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the nine months ended September 30, 2025, 1,686,763 and 436,816 shares of Class A Common Stock were issued as part of the Holbein and EEA Earn-Ins, respectively, and included in the Company’s basic earnings per share for the reporting period. Service periods related to the Holbein Earn-Ins and EEA Equity Awards had not been completed as of the three and nine months ended September 30, 2024 and therefore such shares were excluded from the calculation of basic earnings (loss) per share.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In calculating the Company’s diluted earnings (loss) per share, the Company utilized the treasury stock method to determine the potential number of dilutive shares for the three and nine months ended September 30, 2025 and September 30, 2024 for the Acquisition-Related Awards. For the three and nine months ended September 30, 2025, the EEA Equity Awards and Envoi Equity Awards were excluded from the Company’s diluted earnings per share calculation as the effects were determined to be anti-dilutive. Refer to Note 6 (Equity-Based Compensation) for additional details for the Acquisition-Related Awards.</w:t>
      </w:r>
    </w:p>
    <w:p>
      <w:pPr>
        <w:pStyle w:val="TextBody"/>
        <w:bidi w:val="0"/>
        <w:spacing w:lineRule="auto" w:line="268" w:before="120" w:after="283"/>
        <w:jc w:val="both"/>
        <w:rPr/>
      </w:pPr>
      <w:r>
        <w:rPr>
          <w:rFonts w:ascii="Times New Roman;serif" w:hAnsi="Times New Roman;serif"/>
          <w:b w:val="false"/>
          <w:color w:val="000000"/>
          <w:sz w:val="12"/>
        </w:rPr>
        <w:t>(9)</w:t>
      </w:r>
      <w:r>
        <w:rPr>
          <w:color w:val="000000"/>
        </w:rPr>
        <w:t xml:space="preserve"> </w:t>
      </w:r>
      <w:r>
        <w:rPr>
          <w:rFonts w:ascii="Times New Roman;serif" w:hAnsi="Times New Roman;serif"/>
          <w:b w:val="false"/>
          <w:color w:val="000000"/>
          <w:sz w:val="18"/>
        </w:rPr>
        <w:t>During the second quarters ended June 30, 2024 and June 30, 2025, the Company granted PRSUs to selected members of AlTi’s executive team. Vesting of the PRSUs is based on meeting certain market conditions and the requisite service period. Unvested PRSUs would be excluded from Basic EPS calculation, but once vested, they would be included in the Basic EPS calculation. The PRSUs would be included in the computation of diluted EPS using the treasury stock method. Assumed proceeds under the treasury stock method consist of unamortized compensation cost. If dilutive, the unvested restricted stock would be considered outstanding as of the later of the beginning of the period or the grant date for diluted EPS computation purposes. If anti-dilutive, it should be excluded from the diluted EPS computation. For the three and nine months ended September 30, 2025, the PRSUs were excluded from the Company’s diluted earnings per share calculation as the effects were determined to be anti-dilutive. See discussion of PRSUs in Note 6 (Equity-Based Compensation).</w:t>
      </w:r>
    </w:p>
    <w:p>
      <w:pPr>
        <w:pStyle w:val="TextBody"/>
        <w:bidi w:val="0"/>
        <w:spacing w:before="200" w:after="283"/>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 based on income attributable to common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98"/>
        <w:gridCol w:w="1013"/>
        <w:gridCol w:w="1017"/>
        <w:gridCol w:w="334"/>
        <w:gridCol w:w="979"/>
        <w:gridCol w:w="128"/>
        <w:gridCol w:w="109"/>
        <w:gridCol w:w="109"/>
        <w:gridCol w:w="109"/>
        <w:gridCol w:w="334"/>
        <w:gridCol w:w="906"/>
        <w:gridCol w:w="128"/>
        <w:gridCol w:w="109"/>
        <w:gridCol w:w="109"/>
        <w:gridCol w:w="109"/>
        <w:gridCol w:w="334"/>
        <w:gridCol w:w="906"/>
        <w:gridCol w:w="128"/>
        <w:gridCol w:w="109"/>
        <w:gridCol w:w="109"/>
        <w:gridCol w:w="109"/>
        <w:gridCol w:w="362"/>
        <w:gridCol w:w="864"/>
        <w:gridCol w:w="193"/>
      </w:tblGrid>
      <w:tr>
        <w:trPr/>
        <w:tc>
          <w:tcPr>
            <w:tcW w:w="159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r>
      <w:tr>
        <w:trPr/>
        <w:tc>
          <w:tcPr>
            <w:tcW w:w="36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except share data)</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attributable to controlling interest - basic and diluted</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(70,541)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(96,401)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available to the Company - diluted</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102,091,550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86,399,551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98,990,021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74,993,835 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102,091,550 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86,399,551 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98,990,021 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74,993,835 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per Class A Common Stock - basic:</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per Class A Common Stock - diluted</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securities that would have been considered in the calculation of diluted earnings per share if the company had reported net income attributable to common shareholders. As income attributable to common shareholders is in a net loss position, these securities were not evaluated for potential dilution:</w:t>
      </w:r>
    </w:p>
    <w:tbl>
      <w:tblPr>
        <w:tblW w:w="10205" w:type="dxa"/>
        <w:jc w:val="left"/>
        <w:tblInd w:w="0" w:type="dxa"/>
        <w:tblLayout w:type="fixed"/>
        <w:tblCellMar>
          <w:top w:w="28" w:type="dxa"/>
          <w:left w:w="28" w:type="dxa"/>
          <w:bottom w:w="28" w:type="dxa"/>
          <w:right w:w="28" w:type="dxa"/>
        </w:tblCellMar>
      </w:tblPr>
      <w:tblGrid>
        <w:gridCol w:w="1248"/>
        <w:gridCol w:w="745"/>
        <w:gridCol w:w="751"/>
        <w:gridCol w:w="489"/>
        <w:gridCol w:w="476"/>
        <w:gridCol w:w="477"/>
        <w:gridCol w:w="204"/>
        <w:gridCol w:w="204"/>
        <w:gridCol w:w="204"/>
        <w:gridCol w:w="489"/>
        <w:gridCol w:w="476"/>
        <w:gridCol w:w="477"/>
        <w:gridCol w:w="109"/>
        <w:gridCol w:w="109"/>
        <w:gridCol w:w="109"/>
        <w:gridCol w:w="489"/>
        <w:gridCol w:w="476"/>
        <w:gridCol w:w="477"/>
        <w:gridCol w:w="197"/>
        <w:gridCol w:w="197"/>
        <w:gridCol w:w="197"/>
        <w:gridCol w:w="489"/>
        <w:gridCol w:w="476"/>
        <w:gridCol w:w="477"/>
        <w:gridCol w:w="163"/>
      </w:tblGrid>
      <w:tr>
        <w:trPr/>
        <w:tc>
          <w:tcPr>
            <w:tcW w:w="12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and Class B Units</w:t>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46,562,658</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47,697,612</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Allianz and Constellation Warrants</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34,280,400</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36,060,543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Earn-Outs</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14,740,497</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12,847,052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13,827,276</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12,909,938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Awards</w:t>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931,920</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1,553,849</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2,848,400</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2,014,136</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2,887,249</w:t>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`(20) Commitments and Contingencies</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September 30, 2025 and December 31, 2024, the liability associated with the TRA was approximately $32.5 million and $28.8 million, respectively. Payments under the TRA that are on account of liabilities arising in connection with the Business Combination will be revalued at the end of each reporting period with the gain or loss recognized in earnings. As of September 30, 2025 and December 31, 2024, the Company carried $10.8 million and $9.4 million, respectively, of its TRA liability at fair value, as it is contingent consideration from the Business Combination. The remaining portion of the TRA liability is carried at a value equal to the expected future payments under the TRA.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pPr>
      <w:r>
        <w:rPr>
          <w:rFonts w:ascii="Times New Roman;serif" w:hAnsi="Times New Roman;serif"/>
          <w:b w:val="false"/>
          <w:color w:val="000000"/>
          <w:sz w:val="22"/>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erif" w:hAnsi="Times New Roman;serif"/>
          <w:b w:val="false"/>
          <w:i/>
          <w:color w:val="000000"/>
          <w:sz w:val="22"/>
        </w:rPr>
        <w:t>Contingencies</w:t>
      </w:r>
      <w:r>
        <w:rPr>
          <w:rFonts w:ascii="Times New Roman;serif" w:hAnsi="Times New Roman;serif"/>
          <w:b w:val="false"/>
          <w:color w:val="000000"/>
          <w:sz w:val="22"/>
        </w:rPr>
        <w:t xml:space="preserve">. </w:t>
      </w:r>
    </w:p>
    <w:p>
      <w:pPr>
        <w:pStyle w:val="TextBody"/>
        <w:bidi w:val="0"/>
        <w:spacing w:lineRule="auto" w:line="268" w:before="200" w:after="283"/>
        <w:jc w:val="both"/>
        <w:rPr/>
      </w:pPr>
      <w:r>
        <w:rPr>
          <w:rFonts w:ascii="Times New Roman;serif" w:hAnsi="Times New Roman;serif"/>
          <w:b w:val="false"/>
          <w:color w:val="000000"/>
          <w:sz w:val="22"/>
        </w:rPr>
        <w:t xml:space="preserve">As of September 30, 2025, </w:t>
      </w:r>
      <w:r>
        <w:rPr>
          <w:rFonts w:ascii="Times New Roman;serif" w:hAnsi="Times New Roman;serif"/>
          <w:b w:val="false"/>
          <w:color w:val="000000"/>
          <w:sz w:val="22"/>
          <w:shd w:fill="FFFFFF" w:val="clear"/>
        </w:rPr>
        <w:t>holders of Class B Units have exchanged a total o</w:t>
      </w:r>
      <w:r>
        <w:rPr>
          <w:rFonts w:ascii="Times New Roman;serif" w:hAnsi="Times New Roman;serif"/>
          <w:b w:val="false"/>
          <w:color w:val="000000"/>
          <w:sz w:val="22"/>
        </w:rPr>
        <w:t xml:space="preserve">f 10,844,400 Class B Paired Interests with the Company, for shares of Class A Common Stock on a 1:1 basis totaling an amount equal to the weighted average price of $5.68 multiplied by the total number of shares of Class A </w:t>
      </w:r>
      <w:r>
        <w:rPr>
          <w:rFonts w:ascii="Times New Roman;serif" w:hAnsi="Times New Roman;serif"/>
          <w:b w:val="false"/>
          <w:color w:val="000000"/>
          <w:sz w:val="22"/>
          <w:shd w:fill="FFFFFF" w:val="clear"/>
        </w:rPr>
        <w:t>Common Stock received at the time of the transactions.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September 30, 2025, assuming no material changes in the relevant tax laws and that the Company generates sufficient taxable income to realize the full tax benefit of the increased amortization resulting from the increase in tax basis of certain of AlTi’s assets, we expect to pay approximately $32.5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Liability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Business Combination Earn-out Securities, comprised of 3.3 million Class A Shares, 7.1 million shares of Class B Common Stock, and 7.1 million Class B Units (one Class B share and one Class B Unit comprising a Paired Interest, as described in Note 4 (Business Combinations and Divestitures)),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September 30, 2025 and December 31, 2024, the fair value of the earn-out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was $11.4 million and $23.8 million, respectively.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EEA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September 30, 2025 and December 31, 2024, the EEA earn-out liability of $24.2 million and $29.9 million, respectively, is reported in Earn-out liabilities, at fair value, in the Condensed</w:t>
      </w:r>
      <w:r>
        <w:rPr>
          <w:color w:val="000000"/>
        </w:rPr>
        <w:t xml:space="preserve"> </w:t>
      </w:r>
      <w:r>
        <w:rPr>
          <w:rFonts w:ascii="Times New Roman;serif" w:hAnsi="Times New Roman;serif"/>
          <w:b w:val="false"/>
          <w:color w:val="000000"/>
          <w:sz w:val="22"/>
        </w:rPr>
        <w:t>Consolidated Statement of Financial Position. Since the EEA earn-out liability meets the definition of a derivative, it is recorded at fair value as a derivative liability on the Condensed</w:t>
      </w:r>
      <w:r>
        <w:rPr>
          <w:color w:val="000000"/>
        </w:rPr>
        <w:t xml:space="preserve"> </w:t>
      </w:r>
      <w:r>
        <w:rPr>
          <w:rFonts w:ascii="Times New Roman;serif" w:hAnsi="Times New Roman;serif"/>
          <w:b w:val="false"/>
          <w:color w:val="000000"/>
          <w:sz w:val="22"/>
        </w:rPr>
        <w:t xml:space="preserve">Consolidated Statement of Financial Position and measured at fair value at each reporting date in accordance with ASC 820, </w:t>
      </w:r>
      <w:r>
        <w:rPr>
          <w:rFonts w:ascii="Times New Roman;serif" w:hAnsi="Times New Roman;serif"/>
          <w:b w:val="false"/>
          <w:i/>
          <w:color w:val="000000"/>
          <w:sz w:val="22"/>
        </w:rPr>
        <w:t>Fair Value Measurement</w:t>
      </w:r>
      <w:r>
        <w:rPr>
          <w:rFonts w:ascii="Times New Roman;serif" w:hAnsi="Times New Roman;serif"/>
          <w:b w:val="false"/>
          <w:color w:val="000000"/>
          <w:sz w:val="22"/>
        </w:rPr>
        <w:t>. Changes in fair value will be recognized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Consolidated Statement of Cash Flows in the period of change.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w:t>
      </w:r>
      <w:r>
        <w:rPr>
          <w:color w:val="000000"/>
        </w:rPr>
        <w:t xml:space="preserve"> </w:t>
      </w:r>
      <w:r>
        <w:rPr>
          <w:rFonts w:ascii="Times New Roman;serif" w:hAnsi="Times New Roman;serif"/>
          <w:b w:val="false"/>
          <w:color w:val="000000"/>
          <w:sz w:val="22"/>
        </w:rPr>
        <w:t xml:space="preserve">Consolidated Statement of Financial Position. The deferred consideration was paid during the first quarter ended March 31, 2025, in cash and equity totaling $3.0 million.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September 30, 2025 and December 31, 2024, the Envoi earn-out consideration liability of $7.3 million and $9.6 million, respectively, and the Envoi earn-out growth consideration liability of $1.1 million and $1.3 million, respectively, are reported in the Earn-out liabilities, at fair value, in the Condensed</w:t>
      </w:r>
      <w:r>
        <w:rPr>
          <w:color w:val="000000"/>
        </w:rPr>
        <w:t xml:space="preserve"> </w:t>
      </w:r>
      <w:r>
        <w:rPr>
          <w:rFonts w:ascii="Times New Roman;serif" w:hAnsi="Times New Roman;serif"/>
          <w:b w:val="false"/>
          <w:color w:val="000000"/>
          <w:sz w:val="22"/>
        </w:rPr>
        <w:t xml:space="preserve">Consolidated Statement of Financial Position. The fair values will be remeasured at each reporting date in accordance with ASC 820, </w:t>
      </w:r>
      <w:r>
        <w:rPr>
          <w:rFonts w:ascii="Times New Roman;serif" w:hAnsi="Times New Roman;serif"/>
          <w:b w:val="false"/>
          <w:i/>
          <w:color w:val="000000"/>
          <w:sz w:val="22"/>
        </w:rPr>
        <w:t xml:space="preserve">Fair Value Measurement. </w:t>
      </w:r>
      <w:r>
        <w:rPr>
          <w:rFonts w:ascii="Times New Roman;serif" w:hAnsi="Times New Roman;serif"/>
          <w:b w:val="false"/>
          <w:color w:val="000000"/>
          <w:sz w:val="22"/>
        </w:rPr>
        <w:t>Changes in the fair value of the Envoi earn-out liability will be recognized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Consolidated Statement of Cash Flows in the period of change. See Note 2 (Summary of Significant Accounting Policies) for additional detail.</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contingent upon Kontora meeting certain revenue requirements between the closing date and December 31, 2035. As of September 30, 2025, the Kontora earn-out liability of $6.8 million is reported in the Earn-out liabilities, at fair value, in the Condensed</w:t>
      </w:r>
      <w:r>
        <w:rPr>
          <w:color w:val="000000"/>
        </w:rPr>
        <w:t xml:space="preserve"> </w:t>
      </w:r>
      <w:r>
        <w:rPr>
          <w:rFonts w:ascii="Times New Roman;serif" w:hAnsi="Times New Roman;serif"/>
          <w:b w:val="false"/>
          <w:color w:val="000000"/>
          <w:sz w:val="22"/>
        </w:rPr>
        <w:t xml:space="preserve">Consolidated Statement of Financial Position. The fair values will be remeasured at each reporting date in accordance with ASC 820, </w:t>
      </w:r>
      <w:r>
        <w:rPr>
          <w:rFonts w:ascii="Times New Roman;serif" w:hAnsi="Times New Roman;serif"/>
          <w:b w:val="false"/>
          <w:i/>
          <w:color w:val="000000"/>
          <w:sz w:val="22"/>
        </w:rPr>
        <w:t>Fair Value Measurement.</w:t>
      </w:r>
      <w:r>
        <w:rPr>
          <w:color w:val="000000"/>
        </w:rPr>
        <w:t xml:space="preserve"> </w:t>
      </w:r>
      <w:r>
        <w:rPr>
          <w:rFonts w:ascii="Times New Roman;serif" w:hAnsi="Times New Roman;serif"/>
          <w:b w:val="false"/>
          <w:color w:val="000000"/>
          <w:sz w:val="22"/>
        </w:rPr>
        <w:t>Changes in the fair value of the Kontora earn-out liability will be recognized in Gain (loss) on earnout liabilities in the Condensed</w:t>
      </w:r>
      <w:r>
        <w:rPr>
          <w:color w:val="000000"/>
        </w:rPr>
        <w:t xml:space="preserve"> </w:t>
      </w:r>
      <w:r>
        <w:rPr>
          <w:rFonts w:ascii="Times New Roman;serif" w:hAnsi="Times New Roman;serif"/>
          <w:b w:val="false"/>
          <w:color w:val="000000"/>
          <w:sz w:val="22"/>
        </w:rPr>
        <w:t>Consolidated Statement of Operations and in Fair value (gain) loss on earnout liability in the Condensed</w:t>
      </w:r>
      <w:r>
        <w:rPr>
          <w:color w:val="000000"/>
        </w:rPr>
        <w:t xml:space="preserve"> </w:t>
      </w:r>
      <w:r>
        <w:rPr>
          <w:rFonts w:ascii="Times New Roman;serif" w:hAnsi="Times New Roman;serif"/>
          <w:b w:val="false"/>
          <w:color w:val="000000"/>
          <w:sz w:val="22"/>
        </w:rPr>
        <w:t>Consolidated Statement of Cash Flows in the period of change. See Note 2 (Summary of Significant Accounting Policies) for additional detail.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Letter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both September 30, 2025 and December 31, 2024, the Company has existing letters of credit in the amount of $3.4 million under the Facility Agreement.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September 30, 2025 for any potential liability related to any current legal or regulatory proceeding or claim that would individually or in the aggregate materially affect our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announced the appointment of Teneo to conduct an orderly wind-down of International Real Estate. Potential litigation related to that business, including Home REIT and HLIF below, will be dealt with by the administrators.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was its alternative investment fund manager (“AIFM”) until August 21, 2023 and AHRA was its investment adviser until June 30, 2023. Services are no longer provided by any AlTi companies or any legacy Alvarium companies to Home REIT. AFM UK is a wholly owned subsidiary of the Company. AHRA was owned by ARE (another wholly owned subsidiary of the Company)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11 July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February 2024, the UK FCA commenced investigations into the historic performance of certain group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intend to cooperate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with the UK FCA as it conducts the investigations. We are not able to estimate how long it might take for the UK FCA to complete such investigations, but it is possible that the investigations may continue for a prolonged period, potentially over several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third quarter ended September 30, 2025, a provision of $3.6 million has been recognized in relation to this potential future liability. The ultimate loss could differ from the accrued amount.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(21) Equity</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30, 2025 and December 31, 2024, there were 102,464,812 and 93,686,980, respectively, shares of Class A Common Stock outstanding. Of those shares, 754,968 are subject to performance targets under the terms of the Business Combination Earn-out as of both September 30, 2025 and December 31, 2024. The holders of the Class A Common Stock represent the controlling interest of the Company. </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Class B Common Stock</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September 30, 2025 and December 31, 2024, there were 44,188,561 and 46,138,876, respectively, shares of Class B Common Stock outstanding.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Treasury Stock</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the Company may repurchase common shares related to its equity-based compensation award programs. During the second quarter ended June 30, 2025 the Company reissued, from Treasury Stock, 817,730 shares of Class A Common Stock which were repurchased and classified as Treasury Stock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Condensed Consolidated Statement of Financial Position during the first quarter ended March 31, 2025. Treasury Stock was recorded at cost, representing the market price on the repurchase date, and was accounted for as a reduction of shareholders’ equity. As of September 30, 2025, there was no Treasury Stock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Series A Preferred Stock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As part of the Allianz Transaction, the Company issued 140,000 shares of Series A Preferred Stock to Allianz, which is classified outside of permanent equity as mezzanine equity in the accompanying Condensed</w:t>
      </w:r>
      <w:r>
        <w:rPr>
          <w:color w:val="000000"/>
        </w:rPr>
        <w:t xml:space="preserve"> </w:t>
      </w:r>
      <w:r>
        <w:rPr>
          <w:rFonts w:ascii="Times New Roman;serif" w:hAnsi="Times New Roman;serif"/>
          <w:b w:val="false"/>
          <w:color w:val="000000"/>
          <w:sz w:val="22"/>
        </w:rPr>
        <w:t>Consolidated Statement of Financial Position as they are not mandatorily redeemable as of September 30, 2025. As of September 30, 2025, the Series A Preferred Stock amounts to 166,924, which is inclusive of dividends paid in kind.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Series C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In connection with the Constellation Transaction, the Company issued 150,000 shares of Series C Preferred Stock to Constellation. The Series C Preferred Stock is classified outside of permanent equity as mezzanine equity in the accompanying Condensed</w:t>
      </w:r>
      <w:r>
        <w:rPr>
          <w:color w:val="000000"/>
        </w:rPr>
        <w:t xml:space="preserve"> </w:t>
      </w:r>
      <w:r>
        <w:rPr>
          <w:rFonts w:ascii="Times New Roman;serif" w:hAnsi="Times New Roman;serif"/>
          <w:b w:val="false"/>
          <w:color w:val="000000"/>
          <w:sz w:val="22"/>
        </w:rPr>
        <w:t xml:space="preserve">Consolidated Statement of Financial Position as they are not mandatorily redeemable as of September 30, 2025.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Allianz and Constellation Warrants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In connection with the Constellation and Allianz Transactions, the Company evaluated the Constellation and Allianz Warrants in accordance with ASC 815-40, </w:t>
      </w:r>
      <w:r>
        <w:rPr>
          <w:rFonts w:ascii="Times New Roman;serif" w:hAnsi="Times New Roman;serif"/>
          <w:b w:val="false"/>
          <w:i/>
          <w:color w:val="000000"/>
          <w:sz w:val="22"/>
        </w:rPr>
        <w:t>Contracts in an Entity’s Own Equity,</w:t>
      </w:r>
      <w:r>
        <w:rPr>
          <w:color w:val="000000"/>
        </w:rPr>
        <w:t xml:space="preserve"> </w:t>
      </w:r>
      <w:r>
        <w:rPr>
          <w:rFonts w:ascii="Times New Roman;serif" w:hAnsi="Times New Roman;serif"/>
          <w:b w:val="false"/>
          <w:color w:val="000000"/>
          <w:sz w:val="22"/>
        </w:rPr>
        <w:t>and concluded that the warrants are derivatives that meet the equity classification criteria. As of both September 30, 2025 and December 31, 2024, the Constellation and Allianz Warrants of $9.6 million are recorded as a component of equity net of issuance costs in the line item Additional paid-in capital on the Company’s Condensed</w:t>
      </w:r>
      <w:r>
        <w:rPr>
          <w:color w:val="000000"/>
        </w:rPr>
        <w:t xml:space="preserve"> </w:t>
      </w:r>
      <w:r>
        <w:rPr>
          <w:rFonts w:ascii="Times New Roman;serif" w:hAnsi="Times New Roman;serif"/>
          <w:b w:val="false"/>
          <w:color w:val="000000"/>
          <w:sz w:val="22"/>
        </w:rPr>
        <w:t xml:space="preserve">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(22) Subsequent Events</w:t>
      </w:r>
    </w:p>
    <w:p>
      <w:pPr>
        <w:pStyle w:val="TextBody"/>
        <w:bidi w:val="0"/>
        <w:spacing w:lineRule="auto" w:line="288" w:before="200" w:after="283"/>
        <w:jc w:val="both"/>
        <w:rPr/>
      </w:pPr>
      <w:r>
        <w:rPr>
          <w:rFonts w:ascii="Times New Roman;serif" w:hAnsi="Times New Roman;serif"/>
          <w:b w:val="false"/>
          <w:color w:val="000000"/>
          <w:sz w:val="22"/>
        </w:rPr>
        <w:t>Management evaluated events and transactions through the date of issuance of these financial statements. Based on management’s evaluation there are no events subsequent to September 30, 2025 that require adjustment to or disclosure in the condensed</w:t>
      </w:r>
      <w:r>
        <w:rPr>
          <w:color w:val="000000"/>
        </w:rPr>
        <w:t xml:space="preserve"> </w:t>
      </w:r>
      <w:r>
        <w:rPr>
          <w:rFonts w:ascii="Times New Roman;serif" w:hAnsi="Times New Roman;serif"/>
          <w:b w:val="false"/>
          <w:color w:val="000000"/>
          <w:sz w:val="22"/>
        </w:rPr>
        <w:t>consolidated financial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MANAGEMENT’S DISCUSSION AND ANALYSIS OF FINANCIAL CONDITION AND RESULTS OF OPERATIONS OF ALTI GLOBAL, INC.</w:t>
      </w:r>
    </w:p>
    <w:p>
      <w:pPr>
        <w:pStyle w:val="TextBody"/>
        <w:bidi w:val="0"/>
        <w:spacing w:lineRule="auto" w:line="288" w:before="200" w:after="283"/>
        <w:jc w:val="both"/>
        <w:rPr/>
      </w:pPr>
      <w:r>
        <w:rPr>
          <w:rFonts w:ascii="Times New Roman;serif" w:hAnsi="Times New Roman;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condensed</w:t>
      </w:r>
      <w:r>
        <w:rPr>
          <w:color w:val="000000"/>
        </w:rPr>
        <w:t xml:space="preserve"> </w:t>
      </w:r>
      <w:r>
        <w:rPr>
          <w:rFonts w:ascii="Times New Roman;serif" w:hAnsi="Times New Roman;serif"/>
          <w:b w:val="false"/>
          <w:i/>
          <w:color w:val="000000"/>
          <w:sz w:val="22"/>
        </w:rPr>
        <w:t>consolidated audited financial statements and the related notes included in this Quarterly Report.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Amounts and percentages presented throughout our discussion and analysis of the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AlTi is an independent global wealth manager providing entrepreneurs, multi-generational families, institutions, and emerging next-generation leaders with fiduciary advisory services. We manage or advise approximately $89.2 billion in combined assets as of September 30, 2025. We have approximately 490 professionals operating in 19 cities in 9 countries across three continents as of September 30,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Separately, we have one internally managed fund and stakes in three Externally-Managed Funds in our alternatives platform, with a largely institutional client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Fee Structure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services generate a diverse array of revenue streams that fall broadly into four categories: (i) recurring management, advisory, trustee, or administration fees (“management fees”); (ii) performance or incentive fees; (iii) distributions from investments and (iv) other income or fees: </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2"/>
        </w:rPr>
        <w:t xml:space="preserve">Management / advisory fees are historically more predictable across market conditions than our other revenue sources. These fees are recurring in nature (usually being annual or quarterly fees) and are earned from investment management, investment advisory, trusts, and family office services, as well as from the management of the TIG Arbitrage fund. The recurring nature of these fees is largely underpinned by the client retention rate of wealth management services which means that these fees are also relatively stable.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Incentive or performance fees are comprised primarily of annual performance or incentive fees earned for providing investment management and advisory services within our wealth management business, as well as incentive fees related to the TIG Arbitrage fund.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Distributions from investments are generated from the equity interests we have in three external managers. Distributions from each external manager are recorded upon receipt of the distribution.</w:t>
      </w:r>
      <w:r>
        <w:rPr>
          <w:color w:val="000000"/>
        </w:rPr>
        <w:t xml:space="preserve"> </w:t>
      </w:r>
      <w:r>
        <w:rPr>
          <w:rFonts w:ascii="Times New Roman;serif" w:hAnsi="Times New Roman;serif"/>
          <w:b w:val="false"/>
          <w:color w:val="000000"/>
          <w:sz w:val="22"/>
        </w:rPr>
        <w:t>These distributions are generated through our equity interest in the external manager’s management fees and incentive fees.</w:t>
      </w:r>
      <w:r>
        <w:rPr>
          <w:color w:val="000000"/>
        </w:rPr>
        <w:t xml:space="preserve"> </w:t>
      </w:r>
      <w:r>
        <w:rPr>
          <w:rFonts w:ascii="Times New Roman;serif" w:hAnsi="Times New Roman;serif"/>
          <w:b w:val="false"/>
          <w:color w:val="000000"/>
          <w:sz w:val="22"/>
        </w:rPr>
        <w:t>The management fee component of the distributions is recurring in nature, while the incentive portion, which is performance based, is more susceptible to impact from exogenous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2"/>
        </w:rPr>
        <w:t xml:space="preserve">Other income or fees included primarily transaction fees from businesses we have exited such as brokerage and placement agency services. Transaction fees are generally non-recurring in nature, are typically commission based, and are payable on the successful completion of a transaction. </w:t>
      </w:r>
    </w:p>
    <w:p>
      <w:pPr>
        <w:pStyle w:val="TextBody"/>
        <w:bidi w:val="0"/>
        <w:spacing w:lineRule="auto" w:line="256" w:before="180" w:after="283"/>
        <w:jc w:val="both"/>
        <w:rPr>
          <w:rFonts w:ascii="Times New Roman;serif" w:hAnsi="Times New Roman;serif"/>
          <w:b w:val="false"/>
          <w:i/>
          <w:color w:val="000000"/>
          <w:sz w:val="22"/>
        </w:rPr>
      </w:pPr>
      <w:r>
        <w:rPr>
          <w:rFonts w:ascii="Times New Roman;serif" w:hAnsi="Times New Roman;serif"/>
          <w:b w:val="false"/>
          <w:i/>
          <w:color w:val="000000"/>
          <w:sz w:val="22"/>
        </w:rPr>
        <w:t>Management Fees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Investment management or advisory fees are the primary source of revenue in our operating segment. 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NAV of the underlying investments.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including both billable assets (on which we charge fees) and non-billable assets (exempt from fees, such as cash and cash equivalents in certain client agreements). AUM also includes assets managed or supervised by operating partner subsidiaries, affiliates, and joint ventures in which the Company holds a majority or minority stake. AUA consists of all assets we oversee and report on, regardless of whether fees are charged. While billable assets are those on which we charge fees, non-billable assets—such as cash and cash equivalents in certain agreed-upon situations, personally owned real estate, and other designated assets—are exempt. Our calculations of AUM and AUA may differ from those used by other wealth managers, and as a result, these measures may not be comparable to similar metrics presented by others in the industry.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18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TIG Arbitrage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selected jurisdictions, certain wealth management clients pay performance or incentive fees, in addition to management fees, if their portfolio achieves returns in excess of an agreed benchmark or hurdle rate. Typically, such fees are paid annually upon crystallization and are not accrued prior to being earned.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Distributions from Investments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Distributions from investments are earned through our profit or revenue sharing arrangements with the External Strategic Managers.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Real Estate Bridge Lending Strategy—21% profit share;</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European Equities—25% revenue share; and</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Asian Credit and Special Situations—12% revenue share</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Market Trends and Business Environment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business performance is directly and indirectly influenced by U.S. and to a lesser extent, global financial market and macroeconomic conditions including economic growth, interest rates and inflation. These factors shape market behavior and client decision-making, which in turn impact the demand for our wealth management services and the composition of assets under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third quarter of 2025, equity markets extended their gains and the S&amp;P 500 crossed new record highs, driven by strong performance among large-cap technology and growth names. Meanwhile, small-cap and value segments also posted meaningful outperformance, narrowing valuation dispersion across equity styles. International equities contributed positively. The S&amp;P 500, Nasdaq Composite and MSCI ACWI ex USA index returned 8%, 11%, and 7%, respectively, as of September 30,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Although data for the third quarter of 2025 has not been published, U.S. real gross domestic product increased at an annual rate of 3.8% in the second quarter of 2025, according to the third estimate from the Bureau of Economic Analysis (BEA). This represents an upward revision from previous estimates, largely driven by stronger consumer spending, particularly on services, and a smaller decrease in imports. The revised figure marks a significant rebound from the first quarter’s 0.6% decline. Looking ahead, the Federal Bank of Atlanta’s gross domestic product (GDP) tracker currently estimates third quarter growth of 3.9%, supported by continued strength in consumption and a narrower trade deficit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Inflation also remained elevated in the quarter as tariffs boosted prices for imported goods. According to the U.S. Bureau of Economic Analysis, core Personal Consumption Expenditures (PCE) price index—a key inflation gauge—rose at an annualized rate of 3% in the twelve months through September.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operations are also impacted by interest rates, which cause the value of our clients’ portfolios to fluctuate, and consequently impact our revenue. Changes in interest rates are largely influenced by Federal Reserve policy decisions to address the state of the economy, specifically employment and inflation. In its October meeting, the Federal Reserve enacted its second rate reduction of the year—a 25 basis point cut—bringing the federal funds target range to 3.75% to 4.00% as it seeks to stimulate economic growth and revive the weak labor market, despite concerns over ongoing inflation.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continue to monitor developments related to these macroeconomic factors and assess their potential impact on both financial markets and our business. A slowdown in inflows or sustained market declines could negatively affect our future results, potentially leading to reduced management fees. At this time, the full impact of these events on financial markets, the broader economy, and our financial statements remains uncertain. For more information, please refer to Part I, Item 1A. “Risk Factors” of our Annual Report for previously disclosed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Managing Business Performance and Key Financial Measures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Non-US GAAP Financial Measures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 taxes adjusted for the components outlined in the following table which presents the non-US GAAP financial measures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7"/>
        <w:gridCol w:w="1376"/>
        <w:gridCol w:w="1322"/>
        <w:gridCol w:w="300"/>
        <w:gridCol w:w="1098"/>
        <w:gridCol w:w="144"/>
        <w:gridCol w:w="114"/>
        <w:gridCol w:w="114"/>
        <w:gridCol w:w="114"/>
        <w:gridCol w:w="300"/>
        <w:gridCol w:w="1098"/>
        <w:gridCol w:w="144"/>
        <w:gridCol w:w="109"/>
        <w:gridCol w:w="109"/>
        <w:gridCol w:w="109"/>
        <w:gridCol w:w="399"/>
        <w:gridCol w:w="1277"/>
        <w:gridCol w:w="281"/>
      </w:tblGrid>
      <w:tr>
        <w:trPr/>
        <w:tc>
          <w:tcPr>
            <w:tcW w:w="179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Favorable (Unfavorable)</w:t>
            </w:r>
          </w:p>
        </w:tc>
      </w:tr>
      <w:tr>
        <w:trPr/>
        <w:tc>
          <w:tcPr>
            <w:tcW w:w="4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Change</w:t>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51,680 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48,101 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3,579 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2,347 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income/fees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57,238 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51,809 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5,429 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(87,009)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(19,605)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(9,484)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39,570 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&amp; Amortization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EBITDA Reported</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(52,083)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(67,112)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15,029 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 based compensation (a)</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 expenses (c)</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(1,758)</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on investments and non-recurring realized gain/losses on sales (d)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(4,224)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(6,388)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of earnout liabilities (e)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(4,741)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of TRA liability (f)</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Organization streamlining cost (g)</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19,977 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19,923 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Impairment (non-cash) (h)</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44,920 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(9,920)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goodwill (i)</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Losses on EMI/Carried Interest (non-cash) (j)</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of Preferred stock tranche liability (k)</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6,176 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11,793 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(5,617)</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348"/>
        <w:gridCol w:w="1291"/>
        <w:gridCol w:w="282"/>
        <w:gridCol w:w="1183"/>
        <w:gridCol w:w="136"/>
        <w:gridCol w:w="109"/>
        <w:gridCol w:w="109"/>
        <w:gridCol w:w="109"/>
        <w:gridCol w:w="282"/>
        <w:gridCol w:w="1183"/>
        <w:gridCol w:w="136"/>
        <w:gridCol w:w="109"/>
        <w:gridCol w:w="109"/>
        <w:gridCol w:w="109"/>
        <w:gridCol w:w="396"/>
        <w:gridCol w:w="1268"/>
        <w:gridCol w:w="276"/>
      </w:tblGrid>
      <w:tr>
        <w:trPr/>
        <w:tc>
          <w:tcPr>
            <w:tcW w:w="177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Favorable (Unfavorable)</w:t>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Change</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Management/advisory fees</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145,692 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136,436 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9,256 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fees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Distributions from investments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income/fees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Total Revenues</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166,701 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146,919 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19,782 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from continuing operations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(109,033)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(37,929)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(71,104)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(14,600)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 from continuing operations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23,705 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(9,947)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33,652 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&amp; Amortization</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13,682 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10,877 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EBITDA Reported</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(71,367)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(22,120)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(49,247)</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 based compensation (a)</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17,626 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5,691 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 based compensation - Legacy (b)</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 expenses (c)</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18,236 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on investments and non-recurring realized gain/losses on sales (d)</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(2,893)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10,010 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of earnout liabilities (e)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(41,922)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31,983 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of TRA liability (f)</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Organization streamlining cost (g)</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31,999 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31,456 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Impairment (non-cash) (h)</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47,274 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(12,274)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goodwill (i)</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(29,367)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Losses on EMI/Carried Interest (non-cash) (j)</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(4,483)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4,483 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of Preferred stock tranche liability (k)</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(1,150)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Adjusted EBITDA</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23,452 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27,942 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(4,490)</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(a)Add-back of non-cash expense related to awards of Class A Common stock (approved post-Business Combination).</w:t>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(b)Add-back of non-cash expense related to awards of Class A Common stock (approved pre-Business Combination).</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(c)Add-back of transaction expenses related to the Business Combination, subsequent acquisitions or divestitures, and issuance of preferred and common stock, including compensation arrangements, legal fees, accounting advisory fees, litigation settlements, technology implementations, consultancy fees, and M&amp;A-related audit fees among others.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(d)Add-back of the change in unrealized gains/losses related to Investments held at fair value and non-recurring realized gain/losses on sale.</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(e)</w:t>
      </w:r>
      <w:r>
        <w:rPr>
          <w:rFonts w:ascii="Times New Roman;serif" w:hAnsi="Times New Roman;serif"/>
          <w:b w:val="false"/>
          <w:color w:val="000000"/>
          <w:sz w:val="22"/>
        </w:rPr>
        <w:t>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(f)Add-back of the change in unrealized gains/losses related primarily to the TRA liability.</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(g)</w:t>
      </w:r>
      <w:r>
        <w:rPr>
          <w:rFonts w:ascii="Times New Roman;serif" w:hAnsi="Times New Roman;serif"/>
          <w:b w:val="false"/>
          <w:color w:val="000000"/>
          <w:sz w:val="22"/>
        </w:rPr>
        <w:t>Add-back of cost to implement organization change to derive cost synergy, including consulting fees, severance charges, technology implementation costs, and bad debt expense related to strategic portfolio realignment.</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(h)Add-back of impairment of carried interest/equity method investments and intangible assets.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(i)Add-back of impairment of goodwill.</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(j)Add-back of the amortization of the step-up in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 xml:space="preserve">Add-back of the change in fair value of Preferred stock tranche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Reconciliation of Consolidated US GAAP Financial Measures to Certain Non-US GAAP Measures</w:t>
      </w:r>
    </w:p>
    <w:p>
      <w:pPr>
        <w:pStyle w:val="TextBody"/>
        <w:bidi w:val="0"/>
        <w:spacing w:lineRule="auto" w:line="288" w:before="240" w:after="283"/>
        <w:jc w:val="both"/>
        <w:rPr/>
      </w:pPr>
      <w:r>
        <w:rPr>
          <w:rFonts w:ascii="Times New Roman;serif" w:hAnsi="Times New Roman;serif"/>
          <w:b w:val="false"/>
          <w:color w:val="000000"/>
          <w:sz w:val="22"/>
          <w:shd w:fill="FFFFFF" w:val="clear"/>
        </w:rPr>
        <w:t xml:space="preserve">We use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non-US GAAP measures to assess and track our performance.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presented in this Quarterly Report are supplemental measures of our performance that are not required by, or presented in accordance with, US GAAP. </w:t>
      </w:r>
    </w:p>
    <w:p>
      <w:pPr>
        <w:pStyle w:val="TextBody"/>
        <w:bidi w:val="0"/>
        <w:spacing w:lineRule="auto" w:line="288" w:before="200" w:after="283"/>
        <w:jc w:val="both"/>
        <w:rPr/>
      </w:pPr>
      <w:r>
        <w:rPr>
          <w:rFonts w:ascii="Times New Roman;serif" w:hAnsi="Times New Roman;serif"/>
          <w:b w:val="false"/>
          <w:color w:val="000000"/>
          <w:sz w:val="22"/>
          <w:shd w:fill="FFFFFF" w:val="clear"/>
        </w:rPr>
        <w:t xml:space="preserve">The following table presents the reconciliation of net income as reported in our </w:t>
      </w:r>
      <w:r>
        <w:rPr>
          <w:rFonts w:ascii="Times New Roman;serif" w:hAnsi="Times New Roman;serif"/>
          <w:b w:val="false"/>
          <w:color w:val="000000"/>
          <w:sz w:val="22"/>
        </w:rPr>
        <w:t>Condensed</w:t>
      </w:r>
      <w:r>
        <w:rPr>
          <w:color w:val="000000"/>
        </w:rPr>
        <w:t xml:space="preserve"> </w:t>
      </w:r>
      <w:r>
        <w:rPr>
          <w:rFonts w:ascii="Times New Roman;serif" w:hAnsi="Times New Roman;serif"/>
          <w:b w:val="false"/>
          <w:color w:val="000000"/>
          <w:sz w:val="22"/>
          <w:shd w:fill="FFFFFF" w:val="clear"/>
        </w:rPr>
        <w:t xml:space="preserve">Consolidated Statement of Operations to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EBITDA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7"/>
        <w:gridCol w:w="539"/>
        <w:gridCol w:w="541"/>
        <w:gridCol w:w="109"/>
        <w:gridCol w:w="109"/>
        <w:gridCol w:w="109"/>
        <w:gridCol w:w="109"/>
        <w:gridCol w:w="109"/>
        <w:gridCol w:w="109"/>
        <w:gridCol w:w="208"/>
        <w:gridCol w:w="714"/>
        <w:gridCol w:w="115"/>
        <w:gridCol w:w="115"/>
        <w:gridCol w:w="115"/>
        <w:gridCol w:w="115"/>
        <w:gridCol w:w="115"/>
        <w:gridCol w:w="109"/>
        <w:gridCol w:w="109"/>
        <w:gridCol w:w="109"/>
        <w:gridCol w:w="109"/>
        <w:gridCol w:w="109"/>
        <w:gridCol w:w="208"/>
        <w:gridCol w:w="714"/>
        <w:gridCol w:w="115"/>
        <w:gridCol w:w="109"/>
        <w:gridCol w:w="109"/>
        <w:gridCol w:w="109"/>
        <w:gridCol w:w="275"/>
        <w:gridCol w:w="275"/>
        <w:gridCol w:w="276"/>
        <w:gridCol w:w="109"/>
        <w:gridCol w:w="109"/>
        <w:gridCol w:w="109"/>
        <w:gridCol w:w="208"/>
        <w:gridCol w:w="714"/>
        <w:gridCol w:w="115"/>
        <w:gridCol w:w="109"/>
        <w:gridCol w:w="109"/>
        <w:gridCol w:w="109"/>
        <w:gridCol w:w="109"/>
        <w:gridCol w:w="109"/>
        <w:gridCol w:w="109"/>
        <w:gridCol w:w="109"/>
        <w:gridCol w:w="109"/>
        <w:gridCol w:w="109"/>
        <w:gridCol w:w="207"/>
        <w:gridCol w:w="712"/>
        <w:gridCol w:w="178"/>
      </w:tblGrid>
      <w:tr>
        <w:trPr/>
        <w:tc>
          <w:tcPr>
            <w:tcW w:w="7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Nine Months Ended</w:t>
            </w:r>
          </w:p>
        </w:tc>
        <w:tc>
          <w:tcPr>
            <w:tcW w:w="3442" w:type="dxa"/>
            <w:gridSpan w:val="18"/>
            <w:tcBorders/>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Net Income and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before taxes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(47,876)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 Legacy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expenses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(gains)/losses on TRA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fair value of (gains)/losses on investments and non-recurring realized gain/losses on sales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earnout liabilities (f)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Organization streamlining cost (g)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(non-cash) (h)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goodwill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(Gains)/Losses on EMI/Carried Interest (non-cash) (j)</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Preferred stock tranche liability (k)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9,491 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11,793 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23,452 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27,942 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(a)Add-back of non-cash expense related to awards of Class A Common stock (approved post-Business Combination).</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(b)Add-back of non-cash expense related to awards of Class A Common stock (approved pre-Business Combination).</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(c)Add-back of transaction expenses related to the Business Combination, subsequent acquisitions or divestitures, and issuance of preferred and common stock, including compensation arrangements, legal fees, accounting advisory fees, technology implementation costs, litigation settlements, and M&amp;A-related audit fees among others.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(d)Add-back of the change in unrealized gains/losses related primarily to the TRA liability.</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(e)Add-back of the change in unrealized gains/losses related to Investments held at fair value and non-recurring realized gain/losses on sale.</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(f)</w:t>
      </w:r>
      <w:r>
        <w:rPr>
          <w:rFonts w:ascii="Times New Roman;serif" w:hAnsi="Times New Roman;serif"/>
          <w:b w:val="false"/>
          <w:color w:val="000000"/>
          <w:sz w:val="22"/>
        </w:rPr>
        <w:t>Add-back of the change in fair value of the earnout liabilities.</w:t>
      </w:r>
    </w:p>
    <w:p>
      <w:pPr>
        <w:pStyle w:val="TextBody"/>
        <w:bidi w:val="0"/>
        <w:spacing w:lineRule="auto" w:line="288" w:before="0" w:after="0"/>
        <w:ind w:left="0" w:right="0" w:hanging="360"/>
        <w:jc w:val="both"/>
        <w:rPr/>
      </w:pPr>
      <w:r>
        <w:rPr>
          <w:rFonts w:ascii="Times New Roman;serif" w:hAnsi="Times New Roman;serif"/>
          <w:b w:val="false"/>
          <w:color w:val="000000"/>
          <w:sz w:val="22"/>
          <w:shd w:fill="FFFFFF" w:val="clear"/>
        </w:rPr>
        <w:t>(g)</w:t>
      </w:r>
      <w:r>
        <w:rPr>
          <w:rFonts w:ascii="Times New Roman;serif" w:hAnsi="Times New Roman;serif"/>
          <w:b w:val="false"/>
          <w:color w:val="000000"/>
          <w:sz w:val="22"/>
        </w:rPr>
        <w:t>Add-back of cost to implement organization change to derive cost synergy, including consulting fees, severance charges, technology implementation costs, and bad debt expense related to strategic portfolio realignment.</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(h)Add-back of impairment of carried interest/equity method investments and intangible assets.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(i)Add-back of impairment of goodwill.</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(j)Add-back of the amortization of the step-up in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Operating Metrics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monitor certain operating metrics that are common to the wealth and asset management industry, which are discussed below.</w:t>
      </w:r>
    </w:p>
    <w:tbl>
      <w:tblPr>
        <w:tblW w:w="246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354"/>
        <w:gridCol w:w="354"/>
        <w:gridCol w:w="50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466"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color w:val="FFFFFF"/>
              </w:rPr>
            </w:pPr>
            <w:r>
              <w:rPr>
                <w:color w:val="FFFFFF"/>
              </w:rPr>
              <w:t>      </w:t>
            </w:r>
            <w:r>
              <w:rPr>
                <w:rFonts w:ascii="Times New Roman;serif" w:hAnsi="Times New Roman;serif"/>
                <w:b/>
                <w:color w:val="FFFFFF"/>
                <w:sz w:val="20"/>
              </w:rPr>
              <w:t>AlTi Global, Inc.</w:t>
            </w:r>
          </w:p>
        </w:tc>
      </w:tr>
      <w:tr>
        <w:trPr/>
        <w:tc>
          <w:tcPr>
            <w:tcW w:w="640" w:type="dxa"/>
            <w:gridSpan w:val="3"/>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AUM:</w:t>
            </w:r>
          </w:p>
        </w:tc>
        <w:tc>
          <w:tcPr>
            <w:tcW w:w="612" w:type="dxa"/>
            <w:gridSpan w:val="3"/>
            <w:tcBorders>
              <w:top w:val="single" w:sz="8" w:space="0" w:color="000000"/>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$49.3 billion</w:t>
            </w:r>
          </w:p>
        </w:tc>
      </w:tr>
      <w:tr>
        <w:trPr/>
        <w:tc>
          <w:tcPr>
            <w:tcW w:w="640" w:type="dxa"/>
            <w:gridSpan w:val="3"/>
            <w:tcBorders>
              <w:top w:val="single" w:sz="8" w:space="0" w:color="000000"/>
              <w:left w:val="single" w:sz="8" w:space="0" w:color="000000"/>
              <w:bottom w:val="single" w:sz="8" w:space="0" w:color="000000"/>
            </w:tcBorders>
            <w:shd w:fill="2F5496"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 xml:space="preserve">AUA: </w:t>
            </w:r>
          </w:p>
        </w:tc>
        <w:tc>
          <w:tcPr>
            <w:tcW w:w="612" w:type="dxa"/>
            <w:gridSpan w:val="3"/>
            <w:tcBorders>
              <w:top w:val="single" w:sz="8" w:space="0" w:color="000000"/>
              <w:bottom w:val="single" w:sz="8" w:space="0" w:color="000000"/>
            </w:tcBorders>
            <w:shd w:fill="2F5496" w:val="clear"/>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$89.2 billion</w:t>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AUM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AUM for our operating segment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71"/>
        <w:gridCol w:w="865"/>
        <w:gridCol w:w="839"/>
        <w:gridCol w:w="304"/>
        <w:gridCol w:w="1117"/>
        <w:gridCol w:w="147"/>
        <w:gridCol w:w="114"/>
        <w:gridCol w:w="114"/>
        <w:gridCol w:w="114"/>
        <w:gridCol w:w="304"/>
        <w:gridCol w:w="1117"/>
        <w:gridCol w:w="147"/>
        <w:gridCol w:w="109"/>
        <w:gridCol w:w="109"/>
        <w:gridCol w:w="109"/>
        <w:gridCol w:w="305"/>
        <w:gridCol w:w="1116"/>
        <w:gridCol w:w="147"/>
        <w:gridCol w:w="111"/>
        <w:gridCol w:w="111"/>
        <w:gridCol w:w="111"/>
        <w:gridCol w:w="302"/>
        <w:gridCol w:w="1106"/>
        <w:gridCol w:w="216"/>
      </w:tblGrid>
      <w:tr>
        <w:trPr/>
        <w:tc>
          <w:tcPr>
            <w:tcW w:w="117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(Dollars in Millions)</w:t>
            </w:r>
          </w:p>
        </w:tc>
        <w:tc>
          <w:tcPr>
            <w:tcW w:w="3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Nine Months Ended</w:t>
            </w:r>
          </w:p>
        </w:tc>
      </w:tr>
      <w:tr>
        <w:trPr/>
        <w:tc>
          <w:tcPr>
            <w:tcW w:w="2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AUM</w:t>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2024</w:t>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Beginning Balance: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45,944 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40,383 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43,091 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34,525 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client change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 net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Market Performance, net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Assets subject to change in billing methodology</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Prior Quarter Adj / Regulation change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 (dispositions)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Ending Balance:</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47,653 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44,710 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47,653 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44,710 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Average AUM</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46,799 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42,547 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45,372 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39,618 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5"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color w:val="000000"/>
          <w:sz w:val="22"/>
        </w:rPr>
      </w:pPr>
      <w:r>
        <w:rPr>
          <w:rFonts w:ascii="Times New Roman;serif" w:hAnsi="Times New Roman;serif"/>
          <w:b/>
          <w:color w:val="000000"/>
          <w:sz w:val="22"/>
        </w:rPr>
        <w:t>AUA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AUA for our operating segment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32"/>
        <w:gridCol w:w="559"/>
        <w:gridCol w:w="561"/>
        <w:gridCol w:w="353"/>
        <w:gridCol w:w="1296"/>
        <w:gridCol w:w="170"/>
        <w:gridCol w:w="118"/>
        <w:gridCol w:w="118"/>
        <w:gridCol w:w="118"/>
        <w:gridCol w:w="353"/>
        <w:gridCol w:w="1296"/>
        <w:gridCol w:w="170"/>
        <w:gridCol w:w="109"/>
        <w:gridCol w:w="109"/>
        <w:gridCol w:w="109"/>
        <w:gridCol w:w="354"/>
        <w:gridCol w:w="1296"/>
        <w:gridCol w:w="170"/>
        <w:gridCol w:w="113"/>
        <w:gridCol w:w="113"/>
        <w:gridCol w:w="113"/>
        <w:gridCol w:w="349"/>
        <w:gridCol w:w="1278"/>
        <w:gridCol w:w="248"/>
      </w:tblGrid>
      <w:tr>
        <w:trPr/>
        <w:tc>
          <w:tcPr>
            <w:tcW w:w="73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2"/>
              </w:rPr>
            </w:pPr>
            <w:r>
              <w:rPr>
                <w:rFonts w:ascii="Times New Roman;serif" w:hAnsi="Times New Roman;serif"/>
                <w:b/>
                <w:i/>
                <w:color w:val="000000"/>
                <w:sz w:val="22"/>
              </w:rPr>
              <w:t>(Dollars in Millions)</w:t>
            </w:r>
          </w:p>
        </w:tc>
        <w:tc>
          <w:tcPr>
            <w:tcW w:w="39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For the Nine Months Ended</w:t>
            </w:r>
          </w:p>
        </w:tc>
      </w:tr>
      <w:tr>
        <w:trPr/>
        <w:tc>
          <w:tcPr>
            <w:tcW w:w="1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AUA</w:t>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September 30, 2024</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Beginning Balance:</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80,826 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55,910 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60,473 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51,036 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9,983 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Ending Balance:</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82,216 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61,019 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82,216 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61,019 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Average AUA</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81,521 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58,465 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71,345 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56,028 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Investments in Alternative Platforms - AUM/AUA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Within the Alternatives platform, assets consist of assets managed by TIG Arbitrage (AUM $1.7 billion and $1.7 billion as of September 30, 2025 and December 31, 2024, respectively), and the External Strategic Managers (AUA $5.4 billion and $5.1 billion as of September 30, 2025 and December 31, 2024, respectively).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tables below present the change in our total AUM/AUA by strategy and product for our alternatives platform for the three and nine months ended September 30, 2025 and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415"/>
        <w:gridCol w:w="319"/>
        <w:gridCol w:w="322"/>
        <w:gridCol w:w="233"/>
        <w:gridCol w:w="661"/>
        <w:gridCol w:w="129"/>
        <w:gridCol w:w="300"/>
        <w:gridCol w:w="646"/>
        <w:gridCol w:w="168"/>
        <w:gridCol w:w="277"/>
        <w:gridCol w:w="576"/>
        <w:gridCol w:w="156"/>
        <w:gridCol w:w="287"/>
        <w:gridCol w:w="618"/>
        <w:gridCol w:w="161"/>
        <w:gridCol w:w="274"/>
        <w:gridCol w:w="609"/>
        <w:gridCol w:w="153"/>
        <w:gridCol w:w="311"/>
        <w:gridCol w:w="550"/>
        <w:gridCol w:w="175"/>
        <w:gridCol w:w="251"/>
        <w:gridCol w:w="714"/>
        <w:gridCol w:w="141"/>
        <w:gridCol w:w="218"/>
        <w:gridCol w:w="618"/>
        <w:gridCol w:w="121"/>
        <w:gridCol w:w="196"/>
        <w:gridCol w:w="444"/>
        <w:gridCol w:w="162"/>
      </w:tblGrid>
      <w:tr>
        <w:trPr/>
        <w:tc>
          <w:tcPr>
            <w:tcW w:w="4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July 1, 2025</w:t>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September 30, 2025</w:t>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Bridge Lending Strategy</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3"/>
        <w:gridCol w:w="327"/>
        <w:gridCol w:w="330"/>
        <w:gridCol w:w="236"/>
        <w:gridCol w:w="671"/>
        <w:gridCol w:w="131"/>
        <w:gridCol w:w="301"/>
        <w:gridCol w:w="649"/>
        <w:gridCol w:w="169"/>
        <w:gridCol w:w="278"/>
        <w:gridCol w:w="579"/>
        <w:gridCol w:w="157"/>
        <w:gridCol w:w="287"/>
        <w:gridCol w:w="618"/>
        <w:gridCol w:w="161"/>
        <w:gridCol w:w="274"/>
        <w:gridCol w:w="609"/>
        <w:gridCol w:w="153"/>
        <w:gridCol w:w="311"/>
        <w:gridCol w:w="550"/>
        <w:gridCol w:w="175"/>
        <w:gridCol w:w="256"/>
        <w:gridCol w:w="728"/>
        <w:gridCol w:w="143"/>
        <w:gridCol w:w="220"/>
        <w:gridCol w:w="624"/>
        <w:gridCol w:w="122"/>
        <w:gridCol w:w="196"/>
        <w:gridCol w:w="363"/>
        <w:gridCol w:w="164"/>
      </w:tblGrid>
      <w:tr>
        <w:trPr/>
        <w:tc>
          <w:tcPr>
            <w:tcW w:w="4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July 1, 2024</w:t>
            </w:r>
          </w:p>
        </w:tc>
        <w:tc>
          <w:tcPr>
            <w:tcW w:w="11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September 30, 2024</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Bridge Lending Strategy</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411"/>
        <w:gridCol w:w="315"/>
        <w:gridCol w:w="318"/>
        <w:gridCol w:w="240"/>
        <w:gridCol w:w="682"/>
        <w:gridCol w:w="133"/>
        <w:gridCol w:w="299"/>
        <w:gridCol w:w="644"/>
        <w:gridCol w:w="168"/>
        <w:gridCol w:w="271"/>
        <w:gridCol w:w="584"/>
        <w:gridCol w:w="152"/>
        <w:gridCol w:w="287"/>
        <w:gridCol w:w="618"/>
        <w:gridCol w:w="161"/>
        <w:gridCol w:w="274"/>
        <w:gridCol w:w="609"/>
        <w:gridCol w:w="153"/>
        <w:gridCol w:w="274"/>
        <w:gridCol w:w="609"/>
        <w:gridCol w:w="153"/>
        <w:gridCol w:w="249"/>
        <w:gridCol w:w="707"/>
        <w:gridCol w:w="139"/>
        <w:gridCol w:w="217"/>
        <w:gridCol w:w="615"/>
        <w:gridCol w:w="120"/>
        <w:gridCol w:w="196"/>
        <w:gridCol w:w="443"/>
        <w:gridCol w:w="164"/>
      </w:tblGrid>
      <w:tr>
        <w:trPr/>
        <w:tc>
          <w:tcPr>
            <w:tcW w:w="4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January 1, 2025</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September 30, 2025</w:t>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Real Estate Bridge Lending Strategy</w:t>
            </w:r>
            <w:r>
              <w:rPr>
                <w:color w:val="000000"/>
              </w:rPr>
              <w:t xml:space="preserve"> </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411"/>
        <w:gridCol w:w="315"/>
        <w:gridCol w:w="318"/>
        <w:gridCol w:w="240"/>
        <w:gridCol w:w="682"/>
        <w:gridCol w:w="133"/>
        <w:gridCol w:w="293"/>
        <w:gridCol w:w="654"/>
        <w:gridCol w:w="165"/>
        <w:gridCol w:w="276"/>
        <w:gridCol w:w="575"/>
        <w:gridCol w:w="156"/>
        <w:gridCol w:w="287"/>
        <w:gridCol w:w="618"/>
        <w:gridCol w:w="161"/>
        <w:gridCol w:w="231"/>
        <w:gridCol w:w="675"/>
        <w:gridCol w:w="130"/>
        <w:gridCol w:w="311"/>
        <w:gridCol w:w="550"/>
        <w:gridCol w:w="175"/>
        <w:gridCol w:w="249"/>
        <w:gridCol w:w="707"/>
        <w:gridCol w:w="139"/>
        <w:gridCol w:w="217"/>
        <w:gridCol w:w="615"/>
        <w:gridCol w:w="120"/>
        <w:gridCol w:w="196"/>
        <w:gridCol w:w="443"/>
        <w:gridCol w:w="163"/>
      </w:tblGrid>
      <w:tr>
        <w:trPr/>
        <w:tc>
          <w:tcPr>
            <w:tcW w:w="4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January 1, 2024</w:t>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Appreciation</w:t>
            </w:r>
          </w:p>
        </w:tc>
        <w:tc>
          <w:tcPr>
            <w:tcW w:w="10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AUM/AUA at September 30, 2024</w:t>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AUM/AUA</w:t>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TIG Arbitrage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Real Estate Bridge Lending Strategy</w:t>
            </w:r>
            <w:r>
              <w:rPr>
                <w:color w:val="000000"/>
              </w:rPr>
              <w:t xml:space="preserve"> </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European Equities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Asian Credit and Special Situation</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External Strategic Managers Subtotal</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Components of Consolidated Results of Income</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Management/Advisory Fees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NAV.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Distributions from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recurring management fees and non-recurring incentive fees based on performance of the underlying investments.</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Other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200" w:after="283"/>
        <w:jc w:val="both"/>
        <w:rPr/>
      </w:pPr>
      <w:r>
        <w:rPr>
          <w:rFonts w:ascii="Times New Roman;serif" w:hAnsi="Times New Roman;serif"/>
          <w:b w:val="false"/>
          <w:i/>
          <w:color w:val="000000"/>
          <w:sz w:val="22"/>
        </w:rPr>
        <w:t xml:space="preserve">Compensation and Employee Benefits: </w:t>
      </w:r>
      <w:r>
        <w:rPr>
          <w:rFonts w:ascii="Times New Roman;serif" w:hAnsi="Times New Roman;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200" w:after="283"/>
        <w:jc w:val="both"/>
        <w:rPr/>
      </w:pPr>
      <w:r>
        <w:rPr>
          <w:rFonts w:ascii="Times New Roman;serif" w:hAnsi="Times New Roman;serif"/>
          <w:b w:val="false"/>
          <w:i/>
          <w:color w:val="000000"/>
          <w:sz w:val="22"/>
        </w:rPr>
        <w:t xml:space="preserve">General, Administrative and Other Expenses: </w:t>
      </w:r>
      <w:r>
        <w:rPr>
          <w:rFonts w:ascii="Times New Roman;serif" w:hAnsi="Times New Roman;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200" w:after="283"/>
        <w:jc w:val="both"/>
        <w:rPr/>
      </w:pPr>
      <w:r>
        <w:rPr>
          <w:rFonts w:ascii="Times New Roman;serif" w:hAnsi="Times New Roman;serif"/>
          <w:b w:val="false"/>
          <w:i/>
          <w:color w:val="000000"/>
          <w:sz w:val="22"/>
        </w:rPr>
        <w:t xml:space="preserve">Depreciation and Amortization Expenses: </w:t>
      </w:r>
      <w:r>
        <w:rPr>
          <w:rFonts w:ascii="Times New Roman;serif" w:hAnsi="Times New Roman;serif"/>
          <w:b w:val="false"/>
          <w:color w:val="000000"/>
          <w:sz w:val="22"/>
        </w:rPr>
        <w:t xml:space="preserve">Fixed assets are depreciated or amortized on a straight-line basis, with the corresponding depreciation and amortization expense included within depreciation and amortization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erif" w:hAnsi="Times New Roman;serif"/>
          <w:b w:val="false"/>
          <w:color w:val="000000"/>
          <w:sz w:val="22"/>
        </w:rPr>
        <w:t>the Company’s Condensed</w:t>
      </w:r>
      <w:r>
        <w:rPr>
          <w:color w:val="000000"/>
        </w:rPr>
        <w:t xml:space="preserve"> </w:t>
      </w:r>
      <w:r>
        <w:rPr>
          <w:rFonts w:ascii="Times New Roman;serif" w:hAnsi="Times New Roman;serif"/>
          <w:b w:val="false"/>
          <w:color w:val="000000"/>
          <w:sz w:val="22"/>
        </w:rPr>
        <w:t>Consolidated Statement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200" w:after="283"/>
        <w:jc w:val="both"/>
        <w:rPr/>
      </w:pPr>
      <w:r>
        <w:rPr>
          <w:rFonts w:ascii="Times New Roman;serif" w:hAnsi="Times New Roman;serif"/>
          <w:b w:val="false"/>
          <w:i/>
          <w:color w:val="000000"/>
          <w:sz w:val="22"/>
        </w:rPr>
        <w:t xml:space="preserve">Interest Expense: </w:t>
      </w:r>
      <w:r>
        <w:rPr>
          <w:rFonts w:ascii="Times New Roman;serif" w:hAnsi="Times New Roman;serif"/>
          <w:b w:val="false"/>
          <w:color w:val="000000"/>
          <w:sz w:val="22"/>
          <w:shd w:fill="FFFFFF" w:val="clear"/>
        </w:rPr>
        <w:t>I</w:t>
      </w:r>
      <w:r>
        <w:rPr>
          <w:rFonts w:ascii="Times New Roman;serif" w:hAnsi="Times New Roman;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200" w:after="283"/>
        <w:jc w:val="both"/>
        <w:rPr/>
      </w:pPr>
      <w:r>
        <w:rPr>
          <w:rFonts w:ascii="Times New Roman;serif" w:hAnsi="Times New Roman;serif"/>
          <w:b w:val="false"/>
          <w:i/>
          <w:color w:val="000000"/>
          <w:sz w:val="22"/>
        </w:rPr>
        <w:t xml:space="preserve">Income Tax Expense: </w:t>
      </w:r>
      <w:r>
        <w:rPr>
          <w:rFonts w:ascii="Times New Roman;serif" w:hAnsi="Times New Roman;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Condensed Consolidated Results of Operations – For the Three Months Ended September 30, 2025 Compared to the Three Months Ended September 30, 2024</w:t>
      </w:r>
    </w:p>
    <w:tbl>
      <w:tblPr>
        <w:tblW w:w="10205" w:type="dxa"/>
        <w:jc w:val="left"/>
        <w:tblInd w:w="0" w:type="dxa"/>
        <w:tblLayout w:type="fixed"/>
        <w:tblCellMar>
          <w:top w:w="28" w:type="dxa"/>
          <w:left w:w="28" w:type="dxa"/>
          <w:bottom w:w="28" w:type="dxa"/>
          <w:right w:w="28" w:type="dxa"/>
        </w:tblCellMar>
      </w:tblPr>
      <w:tblGrid>
        <w:gridCol w:w="1344"/>
        <w:gridCol w:w="852"/>
        <w:gridCol w:w="827"/>
        <w:gridCol w:w="265"/>
        <w:gridCol w:w="968"/>
        <w:gridCol w:w="136"/>
        <w:gridCol w:w="109"/>
        <w:gridCol w:w="109"/>
        <w:gridCol w:w="109"/>
        <w:gridCol w:w="265"/>
        <w:gridCol w:w="968"/>
        <w:gridCol w:w="136"/>
        <w:gridCol w:w="109"/>
        <w:gridCol w:w="109"/>
        <w:gridCol w:w="109"/>
        <w:gridCol w:w="332"/>
        <w:gridCol w:w="1161"/>
        <w:gridCol w:w="17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tblGrid>
      <w:tr>
        <w:trPr/>
        <w:tc>
          <w:tcPr>
            <w:tcW w:w="13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51,809 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 from continuing operations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(76,888)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 from continuing operations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(39,570)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(87,009)</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(67,404)</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 xml:space="preserve">Management / advisory fees. </w:t>
      </w:r>
      <w:r>
        <w:rPr>
          <w:rFonts w:ascii="Times New Roman;serif" w:hAnsi="Times New Roman;serif"/>
          <w:b w:val="false"/>
          <w:color w:val="000000"/>
          <w:sz w:val="22"/>
        </w:rPr>
        <w:t>Management and advisory fees for the three months ended September 30, 2025, increased by $3.6 million compared to the three months ended September 30, 2024. This increase was driven by higher fees due to increases in our AUM both domestically and internationally amid strong market performance. These gains were partially offset by lower management fees in the TIG Arbitrage strategy due to fund outflows.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Incentive fees. </w:t>
      </w:r>
      <w:r>
        <w:rPr>
          <w:rFonts w:ascii="Times New Roman;serif" w:hAnsi="Times New Roman;serif"/>
          <w:b w:val="false"/>
          <w:color w:val="000000"/>
          <w:sz w:val="22"/>
        </w:rPr>
        <w:t xml:space="preserve">For the three months ended September 30, 2025, incentive fees increased by $2.3 million compared to the three months ended September 30, 2024. This increase is attributable to fund redemptions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resulting in crystallized incentive fees in the TIG Arbitrage strategy for the current year, which led to higher crystallized incentive fees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Distributions from investments. </w:t>
      </w:r>
      <w:r>
        <w:rPr>
          <w:rFonts w:ascii="Times New Roman;serif" w:hAnsi="Times New Roman;serif"/>
          <w:b w:val="false"/>
          <w:color w:val="000000"/>
          <w:sz w:val="22"/>
        </w:rPr>
        <w:t>Distributions from investments for the three months ended September 30, 2025 decreased by $0.5 million compared to the three months ended September 30, 2024. This decrease was primarily due to lower distributions related to management fees in the Asian Credit and Special Situations and European Equities strategies and partially offset by higher distributions from the Real Estate Bridge Lending Strategy.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Other fees / income. </w:t>
      </w:r>
      <w:r>
        <w:rPr>
          <w:rFonts w:ascii="Times New Roman;serif" w:hAnsi="Times New Roman;serif"/>
          <w:b w:val="false"/>
          <w:color w:val="000000"/>
          <w:sz w:val="22"/>
        </w:rPr>
        <w:t>Other fees and income for the three months ended September 30, 2025 was relatively flat compared to the three months ended September 30, 2024 with a slight decrease of $16.0 thousand related to lower fees.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Compensation expense. </w:t>
      </w:r>
      <w:r>
        <w:rPr>
          <w:rFonts w:ascii="Times New Roman;serif" w:hAnsi="Times New Roman;serif"/>
          <w:b w:val="false"/>
          <w:color w:val="000000"/>
          <w:sz w:val="22"/>
        </w:rPr>
        <w:t xml:space="preserve">Compensation expense for the three months ended September 30, 2025 increased by $3.3 million compared to the three months ended September 30, 2024. This increase was primarily due to higher compensation costs tied to acquisition driven-compensation and benefits, acquisition-related earn-outs, new equity grants, and organizational streamlining initiatives that continue to be undertaken in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Non-compensation expense. </w:t>
      </w:r>
      <w:r>
        <w:rPr>
          <w:rFonts w:ascii="Times New Roman;serif" w:hAnsi="Times New Roman;serif"/>
          <w:b w:val="false"/>
          <w:color w:val="000000"/>
          <w:sz w:val="22"/>
        </w:rPr>
        <w:t xml:space="preserve">Non-compensation expenses for the three months ended September 30, 2025 increased by $21.1 million as compared to the three months ended September 30, 2024, primarily driven by a $4.6 million increase in one-time and transaction related professional fees and a $16.3 million increase in general, administrative and other costs primarily due to non-recurring bad debt and redress provisions.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Other income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income (expenses) for the three months ended September 30, 2025 increased by $38.9 million compared to the three months ended September 30, 2024. During the three months ended September 30, 2025, an impairment loss on intangible assets of $35.0 million was recognized. During the three months ended September 30, 2024, an impairment loss on goodwill and intangibles of $74.3 million was recognized.</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 xml:space="preserve">Taxes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effective tax rate was (39.1)% for the three months ended September 30, 2025 compared to 7.8% for three months ended September 30, 2024. The effective tax rate for the three months ended September 30, 2024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The effective tax rate for the three months ended September 30, 2025 differed from the statutory U.S. corporate tax rate primarily due to the portion of income allocated to noncontrolling interest, state and local taxes, and the impact of a full valuation allowance on the Company’s deferred tax assets, including those generated in the Company’s subsidiaries in the U.S. and the U.K and its investment in Umbrella.</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Condensed Consolidated Results of Operations – For the Nine Months Ended September 30, 2025 Compared to the Nine Months Ended September 30,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3"/>
        <w:gridCol w:w="833"/>
        <w:gridCol w:w="807"/>
        <w:gridCol w:w="251"/>
        <w:gridCol w:w="1038"/>
        <w:gridCol w:w="129"/>
        <w:gridCol w:w="109"/>
        <w:gridCol w:w="109"/>
        <w:gridCol w:w="109"/>
        <w:gridCol w:w="259"/>
        <w:gridCol w:w="1017"/>
        <w:gridCol w:w="134"/>
        <w:gridCol w:w="109"/>
        <w:gridCol w:w="109"/>
        <w:gridCol w:w="109"/>
        <w:gridCol w:w="259"/>
        <w:gridCol w:w="944"/>
        <w:gridCol w:w="133"/>
        <w:gridCol w:w="133"/>
        <w:gridCol w:w="133"/>
        <w:gridCol w:w="133"/>
        <w:gridCol w:w="109"/>
        <w:gridCol w:w="109"/>
        <w:gridCol w:w="109"/>
        <w:gridCol w:w="109"/>
        <w:gridCol w:w="109"/>
        <w:gridCol w:w="109"/>
        <w:gridCol w:w="109"/>
        <w:gridCol w:w="109"/>
        <w:gridCol w:w="109"/>
        <w:gridCol w:w="109"/>
        <w:gridCol w:w="109"/>
        <w:gridCol w:w="109"/>
        <w:gridCol w:w="109"/>
        <w:gridCol w:w="109"/>
        <w:gridCol w:w="109"/>
        <w:gridCol w:w="109"/>
        <w:gridCol w:w="109"/>
        <w:gridCol w:w="162"/>
      </w:tblGrid>
      <w:tr>
        <w:trPr/>
        <w:tc>
          <w:tcPr>
            <w:tcW w:w="1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166,701 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146,919 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172,321 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(56,864)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 from continuing operations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(85,328)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 from continuing operations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(109,033)</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(37,929)</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(71,104)</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 xml:space="preserve">Management / advisory fees. </w:t>
      </w:r>
      <w:r>
        <w:rPr>
          <w:rFonts w:ascii="Times New Roman;serif" w:hAnsi="Times New Roman;serif"/>
          <w:b w:val="false"/>
          <w:color w:val="000000"/>
          <w:sz w:val="22"/>
        </w:rPr>
        <w:t>Management and advisory fees for the nine months ended September 30, 2025, increased by $9.3 million compared to the nine months ended September 30, 2024. This increase was driven by higher fees due to rising AUM amounts year over year. These gains were partially offset by lower management fees in the TIG Arbitrage strategy due to fund outflows.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Incentive fees. </w:t>
      </w:r>
      <w:r>
        <w:rPr>
          <w:rFonts w:ascii="Times New Roman;serif" w:hAnsi="Times New Roman;serif"/>
          <w:b w:val="false"/>
          <w:color w:val="000000"/>
          <w:sz w:val="22"/>
        </w:rPr>
        <w:t>For the nine months ended September 30, 2025, incentive fees increased by $2.7 million compared to the nine months ended September 30, 2024. This increase is attributable to fund redemptions resulting in crystallized incentive fees in the TIG Arbitrage strategy for the current year, which led to higher crystallized incentive fees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Distributions from investments. </w:t>
      </w:r>
      <w:r>
        <w:rPr>
          <w:rFonts w:ascii="Times New Roman;serif" w:hAnsi="Times New Roman;serif"/>
          <w:b w:val="false"/>
          <w:color w:val="000000"/>
          <w:sz w:val="22"/>
        </w:rPr>
        <w:t>Distributions from investments for the nine months ended September 30, 2025 increased by $8.0 million compared to the nine months ended September 30, 2024. This increase was primarily due to higher distributions related to incentive fees in the European Equities and Asian Credit and Special Situation strategies in the current period resulting from stronger performance in both of these strategies compared to the prior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Other fees / income. </w:t>
      </w:r>
      <w:r>
        <w:rPr>
          <w:rFonts w:ascii="Times New Roman;serif" w:hAnsi="Times New Roman;serif"/>
          <w:b w:val="false"/>
          <w:color w:val="000000"/>
          <w:sz w:val="22"/>
        </w:rPr>
        <w:t>Other fees and income for the nine months ended September 30, 2025 decreased by $0.1 million compared to the nine months ended September 30, 2024. This decrease was primarily driven by lower transactional income, as we are in the process of exiting businesses that generate such fees.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Compensation expense. </w:t>
      </w:r>
      <w:r>
        <w:rPr>
          <w:rFonts w:ascii="Times New Roman;serif" w:hAnsi="Times New Roman;serif"/>
          <w:b w:val="false"/>
          <w:color w:val="000000"/>
          <w:sz w:val="22"/>
        </w:rPr>
        <w:t xml:space="preserve">Compensation expense for the nine months ended September 30, 2025 increased by $20.3 million compared to the nine months ended September 30, 2024. This increase was primarily due to higher compensation costs tied to acquisition-driven compensation and benefits, acquisition-related earn-outs and new equity grants and to organizational streamlining initiatives that continue to be undertaken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Non-compensation expense. </w:t>
      </w:r>
      <w:r>
        <w:rPr>
          <w:rFonts w:ascii="Times New Roman;serif" w:hAnsi="Times New Roman;serif"/>
          <w:b w:val="false"/>
          <w:color w:val="000000"/>
          <w:sz w:val="22"/>
        </w:rPr>
        <w:t xml:space="preserve">Non-compensation expenses for the nine months ended September 30, 2025 increased by $36.6 million as compared to the nine months ended September 30, 2024, primarily driven by a $14.8 million increase in one-time and transactional professional fees and a $18.2 million increase in general, administrative and other costs primarily due to non-recurring bad debt and redress provisions.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Other income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Other income (expenses) for the nine months ended September 30, 2025 increased by $(0.4) million compared to the nine months ended September 30, 2024. During the nine months ended September 30, 2025, an impairment loss on intangible assets of $35.0 million, partially offset by unrealized gains on earn-out liabilities of $9.9 million, was recognized. During the nine months ended September 30, 2024, an impairment loss on goodwill and intangibles of $74.3 million, partially offset by unrealized gains on earn-out liabilities of $41.9 million, was recognized.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 xml:space="preserve">Taxes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effective tax rate was (20.4)% for the nine months ended September 30, 2025 compared to 9.1% for nine months ended September 30, 2024. The effective tax rate for the nine months ended September 30, 2024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The effective tax rate for the nine months ended September 30, 2025 differed from the statutory U.S. corporate tax rate primarily due to the portion of income allocated to noncontrolling interests, state and local taxes, and the impact of a full valuation allowance on the Company’s deferred tax assets, including those generated in the Company’s subsidiaries in the U.S. and the U.K and its investment in Umbrella.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During the fourth quarter ended December 31 2024, the Company repaid its debt outstanding under the bank credit facility (see Note 15 (Debt, net of unamortized deferred financing costs) to our condensed</w:t>
      </w:r>
      <w:r>
        <w:rPr>
          <w:color w:val="000000"/>
        </w:rPr>
        <w:t xml:space="preserve"> </w:t>
      </w:r>
      <w:r>
        <w:rPr>
          <w:rFonts w:ascii="Times New Roman;serif" w:hAnsi="Times New Roman;serif"/>
          <w:b w:val="false"/>
          <w:color w:val="000000"/>
          <w:sz w:val="22"/>
        </w:rPr>
        <w:t>consolidated financial statements included in this Quarterly Report) with the proceeds raised from the Allianz Transaction and the Constellation Transaction (see Note 1 (Description of the Business) to our condensed</w:t>
      </w:r>
      <w:r>
        <w:rPr>
          <w:color w:val="000000"/>
        </w:rPr>
        <w:t xml:space="preserve"> </w:t>
      </w:r>
      <w:r>
        <w:rPr>
          <w:rFonts w:ascii="Times New Roman;serif" w:hAnsi="Times New Roman;serif"/>
          <w:b w:val="false"/>
          <w:color w:val="000000"/>
          <w:sz w:val="22"/>
        </w:rPr>
        <w:t xml:space="preserve">consolidated financial statements included in this Quarterly Report). On January 3, 2023, concurrent with the consummation of the Business Combination, the Company had entered into a $250.0 million credit facility with a syndicate led by BMO Capital Markets Corp. The facility, which had a term of five years and was comprised of a $150.0 million revolving credit facility and a $100.0 million term loan facility, was to be used to pay down subsidiary debt and fund growth initiatives.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Allianz and Constellation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September 30, 2025, none of the Allianz Warrants have been exercised.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Consummation of the Allianz Transaction closed as of July 31, 2024. Refer to Note 1 (Description of the Business) in our accompanying condensed</w:t>
      </w:r>
      <w:r>
        <w:rPr>
          <w:color w:val="000000"/>
        </w:rPr>
        <w:t xml:space="preserve"> </w:t>
      </w:r>
      <w:r>
        <w:rPr>
          <w:rFonts w:ascii="Times New Roman;serif" w:hAnsi="Times New Roman;serif"/>
          <w:b w:val="false"/>
          <w:color w:val="000000"/>
          <w:sz w:val="22"/>
        </w:rPr>
        <w:t>consolidated financial statements for additional details.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September 30, 2025, none of the Constellation Warrants have been exercised.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For the Nine Months Ended September 30, 2025 Compared to the Nine Months Ended September 30, 2024</w:t>
      </w:r>
    </w:p>
    <w:p>
      <w:pPr>
        <w:pStyle w:val="TextBody"/>
        <w:bidi w:val="0"/>
        <w:spacing w:lineRule="auto" w:line="288" w:before="200" w:after="283"/>
        <w:jc w:val="both"/>
        <w:rPr/>
      </w:pPr>
      <w:r>
        <w:rPr>
          <w:rFonts w:ascii="Times New Roman;serif" w:hAnsi="Times New Roman;serif"/>
          <w:b w:val="false"/>
          <w:color w:val="000000"/>
          <w:sz w:val="22"/>
        </w:rPr>
        <w:t>The following tables and discussion summarize our Condensed</w:t>
      </w:r>
      <w:r>
        <w:rPr>
          <w:color w:val="000000"/>
        </w:rPr>
        <w:t xml:space="preserve"> </w:t>
      </w:r>
      <w:r>
        <w:rPr>
          <w:rFonts w:ascii="Times New Roman;serif" w:hAnsi="Times New Roman;serif"/>
          <w:b w:val="false"/>
          <w:color w:val="000000"/>
          <w:sz w:val="22"/>
        </w:rPr>
        <w:t>Consolidated Statement of Cash Flows by activity attributable to AlTi for the periods indicated.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419"/>
        <w:gridCol w:w="1223"/>
        <w:gridCol w:w="1233"/>
        <w:gridCol w:w="317"/>
        <w:gridCol w:w="1191"/>
        <w:gridCol w:w="163"/>
        <w:gridCol w:w="109"/>
        <w:gridCol w:w="109"/>
        <w:gridCol w:w="109"/>
        <w:gridCol w:w="310"/>
        <w:gridCol w:w="1214"/>
        <w:gridCol w:w="159"/>
        <w:gridCol w:w="109"/>
        <w:gridCol w:w="109"/>
        <w:gridCol w:w="109"/>
        <w:gridCol w:w="355"/>
        <w:gridCol w:w="1515"/>
        <w:gridCol w:w="183"/>
        <w:gridCol w:w="109"/>
        <w:gridCol w:w="160"/>
      </w:tblGrid>
      <w:tr>
        <w:trPr/>
        <w:tc>
          <w:tcPr>
            <w:tcW w:w="14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269" w:type="dxa"/>
            <w:gridSpan w:val="2"/>
            <w:tcBorders/>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(53,528)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(297,255)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balances</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205,600 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(234,072)</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and cash equivalents decreased by $28.5 million during the nine months ended September 30, 2025 primarily due to the Company’s net operating activities during the period, partially offset by the Company’s net investing and financing activities during the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and professional fees. Our net operating cash outflow of $53.5 million for the nine months ended September 30, 2025, was primarily driven by the Company’s net operating loss from continuing operations for the period, as operating expenses exceeded revenues, as well as a decrease in Accrued compensation and profit sharing of $14.8 million.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net operating cash outflow of $16.4 million for the nine months ended September 30, 2024, was primarily driven by the Company’s net operating loss from continuing operations for the period, as operating expenses exceeded revenues, as well as a decrease in Accrued compensation and profit sharing of $39.4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cash provided by investing activities of $13.2 million during the nine months ended September 30, 2025, was driven primarily by the proceeds received of $20.4 million from the sale of an equity method investment, partially offset by the acquisition of Kontora, net of cash acquired of $6.6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Net cash used investing activities of $85.9 million during the nine months ended September 30, 2024, were primarily driven by the deployment of approximately $95.9 million of capital related to the acquisition of EEA, Pointwise, and Envoi.</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Net cash provided by financing activities of $9.5 million during the nine months ended September 30, 2025, primarily resulted from the issuance of additional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Net cash provided by financing activities of $306.7 million for the nine months ended September 30, 2024, primarily resulted from the issuance of common and preferred equity, net of transaction costs paid, partially offset by the net pay down of our credit facility, member distributions, and tax payments associated with settlements of equity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 xml:space="preserve">Contractual Obligations </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As discussed in Note 20 (Commitments and Contingencies) to our condensed</w:t>
      </w:r>
      <w:r>
        <w:rPr>
          <w:color w:val="000000"/>
        </w:rPr>
        <w:t xml:space="preserve"> </w:t>
      </w:r>
      <w:r>
        <w:rPr>
          <w:rFonts w:ascii="Times New Roman;serif" w:hAnsi="Times New Roman;serif"/>
          <w:b w:val="false"/>
          <w:color w:val="000000"/>
          <w:sz w:val="22"/>
        </w:rPr>
        <w:t xml:space="preserve">consolidated financial statements included in this Quarterly Report, we may in the future be required to make payments under the TRA.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September 30, 2025 and December 31, 2024, the liability associated with the TRA was approximately $32.5 million and $28.8 million, respectively. Payments under the TRA that are on account of liabilities arising in connection with the Business Combination will be revalued at the end of each reporting period with the gain or loss recognized in earnings. As of September 30, 2025 and December 31, 2024, the Company carried $10.8 million and $9.4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68" w:before="200" w:after="283"/>
        <w:jc w:val="both"/>
        <w:rPr/>
      </w:pPr>
      <w:r>
        <w:rPr>
          <w:rFonts w:ascii="Times New Roman;serif" w:hAnsi="Times New Roman;serif"/>
          <w:b w:val="false"/>
          <w:color w:val="000000"/>
          <w:sz w:val="22"/>
        </w:rPr>
        <w:t xml:space="preserve">As of September 30, 2025, </w:t>
      </w:r>
      <w:r>
        <w:rPr>
          <w:rFonts w:ascii="Times New Roman;serif" w:hAnsi="Times New Roman;serif"/>
          <w:b w:val="false"/>
          <w:color w:val="000000"/>
          <w:sz w:val="22"/>
          <w:shd w:fill="FFFFFF" w:val="clear"/>
        </w:rPr>
        <w:t>holders of Class B Units have exchanged a total o</w:t>
      </w:r>
      <w:r>
        <w:rPr>
          <w:rFonts w:ascii="Times New Roman;serif" w:hAnsi="Times New Roman;serif"/>
          <w:b w:val="false"/>
          <w:color w:val="000000"/>
          <w:sz w:val="22"/>
        </w:rPr>
        <w:t>f 10,844,400 Class B Paired Interests with the Company, for shares of Class A Common Stock on a 1:1 basis totaling an amount equal to the weighted average price of $5.68 multiplied by the total number of shares of Class A Common Stock received at the time of the transactions.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 of September 30, 2025, assuming no material changes in the relevant tax laws and that the Company generates sufficient taxable income to realize the full tax benefit of the increased amortization resulting from the increase in tax basis of certain of AlTi’s assets, we expect to pay approximately $32.5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Warrants</w:t>
      </w:r>
    </w:p>
    <w:p>
      <w:pPr>
        <w:pStyle w:val="TextBody"/>
        <w:bidi w:val="0"/>
        <w:spacing w:lineRule="auto" w:line="264" w:before="200" w:after="283"/>
        <w:jc w:val="both"/>
        <w:rPr>
          <w:rFonts w:ascii="Times New Roman;serif" w:hAnsi="Times New Roman;serif"/>
          <w:b w:val="false"/>
          <w:color w:val="000000"/>
          <w:sz w:val="22"/>
        </w:rPr>
      </w:pPr>
      <w:r>
        <w:rPr>
          <w:rFonts w:ascii="Times New Roman;serif" w:hAnsi="Times New Roman;serif"/>
          <w:b w:val="false"/>
          <w:color w:val="000000"/>
          <w:sz w:val="22"/>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September 30, 2025, none of the Constellation Warrants have been exercised.</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July 31, 2024, the Company issued the Allianz Warrants to purchase 5,000,000 shares of the Company’s Class A Common Stock. As of September 30, 2025, none of the Allianz Warrants have been exercised.</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w:t>
      </w:r>
    </w:p>
    <w:p>
      <w:pPr>
        <w:pStyle w:val="TextBody"/>
        <w:bidi w:val="0"/>
        <w:spacing w:lineRule="auto" w:line="288" w:before="200" w:after="283"/>
        <w:jc w:val="both"/>
        <w:rPr/>
      </w:pPr>
      <w:r>
        <w:rPr>
          <w:rFonts w:ascii="Times New Roman;serif" w:hAnsi="Times New Roman;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September 30, 2025 and December 31, 2024, the fair value of the earn-out share liability was $11.4 million and $23.8 million, respectively, which is included in Earn-out liabilities, at fair value presented on the Condensed</w:t>
      </w:r>
      <w:r>
        <w:rPr>
          <w:color w:val="000000"/>
        </w:rPr>
        <w:t xml:space="preserve"> </w:t>
      </w:r>
      <w:r>
        <w:rPr>
          <w:rFonts w:ascii="Times New Roman;serif" w:hAnsi="Times New Roman;serif"/>
          <w:b w:val="false"/>
          <w:color w:val="000000"/>
          <w:sz w:val="22"/>
        </w:rPr>
        <w:t>Consolidated Statement of Financial Position. See Note 2 (Summary of Significant Accounting Policies) to our condensed</w:t>
      </w:r>
      <w:r>
        <w:rPr>
          <w:color w:val="000000"/>
        </w:rPr>
        <w:t xml:space="preserve"> </w:t>
      </w:r>
      <w:r>
        <w:rPr>
          <w:rFonts w:ascii="Times New Roman;serif" w:hAnsi="Times New Roman;serif"/>
          <w:b w:val="false"/>
          <w:color w:val="000000"/>
          <w:sz w:val="22"/>
        </w:rPr>
        <w:t>consolidated financial statements included in this Quarterly Report for additional detail.</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East End Advisors Contingent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September 30, 2025 and December 31, 2024, the fair value of the earn-out share liability was $24.2 million and $29.9 million, respectively, which is included in Earn-out liabilities, at fair value presented on the Condensed</w:t>
      </w:r>
      <w:r>
        <w:rPr>
          <w:color w:val="000000"/>
        </w:rPr>
        <w:t xml:space="preserve"> </w:t>
      </w:r>
      <w:r>
        <w:rPr>
          <w:rFonts w:ascii="Times New Roman;serif" w:hAnsi="Times New Roman;serif"/>
          <w:b w:val="false"/>
          <w:color w:val="000000"/>
          <w:sz w:val="22"/>
        </w:rPr>
        <w:t>Consolidated Statement of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w:t>
      </w:r>
      <w:r>
        <w:rPr>
          <w:color w:val="000000"/>
        </w:rPr>
        <w:t xml:space="preserve"> </w:t>
      </w:r>
      <w:r>
        <w:rPr>
          <w:rFonts w:ascii="Times New Roman;serif" w:hAnsi="Times New Roman;serif"/>
          <w:b w:val="false"/>
          <w:color w:val="000000"/>
          <w:sz w:val="22"/>
        </w:rPr>
        <w:t xml:space="preserve">Consolidated Statement of Financial Position. The deferred consideration was paid during the quarter ended March 31, 2025, in cash and equity totaling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September 30, 2025 and December 31, 2024, the Envoi earn-out consideration liability of $7.3 million and $9.6 million, respectively, and the Envoi earn-out growth consideration liability of $1.1 million and $1.3 million, respectively, are included in Earn-out liabilities, at fair value presented on the Condensed</w:t>
      </w:r>
      <w:r>
        <w:rPr>
          <w:color w:val="000000"/>
        </w:rPr>
        <w:t xml:space="preserve"> </w:t>
      </w:r>
      <w:r>
        <w:rPr>
          <w:rFonts w:ascii="Times New Roman;serif" w:hAnsi="Times New Roman;serif"/>
          <w:b w:val="false"/>
          <w:color w:val="000000"/>
          <w:sz w:val="22"/>
        </w:rPr>
        <w:t>Consolidated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Indemnification Arrangements</w:t>
      </w:r>
    </w:p>
    <w:p>
      <w:pPr>
        <w:pStyle w:val="TextBody"/>
        <w:bidi w:val="0"/>
        <w:spacing w:lineRule="auto" w:line="288" w:before="200" w:after="283"/>
        <w:jc w:val="both"/>
        <w:rPr/>
      </w:pPr>
      <w:r>
        <w:rPr>
          <w:rFonts w:ascii="Times New Roman;serif" w:hAnsi="Times New Roman;serif"/>
          <w:b w:val="false"/>
          <w:color w:val="000000"/>
          <w:sz w:val="22"/>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w:t>
      </w:r>
      <w:r>
        <w:rPr>
          <w:color w:val="000000"/>
        </w:rPr>
        <w:t xml:space="preserve"> </w:t>
      </w:r>
      <w:r>
        <w:rPr>
          <w:rFonts w:ascii="Times New Roman;serif" w:hAnsi="Times New Roman;serif"/>
          <w:b w:val="false"/>
          <w:color w:val="000000"/>
          <w:sz w:val="22"/>
        </w:rPr>
        <w:t xml:space="preserve">Consolidated Statement of Financial Position. As of September 30, 2025, the Company has not had prior claims or losses pursuant to these contracts and expects the risk of material loss to be remote.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200" w:after="283"/>
        <w:jc w:val="both"/>
        <w:rPr/>
      </w:pPr>
      <w:r>
        <w:rPr>
          <w:rFonts w:ascii="Times New Roman;serif" w:hAnsi="Times New Roman;serif"/>
          <w:b w:val="false"/>
          <w:color w:val="000000"/>
          <w:sz w:val="22"/>
        </w:rPr>
        <w:t>We prepare our condensed</w:t>
      </w:r>
      <w:r>
        <w:rPr>
          <w:color w:val="000000"/>
        </w:rPr>
        <w:t xml:space="preserve"> </w:t>
      </w:r>
      <w:r>
        <w:rPr>
          <w:rFonts w:ascii="Times New Roman;serif" w:hAnsi="Times New Roman;serif"/>
          <w:b w:val="false"/>
          <w:color w:val="000000"/>
          <w:sz w:val="22"/>
        </w:rPr>
        <w:t>consolidated financial statements in accordance with US GAAP. In applying many of these accounting principles, we need to make assumptions, estimates, and/or judgments that affect the reported amounts of assets, liabilities, revenues, and expenses in our condensed</w:t>
      </w:r>
      <w:r>
        <w:rPr>
          <w:color w:val="000000"/>
        </w:rPr>
        <w:t xml:space="preserve"> </w:t>
      </w:r>
      <w:r>
        <w:rPr>
          <w:rFonts w:ascii="Times New Roman;serif" w:hAnsi="Times New Roman;serif"/>
          <w:b w:val="false"/>
          <w:color w:val="000000"/>
          <w:sz w:val="22"/>
        </w:rPr>
        <w:t>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erif" w:hAnsi="Times New Roman;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condensed</w:t>
      </w:r>
      <w:r>
        <w:rPr>
          <w:color w:val="000000"/>
        </w:rPr>
        <w:t xml:space="preserve"> </w:t>
      </w:r>
      <w:r>
        <w:rPr>
          <w:rFonts w:ascii="Times New Roman;serif" w:hAnsi="Times New Roman;serif"/>
          <w:b w:val="false"/>
          <w:color w:val="000000"/>
          <w:sz w:val="22"/>
        </w:rPr>
        <w:t>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Estimation of Fair Values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Investments at Fair Value – External Strategic Managers:</w:t>
      </w:r>
      <w:r>
        <w:rPr>
          <w:color w:val="000000"/>
        </w:rPr>
        <w:t xml:space="preserve"> </w:t>
      </w:r>
      <w:r>
        <w:rPr>
          <w:rFonts w:ascii="Times New Roman;serif" w:hAnsi="Times New Roman;serif"/>
          <w:b w:val="false"/>
          <w:color w:val="000000"/>
          <w:sz w:val="22"/>
        </w:rPr>
        <w:t xml:space="preserve">The fair values of our Investments in External Strategic Managers were determined using significant unobservable inputs. 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TRA Liability: </w:t>
      </w:r>
      <w:r>
        <w:rPr>
          <w:rFonts w:ascii="Times New Roman;serif" w:hAnsi="Times New Roman;serif"/>
          <w:b w:val="false"/>
          <w:color w:val="000000"/>
          <w:sz w:val="22"/>
        </w:rPr>
        <w:t xml:space="preserve">We carry a portion of our TRA liability at fair value, as it is a contingent consideration related to the Business Combination. The 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However, payments under the TRA are ultimately only made to the extent we realize the offsetting cash savings on our income taxes due to the tax goodwill and other intangibles deduction.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i/>
          <w:color w:val="000000"/>
          <w:sz w:val="22"/>
        </w:rPr>
        <w:t>Earn-out Liabilities:</w:t>
      </w:r>
      <w:r>
        <w:rPr>
          <w:color w:val="000000"/>
        </w:rPr>
        <w:t xml:space="preserve"> </w:t>
      </w:r>
      <w:r>
        <w:rPr>
          <w:rFonts w:ascii="Times New Roman;serif" w:hAnsi="Times New Roman;serif"/>
          <w:b w:val="false"/>
          <w:color w:val="000000"/>
          <w:sz w:val="22"/>
        </w:rPr>
        <w:t>The fair values of our Business Combination Earn-out Securities liability, our EEA earn-out liability, our Envoi earn-out consideration liability, our Envoi earn-out growth consideration liability, and our Kontora earn-out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Equity-based Compensation: </w:t>
      </w:r>
      <w:r>
        <w:rPr>
          <w:rFonts w:ascii="Times New Roman;serif" w:hAnsi="Times New Roman;serif"/>
          <w:b w:val="false"/>
          <w:color w:val="000000"/>
          <w:sz w:val="22"/>
        </w:rPr>
        <w:t xml:space="preserve">The Company issued stock grants to certain employees as bonus compensation. The fair value of the grants was determined based on the share price on the date of issuance.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Fair Value of Assets Acquired and Liabilities Assumed in Business Combinations: </w:t>
      </w:r>
      <w:r>
        <w:rPr>
          <w:rFonts w:ascii="Times New Roman;serif" w:hAnsi="Times New Roman;serif"/>
          <w:b w:val="false"/>
          <w:color w:val="000000"/>
          <w:sz w:val="22"/>
        </w:rPr>
        <w:t>The determination of the fair values of assets acquired and liabilities assumed in business 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Fair Value of Reporting Units for Goodwill Impairment Testing: </w:t>
      </w:r>
      <w:r>
        <w:rPr>
          <w:rFonts w:ascii="Times New Roman;serif" w:hAnsi="Times New Roman;serif"/>
          <w:b w:val="false"/>
          <w:color w:val="000000"/>
          <w:sz w:val="22"/>
        </w:rPr>
        <w:t>In assessing goodwill impairment, we determine the fair value of reporting units using established valuation 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br/>
        <w:b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Fair Value of the Allianz Tranche Right:</w:t>
      </w:r>
      <w:r>
        <w:rPr>
          <w:color w:val="000000"/>
        </w:rPr>
        <w:t xml:space="preserve"> </w:t>
      </w:r>
      <w:r>
        <w:rPr>
          <w:rFonts w:ascii="Times New Roman;serif" w:hAnsi="Times New Roman;serif"/>
          <w:b w:val="false"/>
          <w:color w:val="000000"/>
          <w:sz w:val="22"/>
        </w:rPr>
        <w:t xml:space="preserve">The fair value of the Allianz Tranche Right uses various significant unobservable inputs and is determined by using the binomial lattice model. The assumptions used could have a material impact on the valuation of this liability and include our best estimate of expected volatility, expected holding periods, and appropriate discounts for lack of marketability. Changes in the estimated fair value of this liability may have a material impact on our results of operations in any given period, as any increase in this liability has a corresponding negative impact on our US GAAP results of operations in the period in which the changes occur.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Income Taxes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pStyle w:val="TextBody"/>
        <w:bidi w:val="0"/>
        <w:spacing w:lineRule="auto" w:line="288" w:before="200" w:after="283"/>
        <w:jc w:val="both"/>
        <w:rPr/>
      </w:pPr>
      <w:r>
        <w:rPr>
          <w:rFonts w:ascii="Times New Roman;serif" w:hAnsi="Times New Roman;serif"/>
          <w:b w:val="false"/>
          <w:color w:val="000000"/>
          <w:sz w:val="22"/>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Variable Interest Entities</w:t>
      </w:r>
    </w:p>
    <w:p>
      <w:pPr>
        <w:pStyle w:val="TextBody"/>
        <w:bidi w:val="0"/>
        <w:spacing w:lineRule="auto" w:line="288" w:before="200" w:after="283"/>
        <w:jc w:val="both"/>
        <w:rPr/>
      </w:pPr>
      <w:r>
        <w:rPr>
          <w:rFonts w:ascii="Times New Roman;serif" w:hAnsi="Times New Roman;serif"/>
          <w:b w:val="false"/>
          <w:color w:val="000000"/>
          <w:sz w:val="22"/>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judgment when analyzing the status of an entity and whether we consolidate an entity could have a material impact on individual line items within our condensed</w:t>
      </w:r>
      <w:r>
        <w:rPr>
          <w:color w:val="000000"/>
        </w:rPr>
        <w:t xml:space="preserve"> </w:t>
      </w:r>
      <w:r>
        <w:rPr>
          <w:rFonts w:ascii="Times New Roman;serif" w:hAnsi="Times New Roman;serif"/>
          <w:b w:val="false"/>
          <w:color w:val="000000"/>
          <w:sz w:val="22"/>
        </w:rPr>
        <w:t>consolidated financial statements, as a change in our conclusion would have the effect of grossing up the assets, liabilities, revenues and expenses of the entity being evaluated. In light of the relatively insignificant direct and indirect investments into our products, the likelihood of a reasonable change in our estimation and judgment would likely not result in a change in our conclusions to consolidate or not consolidate any VIEs to which we have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Impact of Changes in Accounting on Recent and Future Trends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considered all newly issued accounting guidance that is applicable to its operations and the preparation of its unaudited condensed consolidated statements, including those it has not yet adopted. We believe that none of the changes to US GAAP that went into effect during the nine months ended September 30, 2025, or that have been issued but that we have not yet adopted have substantively impacted our recent trends or are expected to substantively impact our future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as a wealth management advisor, we are exposed to a broad range of risks inherent in the financial markets in which we participate, including market risk, credit and counterparty risk, liquidity risk, and exchange rate risk.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Market Risk</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Credit Risk and Counterparty Risk</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Liquidity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See the disclosures contained in “Management’s Discussion and Analysis of Financial Condition and Results of Operations of AlTi Global, Inc. – Liquidity and Capital Resources” for a discussion of our liquidity risk.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Exchange Rate Risk</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We and our funds hold investments that are denominated in foreign currencies that may be affected by movements in the rate of exchange between those currencies and the U.S. dollar. Movements in the exchange rate between currencies impact the management fees, carried interest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September 30, 2025.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September 30, 2025, our disclosure controls and procedures were not effective due to material weaknesses in internal control over financial reporting, as further described below in Changes in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previously disclosed in Part II, Item 9A of our Annual Report,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remediation efforts, but as of September 30, 2025, has not completed its testing plan to determine the effectiveness of controls that support our financial statements and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has implemented a remediation plan to address the material weaknesses in our internal control over financial reporting, including, among other things, hiring additional accounting personnel, completing its efforts to design and implement process level and management review controls, and sufficiently documenting and implementing policies to provide reasonable assurance that financial statement disclosures are complete and accurate and identify and address emerging risks.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nine months ended September 30, 2025 and the year ended 2024, management has made meaningful progress in enhancing its internal control over financial reporting. This progress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Management has designed and implemented risk assessment review processes (gap analysis) that are intended to identify risks that could result, if not detected timely, in material misstatements in our consolidated financial statements. Management believes that such review risk assessment processes have been effectively implemented as of December 31,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Management has identified and documented processes supporting the recording of balances and transactions in the Company’s consolidated financial statements and identified and documented controls that are intended to mitigate the risk of material misstatement in account balances and financial statement disclosures. The Company completed the exercise of documenting controls during the first fiscal quarter of 2025 and began tests of design and operating effectiveness of certain controls during the second and third fiscal quarters of 2025. The Company intends to continue tests of design and operating effectiveness of certain controls during the fourth fiscal quarter of 2025. The Company’s overall objective is that such testing of operating effectiveness of controls will continue throughout 2025 to allow the Company to remediate previously identified material weaknesses in its internal control over financial reporting specifically related to process level controls.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Management has identified and documented information technology controls related to the Company’s general information technology control environment that mitigates risks associated with items including systems development and change management, appropriate access to systems, and management of the Company’s internal financial and third-party customer data. The Company completed the exercise of documenting controls during the second fiscal quarter of 2025 and began tests of design and operating effectiveness of certain controls during the second and third fiscal quarters of 2025. The Company intends to continue tests of design and operating effectiveness of certain information technology controls during the fourth fiscal quarter of 2025. The Company’s overall objective is that such testing of operating effectiveness of controls will continue throughout 2025 to allow the Company to remediate previously identified material weaknesses in its internal control over financial reporting specifically related to information technology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Based on the progress made during the nine months ended September 30, 2025 and the year ended 2024 in completing its remediation plan, management believes that the previously identified material weakness related to the lack of sufficiently documented risk assessments has been remediated. The previously identified material weaknesses related to process level controls and information technology controls that support our financial statements and reporting remain as of September 30, 2025 and are expected to remain until such time as management has successfully completed sufficient tests of design and operating effectiveness on these controls to allow it to conclude that such controls are effective and that the material weaknesses have been remediated.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Going forward we expect to incur additional material costs to complete the remediation plan, including costs incurred by our external auditor to assess whether all material weaknesses have been remediated. We can give no assurance that such efforts will remediate these deficiencies in internal control over financial reporting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was no change in our internal control over financial reporting that occurred during the nine months ended September 30, 2025, covered by this Quarterly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20 (Commitments and Contingencies) there are no material legal or regulatory proceedings currently pending or threatened against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in the risk factors described in Part I, Item 1A “Risk Factors”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2"/>
        </w:rPr>
      </w:pPr>
      <w:r>
        <w:rPr>
          <w:rFonts w:ascii="Times New Roman;serif" w:hAnsi="Times New Roman;serif"/>
          <w:b w:val="false"/>
          <w:color w:val="231F2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None.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 None.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 During the quarter ended September 30, 2025, no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7"/>
        <w:gridCol w:w="392"/>
        <w:gridCol w:w="395"/>
        <w:gridCol w:w="2620"/>
        <w:gridCol w:w="2620"/>
        <w:gridCol w:w="3731"/>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Exhibit Number</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Description</w:t>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alti-093025x10xqexhibit311.htm">
              <w:r>
                <w:rPr>
                  <w:rStyle w:val="InternetLink"/>
                  <w:rFonts w:ascii="Times New Roman;serif" w:hAnsi="Times New Roman;serif"/>
                  <w:b w:val="false"/>
                  <w:color w:val="0000FF"/>
                  <w:sz w:val="22"/>
                  <w:u w:val="single"/>
                </w:rPr>
                <w:t>Certification of Principal Executive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93025x10xqexhibit312.htm">
              <w:r>
                <w:rPr>
                  <w:rStyle w:val="InternetLink"/>
                  <w:rFonts w:ascii="Times New Roman;serif" w:hAnsi="Times New Roman;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32.1**</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93025x10xqexhibit321.htm">
              <w:r>
                <w:rPr>
                  <w:rStyle w:val="InternetLink"/>
                  <w:rFonts w:ascii="Times New Roman;serif" w:hAnsi="Times New Roman;serif"/>
                  <w:b w:val="false"/>
                  <w:color w:val="0000FF"/>
                  <w:sz w:val="22"/>
                  <w:u w:val="single"/>
                </w:rPr>
                <w:t>Certification of Principal Executive Officer Pursuant to 18 U.S.C. Section 1350, as Adopted Pursuant to Section 906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93025x10xqexhibit322.htm">
              <w:r>
                <w:rPr>
                  <w:rStyle w:val="InternetLink"/>
                  <w:rFonts w:ascii="Times New Roman;serif" w:hAnsi="Times New Roman;serif"/>
                  <w:b w:val="false"/>
                  <w:color w:val="0000FF"/>
                  <w:sz w:val="22"/>
                  <w:u w:val="single"/>
                </w:rPr>
                <w:t>Certification of Principal Financial Officer Pursuant to 18 U.S.C. Section 1350, as Adopted Pursuant to Section 906 of the Sarbanes-Oxley Act of 2002.</w:t>
              </w:r>
            </w:hyperlink>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Indicates a management contract or compensatory plan.</w:t>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68" w:before="3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as amended, the registrant has duly caused this report to be signed on its behalf by the undersigned thereunto duly authorized. </w:t>
      </w:r>
    </w:p>
    <w:tbl>
      <w:tblPr>
        <w:tblW w:w="5999"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984"/>
        <w:gridCol w:w="984"/>
        <w:gridCol w:w="98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Michael W. Harrington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Accounting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Michael Tiedemann,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November 12, 2025</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Michael Tiedemann </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Michael Tiedemann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Michael W. Harrington,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November 12, 2025</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of AlTi Global, Inc. (the “Company”) on Form 10-Q for the quarterly period ended September 30, 2025, as filed with the Securities and Exchange Commission (the “Report”), I, Michael Tiedemann,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Dated: November 12, 2025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Tiedemann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of AlTi Global, Inc. (the “Company”) on Form 10-Q for the quarterly period ended September 30, 2025, as filed with the Securities and Exchange Commission (the “Report”), I, Michael W. Harrington,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November 12, 2025</w:t>
      </w:r>
    </w:p>
    <w:tbl>
      <w:tblPr>
        <w:tblW w:w="2430" w:type="dxa"/>
        <w:jc w:val="left"/>
        <w:tblInd w:w="0" w:type="dxa"/>
        <w:tblLayout w:type="fixed"/>
        <w:tblCellMar>
          <w:top w:w="28" w:type="dxa"/>
          <w:left w:w="28" w:type="dxa"/>
          <w:bottom w:w="28" w:type="dxa"/>
          <w:right w:w="28" w:type="dxa"/>
        </w:tblCellMar>
      </w:tblPr>
      <w:tblGrid>
        <w:gridCol w:w="777"/>
        <w:gridCol w:w="684"/>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50990</Words>
  <Characters>286950</Characters>
  <CharactersWithSpaces>335053</CharactersWithSpaces>
  <Paragraphs>6002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