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391795</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416560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4" w:lineRule="exact"/>
        <w:rPr>
          <w:sz w:val="24"/>
          <w:szCs w:val="24"/>
          <w:color w:val="auto"/>
        </w:rPr>
      </w:pPr>
    </w:p>
    <w:p>
      <w:pPr>
        <w:ind w:left="360" w:hanging="341"/>
        <w:spacing w:after="0"/>
        <w:tabs>
          <w:tab w:leader="none" w:pos="36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1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1" w:lineRule="exact"/>
        <w:rPr>
          <w:sz w:val="24"/>
          <w:szCs w:val="24"/>
          <w:color w:val="auto"/>
        </w:rPr>
      </w:pPr>
    </w:p>
    <w:p>
      <w:pPr>
        <w:ind w:left="360" w:hanging="341"/>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 to _________</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001-40103</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AlTi Global, Inc.</w:t>
      </w:r>
    </w:p>
    <w:p>
      <w:pPr>
        <w:spacing w:after="0" w:line="1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174" w:lineRule="exact"/>
        <w:rPr>
          <w:sz w:val="24"/>
          <w:szCs w:val="24"/>
          <w:color w:val="auto"/>
        </w:rPr>
      </w:pPr>
    </w:p>
    <w:p>
      <w:pPr>
        <w:ind w:left="2500"/>
        <w:spacing w:after="0"/>
        <w:tabs>
          <w:tab w:leader="none" w:pos="800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92-1552220</w:t>
      </w:r>
    </w:p>
    <w:p>
      <w:pPr>
        <w:spacing w:after="0" w:line="63" w:lineRule="exact"/>
        <w:rPr>
          <w:sz w:val="24"/>
          <w:szCs w:val="24"/>
          <w:color w:val="auto"/>
        </w:rPr>
      </w:pPr>
    </w:p>
    <w:p>
      <w:pPr>
        <w:ind w:left="800"/>
        <w:spacing w:after="0"/>
        <w:tabs>
          <w:tab w:leader="none" w:pos="720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6"/>
          <w:szCs w:val="16"/>
          <w:color w:val="auto"/>
        </w:rPr>
        <w:t>(I.R.S. Employer Identification No.)</w:t>
      </w:r>
    </w:p>
    <w:p>
      <w:pPr>
        <w:spacing w:after="0" w:line="102" w:lineRule="exact"/>
        <w:rPr>
          <w:sz w:val="24"/>
          <w:szCs w:val="24"/>
          <w:color w:val="auto"/>
        </w:rPr>
      </w:pPr>
    </w:p>
    <w:tbl>
      <w:tblPr>
        <w:tblLayout w:type="fixed"/>
        <w:tblInd w:w="640" w:type="dxa"/>
        <w:tblCellMar>
          <w:top w:w="0" w:type="dxa"/>
          <w:left w:w="0" w:type="dxa"/>
          <w:bottom w:w="0" w:type="dxa"/>
          <w:right w:w="0" w:type="dxa"/>
        </w:tblCellMar>
      </w:tblPr>
      <w:tr>
        <w:trPr>
          <w:trHeight w:val="246"/>
        </w:trPr>
        <w:tc>
          <w:tcPr>
            <w:tcW w:w="5900" w:type="dxa"/>
            <w:vAlign w:val="bottom"/>
          </w:tcPr>
          <w:p>
            <w:pPr>
              <w:jc w:val="center"/>
              <w:ind w:right="1451"/>
              <w:spacing w:after="0"/>
              <w:rPr>
                <w:sz w:val="20"/>
                <w:szCs w:val="20"/>
                <w:color w:val="auto"/>
              </w:rPr>
            </w:pPr>
            <w:r>
              <w:rPr>
                <w:rFonts w:ascii="Times New Roman" w:cs="Times New Roman" w:eastAsia="Times New Roman" w:hAnsi="Times New Roman"/>
                <w:sz w:val="19"/>
                <w:szCs w:val="19"/>
                <w:b w:val="1"/>
                <w:bCs w:val="1"/>
                <w:color w:val="auto"/>
                <w:w w:val="96"/>
              </w:rPr>
              <w:t>22 Vanderbilt Avenue, 27th Floor New York</w:t>
            </w:r>
            <w:r>
              <w:rPr>
                <w:rFonts w:ascii="Times New Roman" w:cs="Times New Roman" w:eastAsia="Times New Roman" w:hAnsi="Times New Roman"/>
                <w:sz w:val="16"/>
                <w:szCs w:val="16"/>
                <w:b w:val="1"/>
                <w:bCs w:val="1"/>
                <w:color w:val="auto"/>
                <w:w w:val="96"/>
              </w:rPr>
              <w:t>,</w:t>
            </w:r>
            <w:r>
              <w:rPr>
                <w:rFonts w:ascii="Times New Roman" w:cs="Times New Roman" w:eastAsia="Times New Roman" w:hAnsi="Times New Roman"/>
                <w:sz w:val="19"/>
                <w:szCs w:val="19"/>
                <w:b w:val="1"/>
                <w:bCs w:val="1"/>
                <w:color w:val="auto"/>
                <w:w w:val="96"/>
              </w:rPr>
              <w:t xml:space="preserve"> New York</w:t>
            </w:r>
          </w:p>
        </w:tc>
        <w:tc>
          <w:tcPr>
            <w:tcW w:w="230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10017</w:t>
            </w:r>
          </w:p>
        </w:tc>
      </w:tr>
      <w:tr>
        <w:trPr>
          <w:trHeight w:val="261"/>
        </w:trPr>
        <w:tc>
          <w:tcPr>
            <w:tcW w:w="5900" w:type="dxa"/>
            <w:vAlign w:val="bottom"/>
          </w:tcPr>
          <w:p>
            <w:pPr>
              <w:jc w:val="center"/>
              <w:ind w:right="1411"/>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2300" w:type="dxa"/>
            <w:vAlign w:val="bottom"/>
          </w:tcPr>
          <w:p>
            <w:pPr>
              <w:jc w:val="center"/>
              <w:ind w:left="1455"/>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(212) 396-5900</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41"/>
        </w:trPr>
        <w:tc>
          <w:tcPr>
            <w:tcW w:w="4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6"/>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r>
        <w:trPr>
          <w:trHeight w:val="221"/>
        </w:trPr>
        <w:tc>
          <w:tcPr>
            <w:tcW w:w="4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Class A common stock, par value $0.0001 per share</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ALTI</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Nasdaq Capital Market</w:t>
            </w:r>
          </w:p>
        </w:tc>
      </w:tr>
      <w:tr>
        <w:trPr>
          <w:trHeight w:val="26"/>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62" w:lineRule="exact"/>
        <w:rPr>
          <w:sz w:val="24"/>
          <w:szCs w:val="24"/>
          <w:color w:val="auto"/>
        </w:rPr>
      </w:pPr>
    </w:p>
    <w:p>
      <w:pPr>
        <w:jc w:val="both"/>
        <w:ind w:right="100"/>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right="2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5" w:lineRule="exact"/>
        <w:rPr>
          <w:sz w:val="24"/>
          <w:szCs w:val="24"/>
          <w:color w:val="auto"/>
        </w:rPr>
      </w:pPr>
    </w:p>
    <w:p>
      <w:pPr>
        <w:ind w:right="100"/>
        <w:spacing w:after="0" w:line="24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Accelerated filer</w:t>
            </w:r>
          </w:p>
        </w:tc>
        <w:tc>
          <w:tcPr>
            <w:tcW w:w="176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20" w:type="dxa"/>
            <w:vAlign w:val="bottom"/>
          </w:tcPr>
          <w:p>
            <w:pPr>
              <w:ind w:left="176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76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Emerging growth company</w:t>
            </w:r>
          </w:p>
        </w:tc>
        <w:tc>
          <w:tcPr>
            <w:tcW w:w="176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3" w:lineRule="exact"/>
        <w:rPr>
          <w:sz w:val="24"/>
          <w:szCs w:val="24"/>
          <w:color w:val="auto"/>
        </w:rPr>
      </w:pPr>
    </w:p>
    <w:p>
      <w:pPr>
        <w:ind w:right="10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8" w:lineRule="exact"/>
        <w:rPr>
          <w:sz w:val="24"/>
          <w:szCs w:val="24"/>
          <w:color w:val="auto"/>
        </w:rPr>
      </w:pPr>
    </w:p>
    <w:p>
      <w:pPr>
        <w:ind w:right="460"/>
        <w:spacing w:after="0" w:line="279" w:lineRule="auto"/>
        <w:rPr>
          <w:sz w:val="20"/>
          <w:szCs w:val="20"/>
          <w:color w:val="auto"/>
        </w:rPr>
      </w:pPr>
      <w:r>
        <w:rPr>
          <w:rFonts w:ascii="Times New Roman" w:cs="Times New Roman" w:eastAsia="Times New Roman" w:hAnsi="Times New Roman"/>
          <w:sz w:val="17"/>
          <w:szCs w:val="17"/>
          <w:color w:val="auto"/>
        </w:rPr>
        <w:t>The registrant had outstanding 101,543,149 shares of Class A Common Stock (as defined herein) and 45,110,224 shares of Class B Common Stock (as defined herein) as of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101600</wp:posOffset>
            </wp:positionV>
            <wp:extent cx="7139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60"/>
          </w:cols>
          <w:pgMar w:left="320" w:top="221"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60"/>
          </w:cols>
          <w:pgMar w:left="320" w:top="221"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9680" w:type="dxa"/>
            <w:vAlign w:val="bottom"/>
            <w:gridSpan w:val="2"/>
          </w:tcPr>
          <w:p>
            <w:pPr>
              <w:spacing w:after="0"/>
              <w:rPr>
                <w:sz w:val="20"/>
                <w:szCs w:val="20"/>
                <w:color w:val="auto"/>
              </w:rPr>
            </w:pPr>
            <w:r>
              <w:rPr>
                <w:rFonts w:ascii="Times New Roman" w:cs="Times New Roman" w:eastAsia="Times New Roman" w:hAnsi="Times New Roman"/>
                <w:sz w:val="19"/>
                <w:szCs w:val="19"/>
                <w:color w:val="0000FF"/>
              </w:rPr>
              <w:t>Table of Contents</w:t>
            </w:r>
          </w:p>
        </w:tc>
        <w:tc>
          <w:tcPr>
            <w:tcW w:w="1560" w:type="dxa"/>
            <w:vAlign w:val="bottom"/>
          </w:tcPr>
          <w:p>
            <w:pPr>
              <w:spacing w:after="0"/>
              <w:rPr>
                <w:sz w:val="18"/>
                <w:szCs w:val="18"/>
                <w:color w:val="auto"/>
              </w:rPr>
            </w:pPr>
          </w:p>
        </w:tc>
      </w:tr>
      <w:tr>
        <w:trPr>
          <w:trHeight w:val="20"/>
        </w:trPr>
        <w:tc>
          <w:tcPr>
            <w:tcW w:w="1320" w:type="dxa"/>
            <w:vAlign w:val="bottom"/>
            <w:shd w:val="clear" w:color="auto" w:fill="0000FF"/>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953"/>
        </w:trPr>
        <w:tc>
          <w:tcPr>
            <w:tcW w:w="96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Table of Contents</w:t>
            </w:r>
          </w:p>
        </w:tc>
        <w:tc>
          <w:tcPr>
            <w:tcW w:w="1560" w:type="dxa"/>
            <w:vAlign w:val="bottom"/>
          </w:tcPr>
          <w:p>
            <w:pPr>
              <w:spacing w:after="0"/>
              <w:rPr>
                <w:sz w:val="24"/>
                <w:szCs w:val="24"/>
                <w:color w:val="auto"/>
              </w:rPr>
            </w:pPr>
          </w:p>
        </w:tc>
      </w:tr>
      <w:tr>
        <w:trPr>
          <w:trHeight w:val="446"/>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Part I Financial Information</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8</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1. Financial Statements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8</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Condensed Consolidated Statement of Financial Position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9</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Condensed Consolidated Statement of Operations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Condensed Consolidated Statement of Comprehensive Income (Loss)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11</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Condensed Consolidated Statement of Changes in Mezzanine Equity and Shareholders’ Equity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12</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Condensed Consolidated Statement of Cash Flows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16</w:t>
            </w:r>
          </w:p>
        </w:tc>
      </w:tr>
      <w:tr>
        <w:trPr>
          <w:trHeight w:val="369"/>
        </w:trPr>
        <w:tc>
          <w:tcPr>
            <w:tcW w:w="9680" w:type="dxa"/>
            <w:vAlign w:val="bottom"/>
            <w:gridSpan w:val="2"/>
          </w:tcPr>
          <w:p>
            <w:pPr>
              <w:ind w:left="640"/>
              <w:spacing w:after="0"/>
              <w:rPr>
                <w:sz w:val="20"/>
                <w:szCs w:val="20"/>
                <w:color w:val="auto"/>
              </w:rPr>
            </w:pPr>
            <w:r>
              <w:rPr>
                <w:rFonts w:ascii="Times New Roman" w:cs="Times New Roman" w:eastAsia="Times New Roman" w:hAnsi="Times New Roman"/>
                <w:sz w:val="19"/>
                <w:szCs w:val="19"/>
                <w:color w:val="auto"/>
              </w:rPr>
              <w:t>Notes to Condensed Consolidated Financial Statements (Unaudited)</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18</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2. Management’s Discussion and Analysis of Financial Condition and Results of Operations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82</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3. Quantitative and Qualitative Disclosures about Market Risk</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103</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4. Controls and Procedures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104</w:t>
            </w:r>
          </w:p>
        </w:tc>
      </w:tr>
      <w:tr>
        <w:trPr>
          <w:trHeight w:val="36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Part II Other Information</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1. Legal Proceedings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1A. Risk Factors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2. Unregistered Sales of Equity Securities and Use of Proceeds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3. Defaults Upon Senior Securities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4. Mine Safety Disclosures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5. Other Information</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107</w:t>
            </w:r>
          </w:p>
        </w:tc>
      </w:tr>
      <w:tr>
        <w:trPr>
          <w:trHeight w:val="36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Item 6. Exhibits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108</w:t>
            </w:r>
          </w:p>
        </w:tc>
      </w:tr>
      <w:tr>
        <w:trPr>
          <w:trHeight w:val="36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Signatures</w:t>
            </w:r>
          </w:p>
        </w:tc>
        <w:tc>
          <w:tcPr>
            <w:tcW w:w="1560" w:type="dxa"/>
            <w:vAlign w:val="bottom"/>
          </w:tcPr>
          <w:p>
            <w:pPr>
              <w:ind w:left="1020"/>
              <w:spacing w:after="0"/>
              <w:rPr>
                <w:sz w:val="20"/>
                <w:szCs w:val="20"/>
                <w:color w:val="auto"/>
              </w:rPr>
            </w:pPr>
            <w:r>
              <w:rPr>
                <w:rFonts w:ascii="Times New Roman" w:cs="Times New Roman" w:eastAsia="Times New Roman" w:hAnsi="Times New Roman"/>
                <w:sz w:val="19"/>
                <w:szCs w:val="19"/>
                <w:color w:val="auto"/>
              </w:rPr>
              <w:t>109</w:t>
            </w:r>
          </w:p>
        </w:tc>
      </w:tr>
      <w:tr>
        <w:trPr>
          <w:trHeight w:val="879"/>
        </w:trPr>
        <w:tc>
          <w:tcPr>
            <w:tcW w:w="9680" w:type="dxa"/>
            <w:vAlign w:val="bottom"/>
            <w:gridSpan w:val="2"/>
          </w:tcPr>
          <w:p>
            <w:pPr>
              <w:ind w:left="5580"/>
              <w:spacing w:after="0"/>
              <w:rPr>
                <w:sz w:val="20"/>
                <w:szCs w:val="20"/>
                <w:color w:val="auto"/>
              </w:rPr>
            </w:pPr>
            <w:r>
              <w:rPr>
                <w:rFonts w:ascii="Times New Roman" w:cs="Times New Roman" w:eastAsia="Times New Roman" w:hAnsi="Times New Roman"/>
                <w:sz w:val="19"/>
                <w:szCs w:val="19"/>
                <w:color w:val="auto"/>
              </w:rPr>
              <w:t>2</w:t>
            </w:r>
          </w:p>
        </w:tc>
        <w:tc>
          <w:tcPr>
            <w:tcW w:w="1560" w:type="dxa"/>
            <w:vAlign w:val="bottom"/>
          </w:tcPr>
          <w:p>
            <w:pPr>
              <w:spacing w:after="0"/>
              <w:rPr>
                <w:sz w:val="24"/>
                <w:szCs w:val="24"/>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83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-27940</wp:posOffset>
            </wp:positionV>
            <wp:extent cx="3365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-27940</wp:posOffset>
            </wp:positionV>
            <wp:extent cx="3365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Defined Terms</w:t>
      </w:r>
    </w:p>
    <w:p>
      <w:pPr>
        <w:spacing w:after="0" w:line="2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Capitalized terms used herein but not otherwise defined herein shall have the respective meanings ascribed to them in the Amended and Restated Business Combination Agreement, a copy of which is attached as Exhibit 2.1 to our Annual Report on Form 10-K filed March 17, 2025 (the “Annual Report”).</w:t>
      </w:r>
    </w:p>
    <w:p>
      <w:pPr>
        <w:spacing w:after="0" w:line="208" w:lineRule="exact"/>
        <w:rPr>
          <w:sz w:val="20"/>
          <w:szCs w:val="20"/>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“AFM UK” means Alvarium Fund Managers (UK) Limited, an English private limited company.</w:t>
      </w:r>
    </w:p>
    <w:p>
      <w:pPr>
        <w:spacing w:after="0" w:line="22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“AHRA” means Alvarium Home REIT Advisors Limited, an English private limited company.</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“Allianz” means Allianz Strategic Investments S.à.r.l., a Luxembourg private limited liability company.</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“AlTi” or “Successor” means AlTi Global, Inc., together with its consolidated subsidiaries.</w:t>
      </w:r>
    </w:p>
    <w:p>
      <w:pPr>
        <w:spacing w:after="0" w:line="176"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“Alvarium” means AlTi Asset Management Holdings 2 Limited, formerly known as Alvarium Investments Limited, an English private limited company.</w:t>
      </w:r>
    </w:p>
    <w:p>
      <w:pPr>
        <w:spacing w:after="0" w:line="130"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“Alvarium Shareholders” means the shareholders of Alvarium.</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“ALWP” means AlTi Wealth Management (Singapore) Pte Limited.</w:t>
      </w:r>
    </w:p>
    <w:p>
      <w:pPr>
        <w:spacing w:after="0" w:line="22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“ARE” means AlTi RE Limited, formerly known as Alvarium RE Limited, an English private limited company.</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“AUA” means assets under advisement.</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“AUM” means assets under management.</w:t>
      </w:r>
    </w:p>
    <w:p>
      <w:pPr>
        <w:spacing w:after="0" w:line="22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“AWMS” means Alvarium Investment Managers (Suisse) SA.</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Combination” means the transactions contemplated by the Business Combination Agreement.</w:t>
      </w:r>
    </w:p>
    <w:p>
      <w:pPr>
        <w:spacing w:after="0" w:line="176"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Combination Agreement” means the Amended and Restated Business Combination Agreement, dated as of October 25, 2022, by and among Cartesian, Umbrella Merger Sub, TWMH, TIG GP, TIG MGMT, Alvarium and Umbrella.</w:t>
      </w:r>
    </w:p>
    <w:p>
      <w:pPr>
        <w:spacing w:after="0" w:line="206" w:lineRule="exact"/>
        <w:rPr>
          <w:rFonts w:ascii="Times New Roman" w:cs="Times New Roman" w:eastAsia="Times New Roman" w:hAnsi="Times New Roman"/>
          <w:sz w:val="19"/>
          <w:szCs w:val="19"/>
          <w:color w:val="auto"/>
        </w:rPr>
      </w:pPr>
    </w:p>
    <w:p>
      <w:pPr>
        <w:ind w:left="620" w:right="140" w:hanging="313"/>
        <w:spacing w:after="0" w:line="238" w:lineRule="auto"/>
        <w:tabs>
          <w:tab w:leader="none" w:pos="61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9"/>
          <w:szCs w:val="19"/>
          <w:color w:val="auto"/>
        </w:rPr>
        <w:t>“Business Combination Earn-out” means the Sponsor and the selling shareholders of TWMH, TIG, and Alvarium became entitled to receive earn-out shares contingent on various share price milestones for up to five years following the Closing under the terms of the Business Combination Agreement.</w:t>
      </w:r>
    </w:p>
    <w:p>
      <w:pPr>
        <w:spacing w:after="0" w:line="140" w:lineRule="exact"/>
        <w:rPr>
          <w:rFonts w:ascii="Arial" w:cs="Arial" w:eastAsia="Arial" w:hAnsi="Arial"/>
          <w:sz w:val="20"/>
          <w:szCs w:val="20"/>
          <w:color w:val="auto"/>
        </w:rPr>
      </w:pPr>
    </w:p>
    <w:p>
      <w:pPr>
        <w:jc w:val="both"/>
        <w:ind w:left="620" w:hanging="313"/>
        <w:spacing w:after="0" w:line="257"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spacing w:after="0" w:line="138"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“Cartesian” means Cartesian Growth Corporation, a Cayman Islands exempted company, prior to the Business Combination.</w:t>
      </w:r>
    </w:p>
    <w:p>
      <w:pPr>
        <w:spacing w:after="0" w:line="176" w:lineRule="exact"/>
        <w:rPr>
          <w:rFonts w:ascii="Times New Roman" w:cs="Times New Roman" w:eastAsia="Times New Roman" w:hAnsi="Times New Roman"/>
          <w:sz w:val="19"/>
          <w:szCs w:val="19"/>
          <w:color w:val="auto"/>
        </w:rPr>
      </w:pPr>
    </w:p>
    <w:p>
      <w:pPr>
        <w:ind w:left="620" w:hanging="313"/>
        <w:spacing w:after="0" w:line="278"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“Cayman Islands Companies Act” means the Cayman Islands Companies Act (as revised) of the Cayman Islands, as the same may be amended from time to time.</w:t>
      </w:r>
    </w:p>
    <w:p>
      <w:pPr>
        <w:spacing w:after="0" w:line="117"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A Common Stock” means the Class A Common Stock, par value $0.0001 per share, of the Company, including any shares of such Class A Common Stock issuable upon the exercise of any warrant or other right to acquire shares of such Class A Common Stock.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20" w:hanging="313"/>
        <w:spacing w:after="0" w:line="278"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B Common Stock” means the Class B Common Stock, par value $0.0001 per share, of the Company, including any shares of such Class B Common Stock issuable upon the exercise of any warrant or other right to acquire shares of such Class B Common Stock.</w:t>
      </w:r>
    </w:p>
    <w:p>
      <w:pPr>
        <w:spacing w:after="0" w:line="14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9"/>
          <w:szCs w:val="19"/>
          <w:color w:val="auto"/>
        </w:rPr>
        <w:t>“Class B Paired Interest” means a Class B Unit together with a share of Class B Common Stock.</w:t>
      </w:r>
    </w:p>
    <w:p>
      <w:pPr>
        <w:spacing w:after="0" w:line="164" w:lineRule="exact"/>
        <w:rPr>
          <w:rFonts w:ascii="Arial" w:cs="Arial" w:eastAsia="Arial" w:hAnsi="Arial"/>
          <w:sz w:val="20"/>
          <w:szCs w:val="20"/>
          <w:color w:val="auto"/>
        </w:rPr>
      </w:pPr>
    </w:p>
    <w:p>
      <w:pPr>
        <w:ind w:left="620" w:hanging="313"/>
        <w:spacing w:after="0" w:line="264"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B Units” means the limited liability company interests in Umbrella designated as Class B Common Units in the Umbrella LLC Agreement.</w:t>
      </w:r>
    </w:p>
    <w:p>
      <w:pPr>
        <w:spacing w:after="0" w:line="130"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“Closing” means the closing of the Business Combination.</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“Closing Date” means January 3, 2023, the date on which the Closing occurred.</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“Common Stock” refers to shares of the Class A Common Stock and the Class B Common Stock, collectively.</w:t>
      </w:r>
    </w:p>
    <w:p>
      <w:pPr>
        <w:spacing w:after="0" w:line="176" w:lineRule="exact"/>
        <w:rPr>
          <w:rFonts w:ascii="Times New Roman" w:cs="Times New Roman" w:eastAsia="Times New Roman" w:hAnsi="Times New Roman"/>
          <w:sz w:val="19"/>
          <w:szCs w:val="19"/>
          <w:color w:val="auto"/>
        </w:rPr>
      </w:pPr>
    </w:p>
    <w:p>
      <w:pPr>
        <w:ind w:left="620" w:hanging="313"/>
        <w:spacing w:after="0" w:line="278"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“our,” “we” or “us” means, prior to the Business Combination, Cartesian, as the context suggests, and, following the Business Combination, AlTi.</w:t>
      </w:r>
    </w:p>
    <w:p>
      <w:pPr>
        <w:spacing w:after="0" w:line="11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 of Financial Position” refers to the consolidated balance sheet of AlTi Global, Inc.</w:t>
      </w:r>
    </w:p>
    <w:p>
      <w:pPr>
        <w:spacing w:after="0" w:line="16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“Consolidated Statement of Operations” refers to the consolidated income statement of AlTi Global, Inc.</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“Constellation” means Constellation Wealth Capital, LLC.</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“DGCL” refers to the Delaware General Corporation Law, as amended.</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“dollars” or “$” refers to U.S. dollars.</w:t>
      </w:r>
    </w:p>
    <w:p>
      <w:pPr>
        <w:spacing w:after="0" w:line="176" w:lineRule="exact"/>
        <w:rPr>
          <w:rFonts w:ascii="Times New Roman" w:cs="Times New Roman" w:eastAsia="Times New Roman" w:hAnsi="Times New Roman"/>
          <w:sz w:val="19"/>
          <w:szCs w:val="19"/>
          <w:color w:val="auto"/>
        </w:rPr>
      </w:pPr>
    </w:p>
    <w:p>
      <w:pPr>
        <w:jc w:val="both"/>
        <w:ind w:left="620" w:hanging="313"/>
        <w:spacing w:after="0" w:line="274" w:lineRule="auto"/>
        <w:tabs>
          <w:tab w:leader="none" w:pos="6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Company’s certificate of incorporation consistent with the DGCL and changing the name and registered office of Cartesian.</w:t>
      </w:r>
    </w:p>
    <w:p>
      <w:pPr>
        <w:spacing w:after="0" w:line="175" w:lineRule="exact"/>
        <w:rPr>
          <w:rFonts w:ascii="Times New Roman" w:cs="Times New Roman" w:eastAsia="Times New Roman" w:hAnsi="Times New Roman"/>
          <w:sz w:val="18"/>
          <w:szCs w:val="18"/>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“EEA” means East End Advisors, LLC.</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“Envoi” means Envoi, LLC.</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“Exchange Act” means the U.S. Securities Exchange Act of 1934, as amended.</w:t>
      </w:r>
    </w:p>
    <w:p>
      <w:pPr>
        <w:spacing w:after="0" w:line="176"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spacing w:after="0" w:line="130"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“Federal Reserve” means the Board of Governors of the Federal Reserve System.</w:t>
      </w:r>
    </w:p>
    <w:p>
      <w:pPr>
        <w:spacing w:after="0" w:line="265"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9"/>
          <w:szCs w:val="19"/>
          <w:color w:val="auto"/>
        </w:rPr>
        <w:t>“FOS” means the European-based trust and private office service businesses, or European Family Office Services business.</w:t>
      </w:r>
    </w:p>
    <w:p>
      <w:pPr>
        <w:spacing w:after="0" w:line="241" w:lineRule="exact"/>
        <w:rPr>
          <w:rFonts w:ascii="Arial" w:cs="Arial" w:eastAsia="Arial" w:hAnsi="Arial"/>
          <w:sz w:val="20"/>
          <w:szCs w:val="20"/>
          <w:color w:val="auto"/>
        </w:rPr>
      </w:pPr>
    </w:p>
    <w:p>
      <w:pPr>
        <w:ind w:left="600" w:hanging="293"/>
        <w:spacing w:after="0"/>
        <w:tabs>
          <w:tab w:leader="none" w:pos="60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9"/>
          <w:szCs w:val="19"/>
          <w:color w:val="auto"/>
        </w:rPr>
        <w:t>“HLIF” means “Home Long Income Fund”, a private fund regulated by the UK FCA.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20" w:hanging="313"/>
        <w:spacing w:after="0" w:line="265" w:lineRule="auto"/>
        <w:tabs>
          <w:tab w:leader="none" w:pos="61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“HNWI” means high net worth individual, being an individual having investable assets of $1 million or more, excluding primary residence, collectibles, consumables, and consumer durables.</w:t>
      </w:r>
    </w:p>
    <w:p>
      <w:pPr>
        <w:spacing w:after="0" w:line="128" w:lineRule="exact"/>
        <w:rPr>
          <w:rFonts w:ascii="Times New Roman" w:cs="Times New Roman" w:eastAsia="Times New Roman" w:hAnsi="Times New Roman"/>
          <w:sz w:val="20"/>
          <w:szCs w:val="20"/>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“Holbein” means Holbein Partners, LLP.</w:t>
      </w:r>
    </w:p>
    <w:p>
      <w:pPr>
        <w:spacing w:after="0" w:line="252"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19"/>
          <w:szCs w:val="19"/>
          <w:color w:val="auto"/>
        </w:rPr>
        <w:t>“Home REIT” means “Home REIT plc”, a real estate investment trust listed on the London Stock Exchange.</w:t>
      </w:r>
    </w:p>
    <w:p>
      <w:pPr>
        <w:spacing w:after="0" w:line="164" w:lineRule="exact"/>
        <w:rPr>
          <w:rFonts w:ascii="Arial" w:cs="Arial" w:eastAsia="Arial" w:hAnsi="Arial"/>
          <w:sz w:val="20"/>
          <w:szCs w:val="20"/>
          <w:color w:val="auto"/>
        </w:rPr>
      </w:pPr>
    </w:p>
    <w:p>
      <w:pPr>
        <w:ind w:left="620" w:hanging="313"/>
        <w:spacing w:after="0" w:line="278" w:lineRule="auto"/>
        <w:tabs>
          <w:tab w:leader="none" w:pos="6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“Impact Investing” means investment practices seeking to generate various levels of financial performance together with the generation of positive measurable environmental and social impacts.</w:t>
      </w:r>
    </w:p>
    <w:p>
      <w:pPr>
        <w:spacing w:after="0" w:line="11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“Inflation Reduction Act” means the Inflation Reduction Act of 2022.</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“International Real Estate” means the segment that includes the Company’s public and private real estate, and co-investment business.</w:t>
      </w:r>
    </w:p>
    <w:p>
      <w:pPr>
        <w:spacing w:after="0" w:line="215" w:lineRule="exact"/>
        <w:rPr>
          <w:rFonts w:ascii="Times New Roman" w:cs="Times New Roman" w:eastAsia="Times New Roman" w:hAnsi="Times New Roman"/>
          <w:sz w:val="20"/>
          <w:szCs w:val="20"/>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“LRA” means LXi REIT Advisors Limited.</w:t>
      </w:r>
    </w:p>
    <w:p>
      <w:pPr>
        <w:spacing w:after="0" w:line="22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“LXi” means LXi REIT plc.</w:t>
      </w:r>
    </w:p>
    <w:p>
      <w:pPr>
        <w:spacing w:after="0" w:line="16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“Managed Funds” means mutual funds, exchange traded funds, hedge funds, private equity, real estate or other funds.</w:t>
      </w:r>
    </w:p>
    <w:p>
      <w:pPr>
        <w:spacing w:after="0" w:line="16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“Nasdaq” means the Nasdaq Capital Market.</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“NAV” means net asset value.</w:t>
      </w:r>
    </w:p>
    <w:p>
      <w:pPr>
        <w:spacing w:after="0" w:line="239" w:lineRule="exact"/>
        <w:rPr>
          <w:rFonts w:ascii="Times New Roman" w:cs="Times New Roman" w:eastAsia="Times New Roman" w:hAnsi="Times New Roman"/>
          <w:sz w:val="19"/>
          <w:szCs w:val="19"/>
          <w:color w:val="auto"/>
        </w:rPr>
      </w:pPr>
    </w:p>
    <w:p>
      <w:pPr>
        <w:jc w:val="both"/>
        <w:ind w:left="620" w:right="520" w:hanging="313"/>
        <w:spacing w:after="0" w:line="306" w:lineRule="auto"/>
        <w:tabs>
          <w:tab w:leader="none" w:pos="6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spacing w:after="0" w:line="147" w:lineRule="exact"/>
        <w:rPr>
          <w:rFonts w:ascii="Times New Roman" w:cs="Times New Roman" w:eastAsia="Times New Roman" w:hAnsi="Times New Roman"/>
          <w:sz w:val="18"/>
          <w:szCs w:val="18"/>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“PW” means Pointwise Partners Limited.</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means the United States Securities and Exchange Commission.</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“Series A Preferred Stock” means the Series A Cumulative Convertible Preferred Stock, $0.0001 par value, of the Company.</w:t>
      </w:r>
    </w:p>
    <w:p>
      <w:pPr>
        <w:spacing w:after="0" w:line="22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“Series C Preferred Stock” means the Series C Cumulative Convertible Preferred Stock, $0.0001 par value, of the Company.</w:t>
      </w:r>
    </w:p>
    <w:p>
      <w:pPr>
        <w:spacing w:after="0" w:line="252"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Arial" w:cs="Arial" w:eastAsia="Arial" w:hAnsi="Arial"/>
          <w:sz w:val="20"/>
          <w:szCs w:val="20"/>
          <w:color w:val="auto"/>
        </w:rPr>
      </w:pPr>
      <w:r>
        <w:rPr>
          <w:rFonts w:ascii="Times New Roman" w:cs="Times New Roman" w:eastAsia="Times New Roman" w:hAnsi="Times New Roman"/>
          <w:sz w:val="19"/>
          <w:szCs w:val="19"/>
          <w:color w:val="auto"/>
        </w:rPr>
        <w:t>“SHIA” means Social Housing Income Advisors Limited, an English private limited company.</w:t>
      </w:r>
    </w:p>
    <w:p>
      <w:pPr>
        <w:spacing w:after="0" w:line="152" w:lineRule="exact"/>
        <w:rPr>
          <w:rFonts w:ascii="Arial" w:cs="Arial" w:eastAsia="Arial" w:hAnsi="Arial"/>
          <w:sz w:val="20"/>
          <w:szCs w:val="20"/>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“Sponsor” means CGC Sponsor LLC, a Cayman Islands limited liability company.</w:t>
      </w:r>
    </w:p>
    <w:p>
      <w:pPr>
        <w:spacing w:after="0" w:line="16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“Target Companies” means, collectively, TWMH, TIG GP, TIG MGMT, and Alvarium.</w:t>
      </w:r>
    </w:p>
    <w:p>
      <w:pPr>
        <w:spacing w:after="0" w:line="176"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“Tax Receivable Agreement” or “TRA” means that certain Tax Receivable Agreement, dated as of January 3, 2023, by and among the Company and the TWMH Members, the TIG GP Members, and the TIG MGMT Members.</w:t>
      </w:r>
    </w:p>
    <w:p>
      <w:pPr>
        <w:spacing w:after="0" w:line="130"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means, collectively, the TIG Entities and their subsidiaries and their predecessor entities where applicable.</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Entities” means, collectively, TIG GP and TIG MGMT and their predecessor entities where applicable.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GP” means TIG Trinity GP, LLC, a Delaware limited liability company.</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GP Members” means the former members of TIG GP.</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MGMT” means TIG Trinity Management, LLC, a Delaware limited liability company.</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“TIG MGMT Members” means the former members of TIG MGMT.</w:t>
      </w:r>
    </w:p>
    <w:p>
      <w:pPr>
        <w:spacing w:after="0" w:line="23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“TIH” means Tiedemann International Holdings, AG.</w:t>
      </w:r>
    </w:p>
    <w:p>
      <w:pPr>
        <w:spacing w:after="0" w:line="227" w:lineRule="exact"/>
        <w:rPr>
          <w:rFonts w:ascii="Times New Roman" w:cs="Times New Roman" w:eastAsia="Times New Roman" w:hAnsi="Times New Roman"/>
          <w:sz w:val="19"/>
          <w:szCs w:val="19"/>
          <w:color w:val="auto"/>
        </w:rPr>
      </w:pPr>
    </w:p>
    <w:p>
      <w:pPr>
        <w:ind w:left="620" w:right="140" w:hanging="313"/>
        <w:spacing w:after="0" w:line="278"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 Exchange” means the series of transactions in which certain holders of Class B Units and Class B Common Stock have exchanged, or may in the future exchange, a portion of such interests to the Company, in exchange for Class A Common Stock.</w:t>
      </w:r>
    </w:p>
    <w:p>
      <w:pPr>
        <w:spacing w:after="0" w:line="117" w:lineRule="exact"/>
        <w:rPr>
          <w:rFonts w:ascii="Times New Roman" w:cs="Times New Roman" w:eastAsia="Times New Roman" w:hAnsi="Times New Roman"/>
          <w:sz w:val="19"/>
          <w:szCs w:val="19"/>
          <w:color w:val="auto"/>
        </w:rPr>
      </w:pPr>
    </w:p>
    <w:p>
      <w:pPr>
        <w:ind w:left="620" w:hanging="313"/>
        <w:spacing w:after="0" w:line="264"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“TWMH” means, collectively, Tiedemann Wealth &amp; Capital Solutions Holdings, LLC, a Delaware limited liability company, and its subsidiaries, and their predecessor entities where applicable.</w:t>
      </w:r>
    </w:p>
    <w:p>
      <w:pPr>
        <w:spacing w:after="0" w:line="130"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“TWMH Members” means the former members of TWMH.</w:t>
      </w:r>
    </w:p>
    <w:p>
      <w:pPr>
        <w:spacing w:after="0" w:line="176" w:lineRule="exact"/>
        <w:rPr>
          <w:rFonts w:ascii="Times New Roman" w:cs="Times New Roman" w:eastAsia="Times New Roman" w:hAnsi="Times New Roman"/>
          <w:sz w:val="19"/>
          <w:szCs w:val="19"/>
          <w:color w:val="auto"/>
        </w:rPr>
      </w:pPr>
    </w:p>
    <w:p>
      <w:pPr>
        <w:ind w:left="620" w:hanging="313"/>
        <w:spacing w:after="0" w:line="278"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“UHNW” means ultra high net worth individual, being an individual having investable assets of $30 million or more, excluding primary residence, collectibles, consumables, and consumer durables.</w:t>
      </w:r>
    </w:p>
    <w:p>
      <w:pPr>
        <w:spacing w:after="0" w:line="181"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Arial" w:cs="Arial" w:eastAsia="Arial" w:hAnsi="Arial"/>
          <w:sz w:val="20"/>
          <w:szCs w:val="20"/>
          <w:color w:val="auto"/>
        </w:rPr>
      </w:pPr>
      <w:r>
        <w:rPr>
          <w:rFonts w:ascii="Times New Roman" w:cs="Times New Roman" w:eastAsia="Times New Roman" w:hAnsi="Times New Roman"/>
          <w:sz w:val="19"/>
          <w:szCs w:val="19"/>
          <w:color w:val="auto"/>
        </w:rPr>
        <w:t>“UK FCA” means the United Kingdom’s Financial Conduct Authority.</w:t>
      </w:r>
    </w:p>
    <w:p>
      <w:pPr>
        <w:spacing w:after="0" w:line="215" w:lineRule="exact"/>
        <w:rPr>
          <w:rFonts w:ascii="Arial" w:cs="Arial" w:eastAsia="Arial" w:hAnsi="Arial"/>
          <w:sz w:val="20"/>
          <w:szCs w:val="20"/>
          <w:color w:val="auto"/>
        </w:rPr>
      </w:pPr>
    </w:p>
    <w:p>
      <w:pPr>
        <w:ind w:left="600" w:hanging="293"/>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“Umbrella” means AlTi Global Capital, LLC (formerly known as Alvarium Tiedemann Capital, LLC), a Delaware limited liability company.</w:t>
      </w:r>
    </w:p>
    <w:p>
      <w:pPr>
        <w:spacing w:after="0" w:line="175" w:lineRule="exact"/>
        <w:rPr>
          <w:rFonts w:ascii="Times New Roman" w:cs="Times New Roman" w:eastAsia="Times New Roman" w:hAnsi="Times New Roman"/>
          <w:sz w:val="18"/>
          <w:szCs w:val="18"/>
          <w:color w:val="auto"/>
        </w:rPr>
      </w:pPr>
    </w:p>
    <w:p>
      <w:pPr>
        <w:ind w:left="620" w:hanging="313"/>
        <w:spacing w:after="0" w:line="278"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“Umbrella LLC Agreement” means the Fourth Amended and Restated Limited Liability Company Agreement of AlTi Global Capital, LLC, effective as of July 31, 2024.</w:t>
      </w:r>
    </w:p>
    <w:p>
      <w:pPr>
        <w:spacing w:after="0" w:line="11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“Umbrella Merger Sub” means Rook MS, LLC, a Delaware limited liability company.</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GAAP” means United States generally accepted accounting principles, consistently applied.</w:t>
      </w:r>
    </w:p>
    <w:p>
      <w:pPr>
        <w:spacing w:after="0" w:line="163" w:lineRule="exact"/>
        <w:rPr>
          <w:rFonts w:ascii="Times New Roman" w:cs="Times New Roman" w:eastAsia="Times New Roman" w:hAnsi="Times New Roman"/>
          <w:sz w:val="19"/>
          <w:szCs w:val="19"/>
          <w:color w:val="auto"/>
        </w:rPr>
      </w:pPr>
    </w:p>
    <w:p>
      <w:pPr>
        <w:jc w:val="both"/>
        <w:ind w:left="620" w:hanging="313"/>
        <w:spacing w:after="0" w:line="264"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spacing w:after="0" w:line="208" w:lineRule="exact"/>
        <w:rPr>
          <w:rFonts w:ascii="Times New Roman" w:cs="Times New Roman" w:eastAsia="Times New Roman" w:hAnsi="Times New Roman"/>
          <w:sz w:val="19"/>
          <w:szCs w:val="19"/>
          <w:color w:val="auto"/>
        </w:rPr>
      </w:pPr>
    </w:p>
    <w:p>
      <w:pPr>
        <w:ind w:left="620" w:right="280" w:hanging="313"/>
        <w:spacing w:after="0" w:line="265" w:lineRule="auto"/>
        <w:tabs>
          <w:tab w:leader="none" w:pos="615" w:val="left"/>
        </w:tabs>
        <w:numPr>
          <w:ilvl w:val="0"/>
          <w:numId w:val="6"/>
        </w:numPr>
        <w:rPr>
          <w:rFonts w:ascii="Arial" w:cs="Arial" w:eastAsia="Arial" w:hAnsi="Arial"/>
          <w:sz w:val="20"/>
          <w:szCs w:val="20"/>
          <w:color w:val="auto"/>
        </w:rPr>
      </w:pPr>
      <w:r>
        <w:rPr>
          <w:rFonts w:ascii="Times New Roman" w:cs="Times New Roman" w:eastAsia="Times New Roman" w:hAnsi="Times New Roman"/>
          <w:sz w:val="19"/>
          <w:szCs w:val="19"/>
          <w:color w:val="auto"/>
        </w:rPr>
        <w:t>“Wealth &amp; Capital Solutions” means the segment that consists of the Company’s investment management and advisory services, trusts and administrative services, family office services, and the Company’s alternatives platform.</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Also posted on our website in the “Investor Relations” section are the charters for our Audit, Finance and Risk Committee, Environmental, Social, Governance and Nominating Committee, Human Capital and Compensation Committee, and Transaction Committee, as well as our Corporate Governance Guidelines and Code of Business Conduct and Ethics governing our directors, officers, and employees. Information on or accessible through our website is not a part of or incorporated into this Quarterly Report on Form 10-Q for the period ended June 30, 2025 (the “Quarterly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No statements herein, available on our website, or in any of the materials we file with the SEC constitute or should be viewed as constituting an offer to sell, or a solicitation of an offer to buy, securities in any jurisdiction.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Cautionary Note Regarding Forward-Looking Statements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I.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ind w:right="2879"/>
        <w:spacing w:after="0"/>
        <w:rPr>
          <w:sz w:val="20"/>
          <w:szCs w:val="20"/>
          <w:color w:val="auto"/>
        </w:rPr>
      </w:pPr>
      <w:r>
        <w:rPr>
          <w:rFonts w:ascii="Times New Roman" w:cs="Times New Roman" w:eastAsia="Times New Roman" w:hAnsi="Times New Roman"/>
          <w:sz w:val="19"/>
          <w:szCs w:val="19"/>
          <w:b w:val="1"/>
          <w:bCs w:val="1"/>
          <w:color w:val="auto"/>
        </w:rPr>
        <w:t>PART I – FINANCIAL INFORMATION</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139"/>
          </w:cols>
          <w:pgMar w:left="320" w:top="1184"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Financial Position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4"/>
                <w:szCs w:val="14"/>
                <w:color w:val="auto"/>
              </w:rPr>
            </w:pP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share data)</w:t>
            </w:r>
          </w:p>
        </w:tc>
        <w:tc>
          <w:tcPr>
            <w:tcW w:w="260" w:type="dxa"/>
            <w:vAlign w:val="bottom"/>
          </w:tcPr>
          <w:p>
            <w:pPr>
              <w:spacing w:after="0"/>
              <w:rPr>
                <w:sz w:val="15"/>
                <w:szCs w:val="15"/>
                <w:color w:val="auto"/>
              </w:rPr>
            </w:pPr>
          </w:p>
        </w:tc>
        <w:tc>
          <w:tcPr>
            <w:tcW w:w="146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77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69"/>
        </w:trPr>
        <w:tc>
          <w:tcPr>
            <w:tcW w:w="7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20" w:type="dxa"/>
            <w:vAlign w:val="bottom"/>
          </w:tcPr>
          <w:p>
            <w:pPr>
              <w:spacing w:after="0"/>
              <w:rPr>
                <w:sz w:val="6"/>
                <w:szCs w:val="6"/>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42,414</w:t>
            </w:r>
          </w:p>
        </w:tc>
        <w:tc>
          <w:tcPr>
            <w:tcW w:w="80" w:type="dxa"/>
            <w:vAlign w:val="bottom"/>
          </w:tcPr>
          <w:p>
            <w:pPr>
              <w:spacing w:after="0"/>
              <w:rPr>
                <w:sz w:val="15"/>
                <w:szCs w:val="15"/>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65,494</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Fees receivable, net (includes $767 and $920 of related party receivables,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33,616</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148,674</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27,517</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469,563</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386,878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377,842</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49,979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50,436</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21,505</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59,797</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receivable</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r>
      <w:tr>
        <w:trPr>
          <w:trHeight w:val="204"/>
        </w:trPr>
        <w:tc>
          <w:tcPr>
            <w:tcW w:w="7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1,242,771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1,255,833</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0"/>
        </w:trPr>
        <w:tc>
          <w:tcPr>
            <w:tcW w:w="77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33,976</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profit sharing</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60,074</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member distributions payable</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liabilities, at fair value</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64,639</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 liability (includes $9,822 and $9,378 at fair value,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28,765</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tranche liability, at fair value</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 consideration payable</w:t>
            </w: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63,055</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net of unamortized deferred financing cost</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10,977</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net</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15,925</w:t>
            </w:r>
          </w:p>
        </w:tc>
      </w:tr>
      <w:tr>
        <w:trPr>
          <w:trHeight w:val="204"/>
        </w:trPr>
        <w:tc>
          <w:tcPr>
            <w:tcW w:w="7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252,584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285,638</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0"/>
        </w:trPr>
        <w:tc>
          <w:tcPr>
            <w:tcW w:w="77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89"/>
        </w:trPr>
        <w:tc>
          <w:tcPr>
            <w:tcW w:w="7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7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Redeemable Cumulative Convertible Preferred stock, $0.0001 par value, 795,947 shares authorized, 164,914 shares issued and</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1"/>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2025, 140,000 shares authorized, 140,000 issued and outstanding at December 31, 2024</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164,914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142,858</w:t>
            </w:r>
          </w:p>
        </w:tc>
      </w:tr>
      <w:tr>
        <w:trPr>
          <w:trHeight w:val="171"/>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Redeemable Cumulative Convertible Preferred stock, $0.0001 par value, 150,000 shares authorized, 150,000 shares issued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June 30, 2025, and 150,000 shares authorized, 150,000 issued and outstanding at December 31, 2024</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168,681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160,808</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89"/>
        </w:trPr>
        <w:tc>
          <w:tcPr>
            <w:tcW w:w="77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Class A, $0.0001 par value, 875,000,000 authorized, 101,567,545 and 93,686,980 issued and outstanding,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Class B, $0.0001 par value, 150,000,000 authorized, 45,110,224 and 46,138,876 issued and outstanding, respectively</w:t>
            </w:r>
          </w:p>
        </w:tc>
        <w:tc>
          <w:tcPr>
            <w:tcW w:w="26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Class C Non-Voting, $0.0001 par value, 9,000,000 authorized, 0 and 0 issued and outstanding, respectively</w:t>
            </w:r>
          </w:p>
        </w:tc>
        <w:tc>
          <w:tcPr>
            <w:tcW w:w="2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Treasury stock, at cost: 0 and 0 shares as of June 30, 2025 and December 31, 2024, respectively</w:t>
            </w:r>
          </w:p>
        </w:tc>
        <w:tc>
          <w:tcPr>
            <w:tcW w:w="260" w:type="dxa"/>
            <w:vAlign w:val="bottom"/>
          </w:tcPr>
          <w:p>
            <w:pPr>
              <w:spacing w:after="0"/>
              <w:rPr>
                <w:sz w:val="15"/>
                <w:szCs w:val="15"/>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665,605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652,857</w:t>
            </w:r>
          </w:p>
        </w:tc>
      </w:tr>
      <w:tr>
        <w:trPr>
          <w:trHeight w:val="180"/>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(296,561)</w:t>
            </w:r>
          </w:p>
        </w:tc>
      </w:tr>
      <w:tr>
        <w:trPr>
          <w:trHeight w:val="36"/>
        </w:trPr>
        <w:tc>
          <w:tcPr>
            <w:tcW w:w="7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r>
      <w:tr>
        <w:trPr>
          <w:trHeight w:val="173"/>
        </w:trPr>
        <w:tc>
          <w:tcPr>
            <w:tcW w:w="77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 AlTi Global, Inc. shareholders’ equity</w:t>
            </w: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685,402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658,402</w:t>
            </w:r>
          </w:p>
        </w:tc>
      </w:tr>
      <w:tr>
        <w:trPr>
          <w:trHeight w:val="36"/>
        </w:trPr>
        <w:tc>
          <w:tcPr>
            <w:tcW w:w="7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 in subsidiaries</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304,785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311,793</w:t>
            </w:r>
          </w:p>
        </w:tc>
      </w:tr>
      <w:tr>
        <w:trPr>
          <w:trHeight w:val="173"/>
        </w:trPr>
        <w:tc>
          <w:tcPr>
            <w:tcW w:w="7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990,187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970,195</w:t>
            </w:r>
          </w:p>
        </w:tc>
      </w:tr>
      <w:tr>
        <w:trPr>
          <w:trHeight w:val="36"/>
        </w:trPr>
        <w:tc>
          <w:tcPr>
            <w:tcW w:w="7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29"/>
        </w:trPr>
        <w:tc>
          <w:tcPr>
            <w:tcW w:w="7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 liabilities, mezzanine equity, and shareholders’ equity</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1,242,771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1,255,833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Operations (Unaudited)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644"/>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924"/>
              <w:spacing w:after="0"/>
              <w:rPr>
                <w:sz w:val="20"/>
                <w:szCs w:val="20"/>
                <w:color w:val="auto"/>
              </w:rPr>
            </w:pPr>
            <w:r>
              <w:rPr>
                <w:rFonts w:ascii="Times New Roman" w:cs="Times New Roman" w:eastAsia="Times New Roman" w:hAnsi="Times New Roman"/>
                <w:sz w:val="15"/>
                <w:szCs w:val="15"/>
                <w:b w:val="1"/>
                <w:bCs w:val="1"/>
                <w:color w:val="auto"/>
              </w:rPr>
              <w:t>For the Six Months Ended</w:t>
            </w:r>
          </w:p>
        </w:tc>
      </w:t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6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280" w:type="dxa"/>
            <w:vAlign w:val="bottom"/>
          </w:tcPr>
          <w:p>
            <w:pPr>
              <w:spacing w:after="0"/>
              <w:rPr>
                <w:sz w:val="19"/>
                <w:szCs w:val="19"/>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280" w:type="dxa"/>
            <w:vAlign w:val="bottom"/>
          </w:tcPr>
          <w:p>
            <w:pPr>
              <w:spacing w:after="0"/>
              <w:rPr>
                <w:sz w:val="19"/>
                <w:szCs w:val="19"/>
                <w:color w:val="auto"/>
              </w:rPr>
            </w:pPr>
          </w:p>
        </w:tc>
        <w:tc>
          <w:tcPr>
            <w:tcW w:w="1540" w:type="dxa"/>
            <w:vAlign w:val="bottom"/>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Management/advisory fees</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49,989</w:t>
            </w:r>
          </w:p>
        </w:tc>
        <w:tc>
          <w:tcPr>
            <w:tcW w:w="8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47,029</w:t>
            </w:r>
          </w:p>
        </w:tc>
        <w:tc>
          <w:tcPr>
            <w:tcW w:w="10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95,639</w:t>
            </w:r>
          </w:p>
        </w:tc>
        <w:tc>
          <w:tcPr>
            <w:tcW w:w="8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93,253</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Incentive fees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from investments</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2,664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6,410</w:t>
            </w:r>
          </w:p>
        </w:tc>
      </w:tr>
      <w:tr>
        <w:trPr>
          <w:trHeight w:val="23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income/fees</w:t>
            </w: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w:t>
            </w:r>
          </w:p>
        </w:tc>
      </w:tr>
      <w:tr>
        <w:trPr>
          <w:trHeight w:val="222"/>
        </w:trPr>
        <w:tc>
          <w:tcPr>
            <w:tcW w:w="4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income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53,127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111,090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100,265</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Compensation and employee benefits</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44,601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78,450</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Systems, technology and telephone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5,241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9,123</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Sales, distribution and marketing</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1,967</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Occupancy costs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3,424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7,502</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Professional fees</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18,386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18,972</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Travel and entertainment</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1,008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2,737</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6,380</w:t>
            </w:r>
          </w:p>
        </w:tc>
      </w:tr>
      <w:tr>
        <w:trPr>
          <w:trHeight w:val="231"/>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administrative and other</w:t>
            </w: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4,867</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7,828</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4,757</w:t>
            </w:r>
          </w:p>
        </w:tc>
      </w:tr>
      <w:tr>
        <w:trPr>
          <w:trHeight w:val="222"/>
        </w:trPr>
        <w:tc>
          <w:tcPr>
            <w:tcW w:w="40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83,274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64,408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154,726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129,888</w:t>
            </w:r>
          </w:p>
        </w:tc>
      </w:tr>
      <w:tr>
        <w:trPr>
          <w:trHeight w:val="229"/>
        </w:trPr>
        <w:tc>
          <w:tcPr>
            <w:tcW w:w="4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operating income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(29,623)</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Impairment loss on goodwill and intangible assets</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on investments</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4,121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7,696</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(loss) on TRA</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6,322</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(loss) on preferred stock tranche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(loss) on earnout liabilities</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37,509</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(9,691)</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w:t>
            </w:r>
          </w:p>
        </w:tc>
      </w:tr>
      <w:tr>
        <w:trPr>
          <w:trHeight w:val="222"/>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(expense)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29"/>
        </w:trPr>
        <w:tc>
          <w:tcPr>
            <w:tcW w:w="4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Income (loss) before taxes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12,324</w:t>
            </w:r>
          </w:p>
        </w:tc>
      </w:tr>
      <w:tr>
        <w:trPr>
          <w:trHeight w:val="222"/>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4,709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w:t>
            </w:r>
          </w:p>
        </w:tc>
      </w:tr>
      <w:tr>
        <w:trPr>
          <w:trHeight w:val="229"/>
        </w:trPr>
        <w:tc>
          <w:tcPr>
            <w:tcW w:w="4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Net income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12,717</w:t>
            </w: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income attributed to non-controlling interests in</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subsidiaries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(5,681)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(10,473)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(10,569)</w:t>
            </w:r>
          </w:p>
        </w:tc>
      </w:tr>
      <w:tr>
        <w:trPr>
          <w:trHeight w:val="254"/>
        </w:trPr>
        <w:tc>
          <w:tcPr>
            <w:tcW w:w="406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Net income (loss) attributable to AlTi Global, Inc.</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(24,362)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35"/>
        </w:trPr>
        <w:tc>
          <w:tcPr>
            <w:tcW w:w="4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89"/>
        </w:trPr>
        <w:tc>
          <w:tcPr>
            <w:tcW w:w="4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(Loss) Per Share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0.16</w:t>
            </w: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80" w:type="dxa"/>
            <w:vAlign w:val="bottom"/>
          </w:tcPr>
          <w:p>
            <w:pPr>
              <w:spacing w:after="0"/>
              <w:rPr>
                <w:sz w:val="19"/>
                <w:szCs w:val="19"/>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(0.18)</w:t>
            </w:r>
          </w:p>
        </w:tc>
        <w:tc>
          <w:tcPr>
            <w:tcW w:w="10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(0.37)</w:t>
            </w:r>
          </w:p>
        </w:tc>
        <w:tc>
          <w:tcPr>
            <w:tcW w:w="8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0.00</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Weighted Average Shares of Class A Common Stock</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0"/>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w:t>
            </w:r>
          </w:p>
        </w:tc>
        <w:tc>
          <w:tcPr>
            <w:tcW w:w="220" w:type="dxa"/>
            <w:vAlign w:val="bottom"/>
          </w:tcPr>
          <w:p>
            <w:pPr>
              <w:spacing w:after="0"/>
              <w:rPr>
                <w:sz w:val="19"/>
                <w:szCs w:val="19"/>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99,915,503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71,738,190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97,413,553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69,228,309</w:t>
            </w:r>
          </w:p>
        </w:tc>
      </w:tr>
      <w:tr>
        <w:trPr>
          <w:trHeight w:val="23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Diluted</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99,915,503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71,738,190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97,413,553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119,355,038</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Comprehensive Income (Loss) (Unaudited)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040" w:type="dxa"/>
            <w:vAlign w:val="bottom"/>
            <w:tcBorders>
              <w:bottom w:val="single" w:sz="8" w:color="auto"/>
            </w:tcBorders>
            <w:gridSpan w:val="3"/>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tc>
        <w:tc>
          <w:tcPr>
            <w:tcW w:w="100" w:type="dxa"/>
            <w:vAlign w:val="bottom"/>
          </w:tcPr>
          <w:p>
            <w:pPr>
              <w:spacing w:after="0"/>
              <w:rPr>
                <w:sz w:val="18"/>
                <w:szCs w:val="18"/>
                <w:color w:val="auto"/>
              </w:rPr>
            </w:pPr>
          </w:p>
        </w:tc>
        <w:tc>
          <w:tcPr>
            <w:tcW w:w="3380" w:type="dxa"/>
            <w:vAlign w:val="bottom"/>
            <w:tcBorders>
              <w:bottom w:val="single" w:sz="8" w:color="auto"/>
            </w:tcBorders>
            <w:gridSpan w:val="3"/>
          </w:tcPr>
          <w:p>
            <w:pPr>
              <w:jc w:val="right"/>
              <w:ind w:right="744"/>
              <w:spacing w:after="0"/>
              <w:rPr>
                <w:sz w:val="20"/>
                <w:szCs w:val="20"/>
                <w:color w:val="auto"/>
              </w:rPr>
            </w:pPr>
            <w:r>
              <w:rPr>
                <w:rFonts w:ascii="Times New Roman" w:cs="Times New Roman" w:eastAsia="Times New Roman" w:hAnsi="Times New Roman"/>
                <w:sz w:val="15"/>
                <w:szCs w:val="15"/>
                <w:b w:val="1"/>
                <w:bCs w:val="1"/>
                <w:color w:val="auto"/>
              </w:rPr>
              <w:t>For the Six Months Ended</w:t>
            </w:r>
          </w:p>
        </w:tc>
      </w:tr>
      <w:tr>
        <w:trPr>
          <w:trHeight w:val="222"/>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640" w:type="dxa"/>
            <w:vAlign w:val="bottom"/>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(30,043)</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(32,925)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12,717</w:t>
            </w: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Other Comprehensive Income (Loss)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8"/>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8,938</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12,187</w:t>
            </w: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(2,929)</w:t>
            </w:r>
          </w:p>
        </w:tc>
      </w:tr>
      <w:tr>
        <w:trPr>
          <w:trHeight w:val="22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222"/>
        </w:trPr>
        <w:tc>
          <w:tcPr>
            <w:tcW w:w="4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(20,763)</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9,999</w:t>
            </w:r>
          </w:p>
        </w:tc>
      </w:tr>
      <w:tr>
        <w:trPr>
          <w:trHeight w:val="222"/>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loss attributed to non-controlling interests in subsidiaries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(2,562)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(6,906)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(12,202)</w:t>
            </w:r>
          </w:p>
        </w:tc>
      </w:tr>
      <w:tr>
        <w:trPr>
          <w:trHeight w:val="254"/>
        </w:trPr>
        <w:tc>
          <w:tcPr>
            <w:tcW w:w="47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5"/>
                <w:szCs w:val="15"/>
                <w:b w:val="1"/>
                <w:bCs w:val="1"/>
                <w:color w:val="auto"/>
              </w:rPr>
              <w:t>Comprehensive income (loss) attributable to AlTi Global, Inc.</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(18,153)</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22,201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98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40" w:type="dxa"/>
            <w:vAlign w:val="bottom"/>
          </w:tcPr>
          <w:p>
            <w:pPr>
              <w:spacing w:after="0"/>
              <w:rPr>
                <w:sz w:val="13"/>
                <w:szCs w:val="13"/>
                <w:color w:val="auto"/>
              </w:rPr>
            </w:pPr>
          </w:p>
        </w:tc>
        <w:tc>
          <w:tcPr>
            <w:tcW w:w="6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tcPr>
          <w:p>
            <w:pPr>
              <w:jc w:val="center"/>
              <w:ind w:right="1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earnings</w:t>
            </w:r>
          </w:p>
        </w:tc>
        <w:tc>
          <w:tcPr>
            <w:tcW w:w="160" w:type="dxa"/>
            <w:vAlign w:val="bottom"/>
          </w:tcPr>
          <w:p>
            <w:pPr>
              <w:spacing w:after="0"/>
              <w:rPr>
                <w:sz w:val="13"/>
                <w:szCs w:val="13"/>
                <w:color w:val="auto"/>
              </w:rPr>
            </w:pPr>
          </w:p>
        </w:tc>
        <w:tc>
          <w:tcPr>
            <w:tcW w:w="82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gridSpan w:val="3"/>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3"/>
                <w:szCs w:val="13"/>
                <w:color w:val="auto"/>
              </w:rPr>
            </w:pPr>
          </w:p>
        </w:tc>
        <w:tc>
          <w:tcPr>
            <w:tcW w:w="680" w:type="dxa"/>
            <w:vAlign w:val="bottom"/>
          </w:tcPr>
          <w:p>
            <w:pPr>
              <w:jc w:val="right"/>
              <w:ind w:right="212"/>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6"/>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except</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Series C Preferred</w:t>
            </w: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3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paid-in-</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Shareholders’</w:t>
            </w:r>
          </w:p>
        </w:tc>
        <w:tc>
          <w:tcPr>
            <w:tcW w:w="0" w:type="dxa"/>
            <w:vAlign w:val="bottom"/>
          </w:tcPr>
          <w:p>
            <w:pPr>
              <w:spacing w:after="0"/>
              <w:rPr>
                <w:sz w:val="1"/>
                <w:szCs w:val="1"/>
                <w:color w:val="auto"/>
              </w:rPr>
            </w:pPr>
          </w:p>
        </w:tc>
      </w:tr>
      <w:tr>
        <w:trPr>
          <w:trHeight w:val="179"/>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6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6"/>
        </w:trPr>
        <w:tc>
          <w:tcPr>
            <w:tcW w:w="116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1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Balance at March</w:t>
            </w: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140,000</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144,618</w:t>
            </w: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150,000</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164,761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97,128,692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45,110,224</w:t>
            </w:r>
          </w:p>
        </w:tc>
        <w:tc>
          <w:tcPr>
            <w:tcW w:w="6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(2,838)</w:t>
            </w:r>
          </w:p>
        </w:tc>
        <w:tc>
          <w:tcPr>
            <w:tcW w:w="6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654,588</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(296,743)</w:t>
            </w:r>
          </w:p>
        </w:tc>
        <w:tc>
          <w:tcPr>
            <w:tcW w:w="8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307,548</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972,702</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(30,043)</w:t>
            </w:r>
          </w:p>
        </w:tc>
        <w:tc>
          <w:tcPr>
            <w:tcW w:w="0" w:type="dxa"/>
            <w:vAlign w:val="bottom"/>
          </w:tcPr>
          <w:p>
            <w:pPr>
              <w:spacing w:after="0"/>
              <w:rPr>
                <w:sz w:val="1"/>
                <w:szCs w:val="1"/>
                <w:color w:val="auto"/>
              </w:rPr>
            </w:pPr>
          </w:p>
        </w:tc>
      </w:tr>
      <w:tr>
        <w:trPr>
          <w:trHeight w:val="171"/>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Currency</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translation</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comprehensive</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allocation</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to equity</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holders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of</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Preferred share</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accrued</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1,523,289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tranche</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0" w:type="dxa"/>
            <w:vAlign w:val="bottom"/>
          </w:tcPr>
          <w:p>
            <w:pPr>
              <w:spacing w:after="0"/>
              <w:rPr>
                <w:sz w:val="1"/>
                <w:szCs w:val="1"/>
                <w:color w:val="auto"/>
              </w:rPr>
            </w:pPr>
          </w:p>
        </w:tc>
      </w:tr>
      <w:tr>
        <w:trPr>
          <w:trHeight w:val="171"/>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shares for</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business</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combination</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618,453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based</w:t>
            </w: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2,297,111</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0" w:type="dxa"/>
            <w:vAlign w:val="bottom"/>
          </w:tcPr>
          <w:p>
            <w:pPr>
              <w:spacing w:after="0"/>
              <w:rPr>
                <w:sz w:val="1"/>
                <w:szCs w:val="1"/>
                <w:color w:val="auto"/>
              </w:rPr>
            </w:pPr>
          </w:p>
        </w:tc>
      </w:tr>
      <w:tr>
        <w:trPr>
          <w:trHeight w:val="171"/>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36"/>
        </w:trPr>
        <w:tc>
          <w:tcPr>
            <w:tcW w:w="1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116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Balance at June</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164,914</w:t>
            </w:r>
          </w:p>
        </w:tc>
        <w:tc>
          <w:tcPr>
            <w:tcW w:w="60" w:type="dxa"/>
            <w:vAlign w:val="bottom"/>
          </w:tcPr>
          <w:p>
            <w:pPr>
              <w:spacing w:after="0"/>
              <w:rPr>
                <w:sz w:val="12"/>
                <w:szCs w:val="12"/>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$164,914</w:t>
            </w:r>
          </w:p>
        </w:tc>
        <w:tc>
          <w:tcPr>
            <w:tcW w:w="80" w:type="dxa"/>
            <w:vAlign w:val="bottom"/>
          </w:tcPr>
          <w:p>
            <w:pPr>
              <w:spacing w:after="0"/>
              <w:rPr>
                <w:sz w:val="12"/>
                <w:szCs w:val="12"/>
                <w:color w:val="auto"/>
              </w:rPr>
            </w:pP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150,000</w:t>
            </w:r>
          </w:p>
        </w:tc>
        <w:tc>
          <w:tcPr>
            <w:tcW w:w="60" w:type="dxa"/>
            <w:vAlign w:val="bottom"/>
          </w:tcPr>
          <w:p>
            <w:pPr>
              <w:spacing w:after="0"/>
              <w:rPr>
                <w:sz w:val="12"/>
                <w:szCs w:val="12"/>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$168,681</w:t>
            </w:r>
          </w:p>
        </w:tc>
        <w:tc>
          <w:tcPr>
            <w:tcW w:w="80" w:type="dxa"/>
            <w:vAlign w:val="bottom"/>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101,567,545</w:t>
            </w: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45,110,224</w:t>
            </w:r>
          </w:p>
        </w:tc>
        <w:tc>
          <w:tcPr>
            <w:tcW w:w="60" w:type="dxa"/>
            <w:vAlign w:val="bottom"/>
          </w:tcPr>
          <w:p>
            <w:pPr>
              <w:spacing w:after="0"/>
              <w:rPr>
                <w:sz w:val="12"/>
                <w:szCs w:val="12"/>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2"/>
                <w:szCs w:val="12"/>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665,605</w:t>
            </w:r>
          </w:p>
        </w:tc>
        <w:tc>
          <w:tcPr>
            <w:tcW w:w="6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(320,768)</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tcPr>
          <w:p>
            <w:pPr>
              <w:spacing w:after="0"/>
              <w:rPr>
                <w:sz w:val="12"/>
                <w:szCs w:val="12"/>
                <w:color w:val="auto"/>
              </w:rPr>
            </w:pPr>
          </w:p>
        </w:tc>
        <w:tc>
          <w:tcPr>
            <w:tcW w:w="1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304,785</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990,187</w:t>
            </w:r>
          </w:p>
        </w:tc>
        <w:tc>
          <w:tcPr>
            <w:tcW w:w="0" w:type="dxa"/>
            <w:vAlign w:val="bottom"/>
          </w:tcPr>
          <w:p>
            <w:pPr>
              <w:spacing w:after="0"/>
              <w:rPr>
                <w:sz w:val="1"/>
                <w:szCs w:val="1"/>
                <w:color w:val="auto"/>
              </w:rPr>
            </w:pPr>
          </w:p>
        </w:tc>
      </w:tr>
      <w:tr>
        <w:trPr>
          <w:trHeight w:val="184"/>
        </w:trPr>
        <w:tc>
          <w:tcPr>
            <w:tcW w:w="1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w w:val="96"/>
              </w:rPr>
              <w:t>Retained</w:t>
            </w:r>
          </w:p>
        </w:tc>
        <w:tc>
          <w:tcPr>
            <w:tcW w:w="980" w:type="dxa"/>
            <w:vAlign w:val="bottom"/>
            <w:gridSpan w:val="3"/>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3"/>
                <w:szCs w:val="13"/>
                <w:color w:val="auto"/>
              </w:rPr>
            </w:pPr>
          </w:p>
        </w:tc>
        <w:tc>
          <w:tcPr>
            <w:tcW w:w="6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i w:val="1"/>
                <w:iCs w:val="1"/>
                <w:color w:val="auto"/>
              </w:rPr>
              <w:t>(Dollars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80" w:type="dxa"/>
            <w:vAlign w:val="bottom"/>
            <w:gridSpan w:val="2"/>
          </w:tcPr>
          <w:p>
            <w:pPr>
              <w:jc w:val="center"/>
              <w:ind w:right="2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earnings</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Times New Roman" w:cs="Times New Roman" w:eastAsia="Times New Roman" w:hAnsi="Times New Roman"/>
                <w:sz w:val="14"/>
                <w:szCs w:val="14"/>
                <w:b w:val="1"/>
                <w:bCs w:val="1"/>
                <w:color w:val="auto"/>
                <w:w w:val="93"/>
              </w:rPr>
              <w:t>other</w:t>
            </w:r>
          </w:p>
        </w:tc>
        <w:tc>
          <w:tcPr>
            <w:tcW w:w="800" w:type="dxa"/>
            <w:vAlign w:val="bottom"/>
            <w:gridSpan w:val="3"/>
          </w:tcPr>
          <w:p>
            <w:pPr>
              <w:jc w:val="center"/>
              <w:ind w:right="60"/>
              <w:spacing w:after="0" w:line="153" w:lineRule="exact"/>
              <w:rPr>
                <w:sz w:val="20"/>
                <w:szCs w:val="20"/>
                <w:color w:val="auto"/>
              </w:rPr>
            </w:pPr>
            <w:r>
              <w:rPr>
                <w:rFonts w:ascii="Times New Roman" w:cs="Times New Roman" w:eastAsia="Times New Roman" w:hAnsi="Times New Roman"/>
                <w:sz w:val="14"/>
                <w:szCs w:val="14"/>
                <w:b w:val="1"/>
                <w:bCs w:val="1"/>
                <w:color w:val="auto"/>
                <w:w w:val="94"/>
              </w:rPr>
              <w:t>controlling</w:t>
            </w:r>
          </w:p>
        </w:tc>
        <w:tc>
          <w:tcPr>
            <w:tcW w:w="160" w:type="dxa"/>
            <w:vAlign w:val="bottom"/>
          </w:tcPr>
          <w:p>
            <w:pPr>
              <w:spacing w:after="0"/>
              <w:rPr>
                <w:sz w:val="13"/>
                <w:szCs w:val="13"/>
                <w:color w:val="auto"/>
              </w:rPr>
            </w:pPr>
          </w:p>
        </w:tc>
        <w:tc>
          <w:tcPr>
            <w:tcW w:w="700" w:type="dxa"/>
            <w:vAlign w:val="bottom"/>
          </w:tcPr>
          <w:p>
            <w:pPr>
              <w:jc w:val="right"/>
              <w:ind w:right="212"/>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6"/>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except</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Series C Preferred</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paid-in-</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(accumulated</w:t>
            </w: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interest in</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Shareholders</w:t>
            </w:r>
            <w:r>
              <w:rPr>
                <w:rFonts w:ascii="Times New Roman" w:cs="Times New Roman" w:eastAsia="Times New Roman" w:hAnsi="Times New Roman"/>
                <w:sz w:val="14"/>
                <w:szCs w:val="14"/>
                <w:b w:val="1"/>
                <w:bCs w:val="1"/>
                <w:i w:val="1"/>
                <w:iCs w:val="1"/>
                <w:color w:val="auto"/>
                <w:w w:val="97"/>
              </w:rPr>
              <w:t>’</w:t>
            </w:r>
          </w:p>
        </w:tc>
        <w:tc>
          <w:tcPr>
            <w:tcW w:w="0" w:type="dxa"/>
            <w:vAlign w:val="bottom"/>
          </w:tcPr>
          <w:p>
            <w:pPr>
              <w:spacing w:after="0"/>
              <w:rPr>
                <w:sz w:val="1"/>
                <w:szCs w:val="1"/>
                <w:color w:val="auto"/>
              </w:rPr>
            </w:pPr>
          </w:p>
        </w:tc>
      </w:tr>
      <w:tr>
        <w:trPr>
          <w:trHeight w:val="179"/>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1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6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16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08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 2025</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140,000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142,858</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150,000</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160,808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93,686,980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46,138,876</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652,857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(296,561)</w:t>
            </w:r>
          </w:p>
        </w:tc>
        <w:tc>
          <w:tcPr>
            <w:tcW w:w="8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8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311,793</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970,195</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17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Currency</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translation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12,187</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w w:val="99"/>
              </w:rPr>
              <w:t>comprehensive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allocation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to equity</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holders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of</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investment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7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Preferred share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accrued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1,523,289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8"/>
              </w:rPr>
              <w:t>Preferred stock</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shd w:val="clear" w:color="auto" w:fill="CCEEFF"/>
          </w:tcPr>
          <w:p>
            <w:pPr>
              <w:ind w:left="220"/>
              <w:spacing w:after="0" w:line="153" w:lineRule="exact"/>
              <w:rPr>
                <w:sz w:val="20"/>
                <w:szCs w:val="20"/>
                <w:color w:val="auto"/>
              </w:rPr>
            </w:pPr>
            <w:r>
              <w:rPr>
                <w:rFonts w:ascii="Times New Roman" w:cs="Times New Roman" w:eastAsia="Times New Roman" w:hAnsi="Times New Roman"/>
                <w:sz w:val="14"/>
                <w:szCs w:val="14"/>
                <w:color w:val="auto"/>
              </w:rPr>
              <w:t>tranche</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w:t>
            </w:r>
          </w:p>
        </w:tc>
        <w:tc>
          <w:tcPr>
            <w:tcW w:w="0" w:type="dxa"/>
            <w:vAlign w:val="bottom"/>
          </w:tcPr>
          <w:p>
            <w:pPr>
              <w:spacing w:after="0"/>
              <w:rPr>
                <w:sz w:val="1"/>
                <w:szCs w:val="1"/>
                <w:color w:val="auto"/>
              </w:rPr>
            </w:pPr>
          </w:p>
        </w:tc>
      </w:tr>
      <w:tr>
        <w:trPr>
          <w:trHeight w:val="17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8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shares for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business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combination</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1,003,732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0" w:type="dxa"/>
            <w:vAlign w:val="bottom"/>
          </w:tcPr>
          <w:p>
            <w:pPr>
              <w:spacing w:after="0"/>
              <w:rPr>
                <w:sz w:val="1"/>
                <w:szCs w:val="1"/>
                <w:color w:val="auto"/>
              </w:rPr>
            </w:pPr>
          </w:p>
        </w:tc>
      </w:tr>
      <w:tr>
        <w:trPr>
          <w:trHeight w:val="36"/>
        </w:trPr>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 based</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4,324,892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0" w:type="dxa"/>
            <w:vAlign w:val="bottom"/>
          </w:tcPr>
          <w:p>
            <w:pPr>
              <w:spacing w:after="0"/>
              <w:rPr>
                <w:sz w:val="1"/>
                <w:szCs w:val="1"/>
                <w:color w:val="auto"/>
              </w:rPr>
            </w:pPr>
          </w:p>
        </w:tc>
      </w:tr>
      <w:tr>
        <w:trPr>
          <w:trHeight w:val="17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Exchange</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1,028,652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(1,028,652)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36"/>
        </w:trPr>
        <w:tc>
          <w:tcPr>
            <w:tcW w:w="10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1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Balance at June</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rPr>
              <w:t>164,914</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$164,914</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150,000</w:t>
            </w:r>
          </w:p>
        </w:tc>
        <w:tc>
          <w:tcPr>
            <w:tcW w:w="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$168,681</w:t>
            </w:r>
          </w:p>
        </w:tc>
        <w:tc>
          <w:tcPr>
            <w:tcW w:w="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101,567,545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45,110,224</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665,605</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(320,768)</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304,785</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990,187</w:t>
            </w:r>
          </w:p>
        </w:tc>
        <w:tc>
          <w:tcPr>
            <w:tcW w:w="0" w:type="dxa"/>
            <w:vAlign w:val="bottom"/>
          </w:tcPr>
          <w:p>
            <w:pPr>
              <w:spacing w:after="0"/>
              <w:rPr>
                <w:sz w:val="1"/>
                <w:szCs w:val="1"/>
                <w:color w:val="auto"/>
              </w:rPr>
            </w:pPr>
          </w:p>
        </w:tc>
      </w:tr>
      <w:tr>
        <w:trPr>
          <w:trHeight w:val="204"/>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Mezzanine Equity</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8"/>
        </w:trPr>
        <w:tc>
          <w:tcPr>
            <w:tcW w:w="17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0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91"/>
        </w:trPr>
        <w:tc>
          <w:tcPr>
            <w:tcW w:w="1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60" w:type="dxa"/>
            <w:vAlign w:val="bottom"/>
          </w:tcPr>
          <w:p>
            <w:pPr>
              <w:spacing w:after="0"/>
              <w:rPr>
                <w:sz w:val="16"/>
                <w:szCs w:val="16"/>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78"/>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5"/>
                <w:szCs w:val="15"/>
                <w:b w:val="1"/>
                <w:bCs w:val="1"/>
                <w:color w:val="auto"/>
              </w:rPr>
              <w:t>Series C Preferred</w:t>
            </w:r>
          </w:p>
        </w:tc>
        <w:tc>
          <w:tcPr>
            <w:tcW w:w="162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Class A Common</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paid-in-   (accumulated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 in</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Shareholders</w:t>
            </w:r>
            <w:r>
              <w:rPr>
                <w:rFonts w:ascii="Times New Roman" w:cs="Times New Roman" w:eastAsia="Times New Roman" w:hAnsi="Times New Roman"/>
                <w:sz w:val="15"/>
                <w:szCs w:val="15"/>
                <w:b w:val="1"/>
                <w:bCs w:val="1"/>
                <w:i w:val="1"/>
                <w:iCs w:val="1"/>
                <w:color w:val="auto"/>
                <w:w w:val="99"/>
              </w:rPr>
              <w:t>’</w:t>
            </w:r>
          </w:p>
        </w:tc>
      </w:tr>
      <w:tr>
        <w:trPr>
          <w:trHeight w:val="225"/>
        </w:trPr>
        <w:tc>
          <w:tcPr>
            <w:tcW w:w="1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except share data)</w:t>
            </w:r>
          </w:p>
        </w:tc>
        <w:tc>
          <w:tcPr>
            <w:tcW w:w="1360" w:type="dxa"/>
            <w:vAlign w:val="bottom"/>
            <w:tcBorders>
              <w:bottom w:val="single" w:sz="8" w:color="auto"/>
            </w:tcBorders>
            <w:gridSpan w:val="3"/>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Class B Common Stock</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29"/>
        </w:trPr>
        <w:tc>
          <w:tcPr>
            <w:tcW w:w="17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168"/>
        </w:trPr>
        <w:tc>
          <w:tcPr>
            <w:tcW w:w="172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Balance at March 31,</w:t>
            </w: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224"/>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115,000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115,093</w:t>
            </w:r>
          </w:p>
        </w:tc>
        <w:tc>
          <w:tcPr>
            <w:tcW w:w="8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71,064,411</w:t>
            </w:r>
          </w:p>
        </w:tc>
        <w:tc>
          <w:tcPr>
            <w:tcW w:w="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48,265,195</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556,197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(163,838)</w:t>
            </w: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387,405</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901,163</w:t>
            </w:r>
          </w:p>
        </w:tc>
      </w:tr>
      <w:tr>
        <w:trPr>
          <w:trHeight w:val="238"/>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(9,368)</w:t>
            </w:r>
          </w:p>
        </w:tc>
      </w:tr>
      <w:tr>
        <w:trPr>
          <w:trHeight w:val="192"/>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Currency translation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1,060</w:t>
            </w:r>
          </w:p>
        </w:tc>
      </w:tr>
      <w:tr>
        <w:trPr>
          <w:trHeight w:val="20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comprehensive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w:t>
            </w:r>
          </w:p>
        </w:tc>
      </w:tr>
      <w:tr>
        <w:trPr>
          <w:trHeight w:val="192"/>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 for partner’s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tax</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(1,853)</w:t>
            </w:r>
          </w:p>
        </w:tc>
      </w:tr>
      <w:tr>
        <w:trPr>
          <w:trHeight w:val="20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preferred</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shares, net of issuance</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6"/>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31,642</w:t>
            </w:r>
          </w:p>
        </w:tc>
      </w:tr>
      <w:tr>
        <w:trPr>
          <w:trHeight w:val="192"/>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Preferred share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shares for</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w:t>
            </w:r>
          </w:p>
        </w:tc>
      </w:tr>
      <w:tr>
        <w:trPr>
          <w:trHeight w:val="192"/>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based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6,450</w:t>
            </w:r>
          </w:p>
        </w:tc>
      </w:tr>
      <w:tr>
        <w:trPr>
          <w:trHeight w:val="20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Shares issued to</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employees on vesting</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6"/>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equity awards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816,542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TRA Exchange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286,242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(286,242) —</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(4,586)</w:t>
            </w:r>
          </w:p>
        </w:tc>
      </w:tr>
      <w:tr>
        <w:trPr>
          <w:trHeight w:val="238"/>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FOS deconsolidation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w:t>
            </w:r>
          </w:p>
        </w:tc>
      </w:tr>
      <w:tr>
        <w:trPr>
          <w:trHeight w:val="220"/>
        </w:trPr>
        <w:tc>
          <w:tcPr>
            <w:tcW w:w="17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LXi deconsolidation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1"/>
        </w:trPr>
        <w:tc>
          <w:tcPr>
            <w:tcW w:w="1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Constellation warrants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w:t>
            </w:r>
          </w:p>
        </w:tc>
      </w:tr>
      <w:tr>
        <w:trPr>
          <w:trHeight w:val="229"/>
        </w:trPr>
        <w:tc>
          <w:tcPr>
            <w:tcW w:w="1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June 30,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$153,442</w:t>
            </w:r>
          </w:p>
        </w:tc>
        <w:tc>
          <w:tcPr>
            <w:tcW w:w="80" w:type="dxa"/>
            <w:vAlign w:val="bottom"/>
          </w:tcPr>
          <w:p>
            <w:pPr>
              <w:spacing w:after="0"/>
              <w:rPr>
                <w:sz w:val="19"/>
                <w:szCs w:val="19"/>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72,167,195</w:t>
            </w:r>
          </w:p>
        </w:tc>
        <w:tc>
          <w:tcPr>
            <w:tcW w:w="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47,978,953</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553,001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(170,241)</w:t>
            </w: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383,304</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926,455</w:t>
            </w:r>
          </w:p>
        </w:tc>
      </w:tr>
      <w:tr>
        <w:trPr>
          <w:trHeight w:val="20"/>
        </w:trPr>
        <w:tc>
          <w:tcPr>
            <w:tcW w:w="1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Changes in Mezzanine Equity and Shareholders’ Equity (Unaudited)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Mezzanine Equity</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00" w:type="dxa"/>
            <w:vAlign w:val="bottom"/>
            <w:tcBorders>
              <w:top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Non-</w:t>
            </w: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18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60" w:type="dxa"/>
            <w:vAlign w:val="bottom"/>
          </w:tcPr>
          <w:p>
            <w:pPr>
              <w:spacing w:after="0"/>
              <w:rPr>
                <w:sz w:val="16"/>
                <w:szCs w:val="16"/>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78"/>
        </w:trPr>
        <w:tc>
          <w:tcPr>
            <w:tcW w:w="16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1480" w:type="dxa"/>
            <w:vAlign w:val="bottom"/>
            <w:gridSpan w:val="4"/>
          </w:tcPr>
          <w:p>
            <w:pPr>
              <w:ind w:left="100"/>
              <w:spacing w:after="0"/>
              <w:rPr>
                <w:sz w:val="20"/>
                <w:szCs w:val="20"/>
                <w:color w:val="auto"/>
              </w:rPr>
            </w:pPr>
            <w:r>
              <w:rPr>
                <w:rFonts w:ascii="Times New Roman" w:cs="Times New Roman" w:eastAsia="Times New Roman" w:hAnsi="Times New Roman"/>
                <w:sz w:val="15"/>
                <w:szCs w:val="15"/>
                <w:b w:val="1"/>
                <w:bCs w:val="1"/>
                <w:color w:val="auto"/>
              </w:rPr>
              <w:t>Series C Preferred</w:t>
            </w:r>
          </w:p>
        </w:tc>
        <w:tc>
          <w:tcPr>
            <w:tcW w:w="1620" w:type="dxa"/>
            <w:vAlign w:val="bottom"/>
            <w:gridSpan w:val="5"/>
          </w:tcPr>
          <w:p>
            <w:pPr>
              <w:ind w:left="200"/>
              <w:spacing w:after="0"/>
              <w:rPr>
                <w:sz w:val="20"/>
                <w:szCs w:val="20"/>
                <w:color w:val="auto"/>
              </w:rPr>
            </w:pPr>
            <w:r>
              <w:rPr>
                <w:rFonts w:ascii="Times New Roman" w:cs="Times New Roman" w:eastAsia="Times New Roman" w:hAnsi="Times New Roman"/>
                <w:sz w:val="15"/>
                <w:szCs w:val="15"/>
                <w:b w:val="1"/>
                <w:bCs w:val="1"/>
                <w:color w:val="auto"/>
              </w:rPr>
              <w:t>Class A Common</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paid-in-   (accumulated</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9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 in</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Shareholders</w:t>
            </w:r>
            <w:r>
              <w:rPr>
                <w:rFonts w:ascii="Times New Roman" w:cs="Times New Roman" w:eastAsia="Times New Roman" w:hAnsi="Times New Roman"/>
                <w:sz w:val="15"/>
                <w:szCs w:val="15"/>
                <w:b w:val="1"/>
                <w:bCs w:val="1"/>
                <w:i w:val="1"/>
                <w:iCs w:val="1"/>
                <w:color w:val="auto"/>
                <w:w w:val="99"/>
              </w:rPr>
              <w:t>’</w:t>
            </w:r>
          </w:p>
        </w:tc>
        <w:tc>
          <w:tcPr>
            <w:tcW w:w="0" w:type="dxa"/>
            <w:vAlign w:val="bottom"/>
          </w:tcPr>
          <w:p>
            <w:pPr>
              <w:spacing w:after="0"/>
              <w:rPr>
                <w:sz w:val="1"/>
                <w:szCs w:val="1"/>
                <w:color w:val="auto"/>
              </w:rPr>
            </w:pPr>
          </w:p>
        </w:tc>
      </w:tr>
      <w:tr>
        <w:trPr>
          <w:trHeight w:val="225"/>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except share data)</w:t>
            </w:r>
          </w:p>
        </w:tc>
        <w:tc>
          <w:tcPr>
            <w:tcW w:w="1400" w:type="dxa"/>
            <w:vAlign w:val="bottom"/>
            <w:tcBorders>
              <w:bottom w:val="single" w:sz="8" w:color="auto"/>
            </w:tcBorders>
            <w:gridSpan w:val="3"/>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Class B Common Stock</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income</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Balance at January 1,</w:t>
            </w: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65,110,875</w:t>
            </w:r>
          </w:p>
        </w:tc>
        <w:tc>
          <w:tcPr>
            <w:tcW w:w="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53,219,713</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536,509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(193,527)</w:t>
            </w:r>
          </w:p>
        </w:tc>
        <w:tc>
          <w:tcPr>
            <w:tcW w:w="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9,155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430,349</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782,493</w:t>
            </w: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(loss)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12,717</w:t>
            </w:r>
          </w:p>
        </w:tc>
        <w:tc>
          <w:tcPr>
            <w:tcW w:w="0" w:type="dxa"/>
            <w:vAlign w:val="bottom"/>
          </w:tcPr>
          <w:p>
            <w:pPr>
              <w:spacing w:after="0"/>
              <w:rPr>
                <w:sz w:val="1"/>
                <w:szCs w:val="1"/>
                <w:color w:val="auto"/>
              </w:rPr>
            </w:pPr>
          </w:p>
        </w:tc>
      </w:tr>
      <w:tr>
        <w:trPr>
          <w:trHeight w:val="192"/>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Currency translation</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(2,929)</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comprehensive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0" w:type="dxa"/>
            <w:vAlign w:val="bottom"/>
          </w:tcPr>
          <w:p>
            <w:pPr>
              <w:spacing w:after="0"/>
              <w:rPr>
                <w:sz w:val="1"/>
                <w:szCs w:val="1"/>
                <w:color w:val="auto"/>
              </w:rPr>
            </w:pPr>
          </w:p>
        </w:tc>
      </w:tr>
      <w:tr>
        <w:trPr>
          <w:trHeight w:val="192"/>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 for partner’s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tax</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(1,882)</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preferred</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shares, net of</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costs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142,800</w:t>
            </w:r>
          </w:p>
        </w:tc>
        <w:tc>
          <w:tcPr>
            <w:tcW w:w="0" w:type="dxa"/>
            <w:vAlign w:val="bottom"/>
          </w:tcPr>
          <w:p>
            <w:pPr>
              <w:spacing w:after="0"/>
              <w:rPr>
                <w:sz w:val="1"/>
                <w:szCs w:val="1"/>
                <w:color w:val="auto"/>
              </w:rPr>
            </w:pPr>
          </w:p>
        </w:tc>
      </w:tr>
      <w:tr>
        <w:trPr>
          <w:trHeight w:val="192"/>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Preferred share</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dividend</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10,642</w:t>
            </w:r>
          </w:p>
        </w:tc>
        <w:tc>
          <w:tcPr>
            <w:tcW w:w="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shares for</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business combination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0" w:type="dxa"/>
            <w:vAlign w:val="bottom"/>
          </w:tcPr>
          <w:p>
            <w:pPr>
              <w:spacing w:after="0"/>
              <w:rPr>
                <w:sz w:val="1"/>
                <w:szCs w:val="1"/>
                <w:color w:val="auto"/>
              </w:rPr>
            </w:pPr>
          </w:p>
        </w:tc>
      </w:tr>
      <w:tr>
        <w:trPr>
          <w:trHeight w:val="192"/>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 based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compensation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9,074</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Shares issued to</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employees on vesting</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equity awards</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1,815,560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TRA Exchange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5,240,760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(5,240,760) —</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(34,092)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(14,064)</w:t>
            </w:r>
          </w:p>
        </w:tc>
        <w:tc>
          <w:tcPr>
            <w:tcW w:w="0" w:type="dxa"/>
            <w:vAlign w:val="bottom"/>
          </w:tcPr>
          <w:p>
            <w:pPr>
              <w:spacing w:after="0"/>
              <w:rPr>
                <w:sz w:val="1"/>
                <w:szCs w:val="1"/>
                <w:color w:val="auto"/>
              </w:rPr>
            </w:pPr>
          </w:p>
        </w:tc>
      </w:tr>
      <w:tr>
        <w:trPr>
          <w:trHeight w:val="238"/>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FOS deconsolidation</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w:t>
            </w:r>
          </w:p>
        </w:tc>
        <w:tc>
          <w:tcPr>
            <w:tcW w:w="0" w:type="dxa"/>
            <w:vAlign w:val="bottom"/>
          </w:tcPr>
          <w:p>
            <w:pPr>
              <w:spacing w:after="0"/>
              <w:rPr>
                <w:sz w:val="1"/>
                <w:szCs w:val="1"/>
                <w:color w:val="auto"/>
              </w:rPr>
            </w:pPr>
          </w:p>
        </w:tc>
      </w:tr>
      <w:tr>
        <w:trPr>
          <w:trHeight w:val="220"/>
        </w:trPr>
        <w:tc>
          <w:tcPr>
            <w:tcW w:w="1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LXi deconsolidation</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(1,370)</w:t>
            </w:r>
          </w:p>
        </w:tc>
        <w:tc>
          <w:tcPr>
            <w:tcW w:w="0" w:type="dxa"/>
            <w:vAlign w:val="bottom"/>
          </w:tcPr>
          <w:p>
            <w:pPr>
              <w:spacing w:after="0"/>
              <w:rPr>
                <w:sz w:val="1"/>
                <w:szCs w:val="1"/>
                <w:color w:val="auto"/>
              </w:rPr>
            </w:pPr>
          </w:p>
        </w:tc>
      </w:tr>
      <w:tr>
        <w:trPr>
          <w:trHeight w:val="20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Constellation</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warrants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3,003</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b w:val="1"/>
                <w:bCs w:val="1"/>
                <w:color w:val="auto"/>
              </w:rPr>
              <w:t>Balance at June 30,</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150,000</w:t>
            </w: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$ 153,442</w:t>
            </w:r>
          </w:p>
        </w:tc>
        <w:tc>
          <w:tcPr>
            <w:tcW w:w="80" w:type="dxa"/>
            <w:vAlign w:val="bottom"/>
          </w:tcPr>
          <w:p>
            <w:pPr>
              <w:spacing w:after="0"/>
              <w:rPr>
                <w:sz w:val="14"/>
                <w:szCs w:val="14"/>
                <w:color w:val="auto"/>
              </w:rPr>
            </w:pPr>
          </w:p>
        </w:tc>
        <w:tc>
          <w:tcPr>
            <w:tcW w:w="8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72,167,195</w:t>
            </w:r>
          </w:p>
        </w:tc>
        <w:tc>
          <w:tcPr>
            <w:tcW w:w="6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47,978,953</w:t>
            </w:r>
          </w:p>
        </w:tc>
        <w:tc>
          <w:tcPr>
            <w:tcW w:w="240" w:type="dxa"/>
            <w:vAlign w:val="bottom"/>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553,001</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(170,241)</w:t>
            </w:r>
          </w:p>
        </w:tc>
        <w:tc>
          <w:tcPr>
            <w:tcW w:w="80" w:type="dxa"/>
            <w:vAlign w:val="bottom"/>
          </w:tcPr>
          <w:p>
            <w:pPr>
              <w:spacing w:after="0"/>
              <w:rPr>
                <w:sz w:val="14"/>
                <w:szCs w:val="14"/>
                <w:color w:val="auto"/>
              </w:rPr>
            </w:pP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6,942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383,304</w:t>
            </w:r>
          </w:p>
        </w:tc>
        <w:tc>
          <w:tcPr>
            <w:tcW w:w="8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926,455</w:t>
            </w:r>
          </w:p>
        </w:tc>
        <w:tc>
          <w:tcPr>
            <w:tcW w:w="0" w:type="dxa"/>
            <w:vAlign w:val="bottom"/>
          </w:tcPr>
          <w:p>
            <w:pPr>
              <w:spacing w:after="0"/>
              <w:rPr>
                <w:sz w:val="1"/>
                <w:szCs w:val="1"/>
                <w:color w:val="auto"/>
              </w:rPr>
            </w:pPr>
          </w:p>
        </w:tc>
      </w:tr>
      <w:tr>
        <w:trPr>
          <w:trHeight w:val="205"/>
        </w:trPr>
        <w:tc>
          <w:tcPr>
            <w:tcW w:w="1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1024"/>
              <w:spacing w:after="0"/>
              <w:rPr>
                <w:sz w:val="20"/>
                <w:szCs w:val="20"/>
                <w:color w:val="auto"/>
              </w:rPr>
            </w:pPr>
            <w:r>
              <w:rPr>
                <w:rFonts w:ascii="Times New Roman" w:cs="Times New Roman" w:eastAsia="Times New Roman" w:hAnsi="Times New Roman"/>
                <w:sz w:val="15"/>
                <w:szCs w:val="15"/>
                <w:b w:val="1"/>
                <w:bCs w:val="1"/>
                <w:color w:val="auto"/>
              </w:rPr>
              <w:t>For the Six Months Ended</w:t>
            </w:r>
          </w:p>
        </w:tc>
      </w:tr>
      <w:tr>
        <w:trPr>
          <w:trHeight w:val="222"/>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30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300" w:type="dxa"/>
            <w:vAlign w:val="bottom"/>
          </w:tcPr>
          <w:p>
            <w:pPr>
              <w:spacing w:after="0"/>
              <w:rPr>
                <w:sz w:val="19"/>
                <w:szCs w:val="19"/>
                <w:color w:val="auto"/>
              </w:rPr>
            </w:pPr>
          </w:p>
        </w:tc>
        <w:tc>
          <w:tcPr>
            <w:tcW w:w="1620" w:type="dxa"/>
            <w:vAlign w:val="bottom"/>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1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(32,925)</w:t>
            </w:r>
          </w:p>
        </w:tc>
        <w:tc>
          <w:tcPr>
            <w:tcW w:w="80" w:type="dxa"/>
            <w:vAlign w:val="bottom"/>
          </w:tcPr>
          <w:p>
            <w:pPr>
              <w:spacing w:after="0"/>
              <w:rPr>
                <w:sz w:val="19"/>
                <w:szCs w:val="19"/>
                <w:color w:val="auto"/>
              </w:rPr>
            </w:pP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12,717</w:t>
            </w:r>
          </w:p>
        </w:tc>
      </w:tr>
      <w:tr>
        <w:trPr>
          <w:trHeight w:val="238"/>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8,968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6,380</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Amortization of debt discounts and deferred financing costs</w:t>
            </w:r>
          </w:p>
        </w:tc>
        <w:tc>
          <w:tcPr>
            <w:tcW w:w="3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Unrealized (gain) loss on investments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2,923</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Realized (gain) loss on investments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(10,619)</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Impairment loss on goodwill and intangible assets</w:t>
            </w:r>
          </w:p>
        </w:tc>
        <w:tc>
          <w:tcPr>
            <w:tcW w:w="30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Fair value (gain) loss on TRA</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(6,322)</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(Income) loss on equity method investments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1,046</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Fair value (gain) loss on earnout liability</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(37,509)</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Fair value gain (loss) on preferred stock tranche liability</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Deferred income tax (benefit) expense</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(8,027)</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Equity-settled share-based payments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9,074</w:t>
            </w:r>
          </w:p>
        </w:tc>
      </w:tr>
      <w:tr>
        <w:trPr>
          <w:trHeight w:val="238"/>
        </w:trPr>
        <w:tc>
          <w:tcPr>
            <w:tcW w:w="7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Unrealized foreign currency (gains)/losses</w:t>
            </w:r>
          </w:p>
        </w:tc>
        <w:tc>
          <w:tcPr>
            <w:tcW w:w="3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20"/>
        </w:trPr>
        <w:tc>
          <w:tcPr>
            <w:tcW w:w="73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Forgiveness of debt of notes receivable from members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r>
      <w:tr>
        <w:trPr>
          <w:trHeight w:val="238"/>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flows due to changes in operating assets and liabilities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(Increase) decrease in fees receivable</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39,485</w:t>
            </w:r>
          </w:p>
        </w:tc>
      </w:tr>
      <w:tr>
        <w:trPr>
          <w:trHeight w:val="238"/>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(Increase) decrease in other assets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(11,376)</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Operating cash flow from operating leases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2,052</w:t>
            </w:r>
          </w:p>
        </w:tc>
      </w:tr>
      <w:tr>
        <w:trPr>
          <w:trHeight w:val="238"/>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Increase (decrease) in accounts payable and accrued expenses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(14,635)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(16,013)</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Increase (decrease) in accrued compensation and profit sharing</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(31,607)</w:t>
            </w:r>
          </w:p>
        </w:tc>
      </w:tr>
      <w:tr>
        <w:trPr>
          <w:trHeight w:val="238"/>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Increase (decrease) in other liabilities</w:t>
            </w: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w:t>
            </w:r>
          </w:p>
        </w:tc>
      </w:tr>
      <w:tr>
        <w:trPr>
          <w:trHeight w:val="222"/>
        </w:trPr>
        <w:tc>
          <w:tcPr>
            <w:tcW w:w="732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Other operating activities</w:t>
            </w:r>
          </w:p>
        </w:tc>
        <w:tc>
          <w:tcPr>
            <w:tcW w:w="300" w:type="dxa"/>
            <w:vAlign w:val="bottom"/>
          </w:tcPr>
          <w:p>
            <w:pPr>
              <w:spacing w:after="0"/>
              <w:rPr>
                <w:sz w:val="19"/>
                <w:szCs w:val="19"/>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22"/>
        </w:trPr>
        <w:tc>
          <w:tcPr>
            <w:tcW w:w="73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(50,118)</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153670</wp:posOffset>
            </wp:positionV>
            <wp:extent cx="713994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4541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(Continued from the previous page)</w:t>
            </w:r>
          </w:p>
        </w:tc>
        <w:tc>
          <w:tcPr>
            <w:tcW w:w="5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5"/>
          </w:tcPr>
          <w:p>
            <w:pPr>
              <w:jc w:val="right"/>
              <w:ind w:right="1144"/>
              <w:spacing w:after="0"/>
              <w:rPr>
                <w:sz w:val="20"/>
                <w:szCs w:val="20"/>
                <w:color w:val="auto"/>
              </w:rPr>
            </w:pPr>
            <w:r>
              <w:rPr>
                <w:rFonts w:ascii="Times New Roman" w:cs="Times New Roman" w:eastAsia="Times New Roman" w:hAnsi="Times New Roman"/>
                <w:sz w:val="15"/>
                <w:szCs w:val="15"/>
                <w:b w:val="1"/>
                <w:bCs w:val="1"/>
                <w:color w:val="auto"/>
              </w:rPr>
              <w:t>For the Six Months Ended</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Receipt of payments of notes receivable from members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Purchases of investments</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Cash payment for delayed share purchase agreement</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Acquisition of Kontora, net of cash acquired</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(6,556)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Acquisition of EEA, net of cash acquired</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(69,014)</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Acquisition of PW, net of cash acquired</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(1,467)</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Sales of investments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825</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Proceeds from sale of FOS</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16,683</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Proceeds from sale of LXi REIT Advisors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32,202</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Proceeds from sale of equity method investment</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Loss on disposal of intangible assets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1"/>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Purchases of fixed assets</w:t>
            </w:r>
          </w:p>
        </w:tc>
        <w:tc>
          <w:tcPr>
            <w:tcW w:w="5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(1,274)</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13,339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(23,654)</w:t>
            </w:r>
          </w:p>
        </w:tc>
      </w:tr>
      <w:tr>
        <w:trPr>
          <w:trHeight w:val="21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Proceeds from issuance of preferred stock and Constellation Warrants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150,000</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Member contribution (distribution)</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(5,534)</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Payments on term notes and lines of credit</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(53,612)</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Borrowings on term notes and lines of credit</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32,258</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Cash payment for earnout</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Taxes paid on net settled share-based compensation awards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(4,037)</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Tax payments on behalf of Umbrella partners</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w:t>
            </w: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Payment of preferred stock and Constellation Warrants issuance costs</w:t>
            </w:r>
          </w:p>
        </w:tc>
        <w:tc>
          <w:tcPr>
            <w:tcW w:w="5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(4,307)</w:t>
            </w:r>
          </w:p>
        </w:tc>
      </w:tr>
      <w:tr>
        <w:trPr>
          <w:trHeight w:val="231"/>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Cash payment of earn-in liability</w:t>
            </w:r>
          </w:p>
        </w:tc>
        <w:tc>
          <w:tcPr>
            <w:tcW w:w="5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112,225</w:t>
            </w:r>
          </w:p>
        </w:tc>
      </w:tr>
      <w:tr>
        <w:trPr>
          <w:trHeight w:val="222"/>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5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(1,177)</w:t>
            </w:r>
          </w:p>
        </w:tc>
      </w:tr>
      <w:tr>
        <w:trPr>
          <w:trHeight w:val="222"/>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(23,080)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41,738</w:t>
            </w:r>
          </w:p>
        </w:tc>
      </w:tr>
      <w:tr>
        <w:trPr>
          <w:trHeight w:val="22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the period</w:t>
            </w:r>
          </w:p>
        </w:tc>
        <w:tc>
          <w:tcPr>
            <w:tcW w:w="5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18,246</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the period</w:t>
            </w:r>
          </w:p>
        </w:tc>
        <w:tc>
          <w:tcPr>
            <w:tcW w:w="56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59,984</w:t>
            </w:r>
          </w:p>
        </w:tc>
      </w:tr>
      <w:tr>
        <w:trPr>
          <w:trHeight w:val="20"/>
        </w:trPr>
        <w:tc>
          <w:tcPr>
            <w:tcW w:w="7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80"/>
        </w:trPr>
        <w:tc>
          <w:tcPr>
            <w:tcW w:w="7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Reconciliation of balance sheet cash and cash equivalents to cash flows:</w:t>
            </w: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on balance sheet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42,414</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59,984</w:t>
            </w:r>
          </w:p>
        </w:tc>
      </w:tr>
      <w:tr>
        <w:trPr>
          <w:trHeight w:val="23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included in Assets held for sale</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3"/>
              </w:rPr>
              <w:t>—</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including cash in Assets held for sale</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42,414</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59,984</w:t>
            </w:r>
          </w:p>
        </w:tc>
      </w:tr>
      <w:tr>
        <w:trPr>
          <w:trHeight w:val="264"/>
        </w:trPr>
        <w:tc>
          <w:tcPr>
            <w:tcW w:w="70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8"/>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0"/>
        </w:trPr>
        <w:tc>
          <w:tcPr>
            <w:tcW w:w="70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209</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843</w:t>
            </w:r>
          </w:p>
        </w:tc>
      </w:tr>
      <w:tr>
        <w:trPr>
          <w:trHeight w:val="238"/>
        </w:trPr>
        <w:tc>
          <w:tcPr>
            <w:tcW w:w="7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Interest payments on term notes and lines of credit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3"/>
              </w:rPr>
              <w:t>10</w:t>
            </w:r>
          </w:p>
        </w:tc>
        <w:tc>
          <w:tcPr>
            <w:tcW w:w="2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8,703</w:t>
            </w: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hanging="438"/>
        <w:spacing w:after="0"/>
        <w:tabs>
          <w:tab w:leader="none" w:pos="440" w:val="left"/>
        </w:tabs>
        <w:numPr>
          <w:ilvl w:val="0"/>
          <w:numId w:val="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the Business</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AlTi is an independent global wealth manager providing entrepreneurs, multi-generational families, institutions, and emerging next-generation leaders with fiduciary advisor services, underscored by a commitment to impact or values-aligned investing. We manage or advise approximately $97.2 billion in combined assets as of June 30, 2025. We have approximately 520 professionals operating in 19 cities in 9 countries across three continents as of June 30,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Separately, we have one internally managed fund strategy and hold stakes in three externally-managed funds in our alternatives platform, with a largely institutional client base.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Capital Structure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the following classes of shares and other instruments outstanding:</w:t>
      </w:r>
    </w:p>
    <w:p>
      <w:pPr>
        <w:spacing w:after="0" w:line="176" w:lineRule="exact"/>
        <w:rPr>
          <w:sz w:val="20"/>
          <w:szCs w:val="20"/>
          <w:color w:val="auto"/>
        </w:rPr>
      </w:pPr>
    </w:p>
    <w:p>
      <w:pPr>
        <w:jc w:val="both"/>
        <w:ind w:left="620" w:hanging="313"/>
        <w:spacing w:after="0" w:line="257"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A Common Stock – Shares of Class A Common Stock that are publicly traded. Class A shareholders are entitled to dividends on shares of Class A Common Stock declared by the Company’s board of directors. As of June 30, 2025, the shares of Class A Common Stock represent 64.1% of the total voting power of all shares of Common Stock.</w:t>
      </w:r>
    </w:p>
    <w:p>
      <w:pPr>
        <w:spacing w:after="0" w:line="138" w:lineRule="exact"/>
        <w:rPr>
          <w:rFonts w:ascii="Times New Roman" w:cs="Times New Roman" w:eastAsia="Times New Roman" w:hAnsi="Times New Roman"/>
          <w:sz w:val="19"/>
          <w:szCs w:val="19"/>
          <w:color w:val="auto"/>
        </w:rPr>
      </w:pPr>
    </w:p>
    <w:p>
      <w:pPr>
        <w:jc w:val="both"/>
        <w:ind w:left="620" w:hanging="313"/>
        <w:spacing w:after="0" w:line="257"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Class B Common Stock – Shares of Class B Common Stock that are not publicly traded. Class B shareholders are entitled to distributions declared by the Company’s board of directors. The distributions are paid by Umbrella. As of June 30, 2025, the shares of Class B Common Stock represent 28.4% of the total voting power of all shares of Common Stock.</w:t>
      </w:r>
    </w:p>
    <w:p>
      <w:pPr>
        <w:spacing w:after="0" w:line="227" w:lineRule="exact"/>
        <w:rPr>
          <w:rFonts w:ascii="Times New Roman" w:cs="Times New Roman" w:eastAsia="Times New Roman" w:hAnsi="Times New Roman"/>
          <w:sz w:val="19"/>
          <w:szCs w:val="19"/>
          <w:color w:val="auto"/>
        </w:rPr>
      </w:pPr>
    </w:p>
    <w:p>
      <w:pPr>
        <w:jc w:val="both"/>
        <w:ind w:left="620" w:hanging="313"/>
        <w:spacing w:after="0" w:line="247" w:lineRule="auto"/>
        <w:tabs>
          <w:tab w:leader="none" w:pos="61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Series A Preferred Stock – On July 31, 2024, the Company completed the sale (the “Investment”) to Allianz Strategic Investments S.à.r.l., a Luxembourg private limited liability company (“Allianz”) (together with the Investment, the “Allianz Transaction”) of (i) 140,000 shares of Series A Preferred Stock and (ii) 19,318,580.96 shares of Class A Common Stock for an aggregate purchase price equal to $250 million (the “Allianz Closing”) and issued to Allianz warrants (the “Allianz Warrants”) to purchase 5,000,000 shares of Class A Common Stock at an exercise price of $7.40 per share pursuant to an Investment Agreement dated February 22, 2024, by and between the Company and Allianz (the “Allianz Investment Agreement”). The Allianz Warrants are classified as a component of equity in the line item Additional paid-in capital on the Company’s Condensed Consolidated Statement of Financial Position as of June 30, 2025. No Allianz Warrants were exercised during the current reporting period.</w:t>
      </w:r>
    </w:p>
    <w:p>
      <w:pPr>
        <w:spacing w:after="0" w:line="201" w:lineRule="exact"/>
        <w:rPr>
          <w:rFonts w:ascii="Times New Roman" w:cs="Times New Roman" w:eastAsia="Times New Roman" w:hAnsi="Times New Roman"/>
          <w:sz w:val="20"/>
          <w:szCs w:val="20"/>
          <w:color w:val="auto"/>
        </w:rPr>
      </w:pPr>
    </w:p>
    <w:p>
      <w:pPr>
        <w:jc w:val="both"/>
        <w:ind w:left="620" w:hanging="313"/>
        <w:spacing w:after="0" w:line="251"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Series A Preferred Stock will receive cumulative, compounding dividends at a rate of 9.75% per year,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50% in shares of Series A Preferred Stock, which will increase the stated value of the issued shares of Series A Preferred Stock, and 50% in shares of Class A Common Stock. The Series A Preferred Stock will also participate with any dividends or distributions declared on the Class A Common Stock.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18" w:name="page19"/>
    <w:bookmarkEnd w:id="18"/>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9"/>
          <w:szCs w:val="19"/>
          <w:color w:val="auto"/>
        </w:rPr>
        <w:t>As of June 30, 2025, the Series A Preferred Stock of 164,914 is inclusive of dividends paid in kind as of and is classified under mezzanine equity on the Company’s Condensed Consolidated Statement of Financial Position. An additional 1,523,289 shares of Class A Common Stock were issued to Allianz as part of the 50% dividends paid in kind. The Series A Preferred Stock has no voting rights and is subject to an ownership cap of 24.9% of the aggregate issued and outstanding shares of Class A Common Stock and Class B Common Stock.</w:t>
      </w:r>
    </w:p>
    <w:p>
      <w:pPr>
        <w:spacing w:after="0" w:line="192"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9"/>
          <w:szCs w:val="19"/>
          <w:color w:val="auto"/>
        </w:rPr>
        <w:t>In addition, on February 22, 2024, the Company entered into a Supplemental Series A Preferred Stock Investment Agreement with Allianz (the “Supplemental Investment Agreement”), pursuant to which, for purposes of funding one or more strategic international acquisitions by the Company or its subsidiaries, Allianz is permitted, at its option, to purchase up to 50,000 additional shares of Series A Preferred Stock up to an aggregate amount equal to $50 million (the “Allianz Tranche Right”). Additional Series A Preferred Stock issued upon exercise of the Allianz Tranche Right will abide by the same terms and conditions in the Allianz Investment Agreement at a price of $1,000 per share.</w:t>
      </w:r>
    </w:p>
    <w:p>
      <w:pPr>
        <w:spacing w:after="0" w:line="194"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9"/>
          <w:szCs w:val="19"/>
          <w:color w:val="auto"/>
        </w:rPr>
        <w:t>In connection with the Allianz Closing, on July 31, 2024 the Company (i) adopted and filed with the Secretary of State of the State of Delaware (x) a certificate of designations for the Series A Preferred Stock setting forth the rights, preferences, privileges and restrictions applicable to the Series A Preferred Stock and (y) an amendment to the Company’s certificate of incorporation to authorize and designate the Company’s Class C Non-Voting Common Stock, par value $0.0001 per share (the “Non-Voting Common Stock”), which was previously approved by the Company’s stockholders, and (ii) entered into an Investor Rights Agreement with Allianz pursuant to which, among other items, Allianz will have the right to nominate two directors to the Company’s board of directors until such time as Allianz ceases to own at least 50% of the initial shares of Class A Common Stock acquired at the Allianz Closing. The Non-Voting Common Stock will be issued to Allianz if the 24.9% ownership cap is triggered.</w:t>
      </w:r>
    </w:p>
    <w:p>
      <w:pPr>
        <w:spacing w:after="0" w:line="19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Also in connection with the Allianz Closing, the Company and AlTi Global Capital, LLC, a wholly-owned subsidiary of the Company, entered into the Fourth Amended and Restated Limited Liability Company Agreement of AlTi Global Capital, LLC (the “Umbrella LLC Agreement”) to create preferred and common units of AlTi Global Capital, LLC that mirror the rights, preferences, privileges and restrictions applicable to the Series A Preferred Stock, which were issued at the Allianz Closing and the Company’s Non-Voting Common Stock, which</w:t>
      </w:r>
    </w:p>
    <w:p>
      <w:pPr>
        <w:jc w:val="both"/>
        <w:ind w:left="320"/>
        <w:spacing w:after="0" w:line="237" w:lineRule="auto"/>
        <w:rPr>
          <w:sz w:val="20"/>
          <w:szCs w:val="20"/>
          <w:color w:val="auto"/>
        </w:rPr>
      </w:pPr>
      <w:r>
        <w:rPr>
          <w:rFonts w:ascii="Times New Roman" w:cs="Times New Roman" w:eastAsia="Times New Roman" w:hAnsi="Times New Roman"/>
          <w:sz w:val="19"/>
          <w:szCs w:val="19"/>
          <w:color w:val="auto"/>
        </w:rPr>
        <w:t>may be issued in the future to Allianz. The Umbrella LLC Agreement was also amended to reflect the creation of preferred units of AlTi Global Capital, LLC that mirror the rights, preferences, privileges and restrictions applicable to the Series C Preferred Stock previously issued to Constellation.</w:t>
      </w:r>
    </w:p>
    <w:p>
      <w:pPr>
        <w:spacing w:after="0" w:line="206" w:lineRule="exact"/>
        <w:rPr>
          <w:sz w:val="20"/>
          <w:szCs w:val="20"/>
          <w:color w:val="auto"/>
        </w:rPr>
      </w:pPr>
    </w:p>
    <w:p>
      <w:pPr>
        <w:jc w:val="both"/>
        <w:ind w:left="320" w:hanging="313"/>
        <w:spacing w:after="0" w:line="247" w:lineRule="auto"/>
        <w:tabs>
          <w:tab w:leader="none" w:pos="30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Series C Preferred Stock – Shares of Series C Preferred Stock that are not publicly traded and issued in connection with the sale of 150,000 shares of Series C Preferred Stock that occurred in two transactions (the “Transactions”) to Constellation AlTi Investor LLC, an affiliate of Constellation Wealth Capital, LLC (“Constellation”) (collectively, the “Constellation Transaction”),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 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June 30, 2025, the 150,000 outstanding</w:t>
      </w:r>
    </w:p>
    <w:p>
      <w:pPr>
        <w:spacing w:after="0" w:line="200" w:lineRule="exact"/>
        <w:rPr>
          <w:sz w:val="20"/>
          <w:szCs w:val="20"/>
          <w:color w:val="auto"/>
        </w:rPr>
      </w:pPr>
    </w:p>
    <w:p>
      <w:pPr>
        <w:spacing w:after="0" w:line="3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71755</wp:posOffset>
            </wp:positionV>
            <wp:extent cx="716534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940"/>
          </w:cols>
          <w:pgMar w:left="620" w:top="2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20"/>
        <w:spacing w:after="0" w:line="278" w:lineRule="auto"/>
        <w:rPr>
          <w:sz w:val="20"/>
          <w:szCs w:val="20"/>
          <w:color w:val="auto"/>
        </w:rPr>
      </w:pPr>
      <w:r>
        <w:rPr>
          <w:rFonts w:ascii="Times New Roman" w:cs="Times New Roman" w:eastAsia="Times New Roman" w:hAnsi="Times New Roman"/>
          <w:sz w:val="19"/>
          <w:szCs w:val="19"/>
          <w:color w:val="auto"/>
        </w:rPr>
        <w:t>shares of Series C Preferred Stock represent 7.5% of the total voting power of all shares. The Series C Preferred Stock is classified under mezzanine equity on the Company’s Condensed Consolidated Statement of Financial Position.</w:t>
      </w:r>
    </w:p>
    <w:p>
      <w:pPr>
        <w:spacing w:after="0" w:line="169" w:lineRule="exact"/>
        <w:rPr>
          <w:sz w:val="20"/>
          <w:szCs w:val="20"/>
          <w:color w:val="auto"/>
        </w:rPr>
      </w:pPr>
    </w:p>
    <w:p>
      <w:pPr>
        <w:jc w:val="both"/>
        <w:ind w:left="620"/>
        <w:spacing w:after="0" w:line="251" w:lineRule="auto"/>
        <w:rPr>
          <w:sz w:val="20"/>
          <w:szCs w:val="20"/>
          <w:color w:val="auto"/>
        </w:rPr>
      </w:pPr>
      <w:r>
        <w:rPr>
          <w:rFonts w:ascii="Times New Roman" w:cs="Times New Roman" w:eastAsia="Times New Roman" w:hAnsi="Times New Roman"/>
          <w:sz w:val="19"/>
          <w:szCs w:val="19"/>
          <w:color w:val="auto"/>
        </w:rPr>
        <w:t>In connection with the Constellation Transaction, the Company issued warrants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These warrants have been classified as a component of equity in the line item Additional paid-in capital on the Company’s Condensed Consolidated Statement of Financial Position as of June 30, 2025. No Constellation Warrants were exercised during the current reporting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AlTi’s capital structure as of June 30, 2025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5894705" cy="4568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94705" cy="456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the number of shares of the Company that were issued and outstanding as of June 30, 2025 and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2320" w:type="dxa"/>
            <w:vAlign w:val="bottom"/>
            <w:gridSpan w:val="2"/>
          </w:tcPr>
          <w:p>
            <w:pPr>
              <w:ind w:left="580"/>
              <w:spacing w:after="0"/>
              <w:rPr>
                <w:sz w:val="20"/>
                <w:szCs w:val="20"/>
                <w:color w:val="auto"/>
              </w:rPr>
            </w:pPr>
            <w:r>
              <w:rPr>
                <w:rFonts w:ascii="Times New Roman" w:cs="Times New Roman" w:eastAsia="Times New Roman" w:hAnsi="Times New Roman"/>
                <w:sz w:val="17"/>
                <w:szCs w:val="17"/>
                <w:b w:val="1"/>
                <w:bCs w:val="1"/>
                <w:color w:val="auto"/>
              </w:rPr>
              <w:t>As of June 30,</w:t>
            </w:r>
          </w:p>
        </w:tc>
        <w:tc>
          <w:tcPr>
            <w:tcW w:w="222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As of December 31,</w:t>
            </w:r>
          </w:p>
        </w:tc>
      </w:tr>
      <w:tr>
        <w:trPr>
          <w:trHeight w:val="223"/>
        </w:trPr>
        <w:tc>
          <w:tcPr>
            <w:tcW w:w="6700" w:type="dxa"/>
            <w:vAlign w:val="bottom"/>
          </w:tcPr>
          <w:p>
            <w:pPr>
              <w:spacing w:after="0"/>
              <w:rPr>
                <w:sz w:val="19"/>
                <w:szCs w:val="19"/>
                <w:color w:val="auto"/>
              </w:rPr>
            </w:pPr>
          </w:p>
        </w:tc>
        <w:tc>
          <w:tcPr>
            <w:tcW w:w="2220" w:type="dxa"/>
            <w:vAlign w:val="bottom"/>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220" w:type="dxa"/>
            <w:vAlign w:val="bottom"/>
          </w:tcPr>
          <w:p>
            <w:pPr>
              <w:jc w:val="right"/>
              <w:ind w:right="85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67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101,567,545</w:t>
            </w:r>
          </w:p>
        </w:tc>
        <w:tc>
          <w:tcPr>
            <w:tcW w:w="1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93,686,980</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Common Stock</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45,110,224</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46,138,876</w:t>
            </w:r>
          </w:p>
        </w:tc>
      </w:tr>
      <w:tr>
        <w:trPr>
          <w:trHeight w:val="26"/>
        </w:trPr>
        <w:tc>
          <w:tcPr>
            <w:tcW w:w="67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Stock</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164,914</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C Preferred Stock</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Segments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organized into two operating segments: Wealth &amp; Capital Solutions and International Real Estate. Described below are the segments</w:t>
      </w:r>
    </w:p>
    <w:p>
      <w:pPr>
        <w:spacing w:after="0" w:line="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and the revenue generated by each, which broadly fall into four categories: (i) recurring management, advisory, or administration fees; (ii) performance or incentive fees; (iii) distributions from investments and (iv) other income or fees.</w:t>
      </w:r>
    </w:p>
    <w:p>
      <w:pPr>
        <w:spacing w:after="0" w:line="189"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9"/>
          <w:szCs w:val="19"/>
          <w:color w:val="auto"/>
        </w:rPr>
        <w:t>During the third quarter ended September 30, 2024, management commenced a strategic review of the Company’s Real Estate Co-Investment and Fund Management Businesses (the “International Real Estate Businesses”). In addition to evaluating future strategic options for these businesses, management has reviewed how these business should be reported, including whether any changes were needed to the components of our operating segments. We concluded that the International Real Estate Businesses are no longer considered a core part of our forward-looking strategy. Consequently, during 2024 we combined the results of these businesses and presented them in a standalone operating segment, separately from our core businesses. Due to the change in the composition of our segments, prior period data has been recast for comparative purposes. On July 11, 2025, the Company’s board of directors approved a plan to conduct an orderly wind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of the International Real Estate Businesses. See Note 21 (Subsequent Events) for further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Wealth &amp; Capital Solutions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Results generated by our Wealth &amp; Capital Solutions segment primarily consist of wealth and investment management and advisory services, trust services, family office services, and the management fees, incentive fees, and distributions from investments received from our interests in internal and external managers of alternative investment strategies (or “Alternatives Platform”). The wealth management client base includes UHNW individuals, families, single-family offices, foundations, and endowments globally, while Alternatives Platform clients are typically institutional. Investment management or advisory fees, incentive fees, and distributions from investments are the primary sources of revenue in our Wealth &amp; Capital Solutions segment. Management fees are generally calculated based on a percentage of the value of billable AUM or AUA (as applicable), while incentive fees are driven by the underlying performance of managed portfolios. As of June 30, 2025 and December 31, 2024, this segment had $87.8 billion and $67.3 billion, respectively, in AUA.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Investment Management and Advisory Services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diversify our clients’ portfolios across risk factors, geographies, and asset classes, including private equity, private credit, hedge funds, real estate, infrastructure and other assets through highly experienced, and hard to access, third-party managers. Our team uses proprietary methodologies to monitor valuations in each major asset class across dozens of geographies and sectors, and to position portfolios where we believe they will have the best return. In building portfolios, we also consider the need to access funds for unexpected living or funding expenses, thereby seeking to avoid forced selling of assets at inopportune times, and for clients in certain jurisdictions, such as the U.S., we are focused on understanding tax considerations and optimizing for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after tax returns. In addition, we offer robust impact investing services that can be delivered across a broad range of asset classes and with investors from all asset levels.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With regard to the unique opportunities that we offer access to, we have established a platform through which we are able to provide clients of our wealth management services access to investments in strategies and asset classes to which they would otherwise likely not be able to gain exposure, including through our private markets partnership with Allianz (for example, because of very high minimum investment thresholds in the underlying funds). We operate a number of such vehicles focused on vintage private equity, credit, real estate, active global managers and hedge fund strategies. The vehicles, by way of example, invest in either a single underlying private equity fund or a portfolio of private equity or other alternative assets funds, in each case, which are managed by access constrained managers we believe, based upon our thorough manager selection processes, will deliver strong risk adjusted performance, in line with their strategy, for our clients. We intend to launch further vintages of such private market vehicles over time to enable our investment management and advisory clients to include an allocation to these alternative funds in their portfolios on a running basis. These private strategies are expected to include traditional as well as innovative and impact investing offerings.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independence of our investment management and advisory services is important to us and our wealth management and OCIO clients. By independent, we mean that our investment management and advisory services operate independently of any managers or investment product manufacturers (including our own) to which we may allocate or recommend allocating capital. In all cases, each client’s individual objectives and expectations are our primary concern, and we employ an open architecture approach, whereby we seek to find the best investment solutions for our clients in the marketplace. More specifically, we do not receive undisclosed forms of compensation; and our investment decisions and recommendations are made with each client’s individual best interests in mind.</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We provide clients with performance reports, detailing the clients’ portfolio performance and comparing such performance to relevant benchmarks or indices. The reporting can also include information encompassing assets that are not in the portfolio managed by AlTi to provide clients a consolidated view of all their assets. We are also able to report on impact performance for those clients interested in tracking impact specific metrics, in addition to their financial performance.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Trust Services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trust services that we provide within our U.S. wealth service offering aim to ensure our clients’ wealth is preserved, protected, and distributed as intended. As of June 30, 2025, these services are primarily provided from Delaware, which is one of the most well-developed trust legal regimes in the United States. Our trust services include creating or modifying trust instruments and acting as fiduciary in a full, directed or executor capacity.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Family Office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family office services are tailored outsourced family office solutions and administrative services which we provide primarily to our larger clients.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family office services cover:</w:t>
      </w:r>
    </w:p>
    <w:p>
      <w:pPr>
        <w:spacing w:after="0" w:line="245" w:lineRule="exact"/>
        <w:rPr>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bookkeeping and back office services;</w:t>
      </w:r>
    </w:p>
    <w:p>
      <w:pPr>
        <w:spacing w:after="0" w:line="22" w:lineRule="exact"/>
        <w:rPr>
          <w:rFonts w:ascii="Arial" w:cs="Arial" w:eastAsia="Arial" w:hAnsi="Arial"/>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private foundation management and grant making;</w:t>
      </w:r>
    </w:p>
    <w:p>
      <w:pPr>
        <w:spacing w:after="0" w:line="14" w:lineRule="exact"/>
        <w:rPr>
          <w:rFonts w:ascii="Arial" w:cs="Arial" w:eastAsia="Arial" w:hAnsi="Arial"/>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oversight of trust administration;</w:t>
      </w:r>
    </w:p>
    <w:p>
      <w:pPr>
        <w:spacing w:after="0" w:line="24" w:lineRule="exact"/>
        <w:rPr>
          <w:rFonts w:ascii="Arial" w:cs="Arial" w:eastAsia="Arial" w:hAnsi="Arial"/>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financial tracking and reporting;</w:t>
      </w:r>
    </w:p>
    <w:p>
      <w:pPr>
        <w:spacing w:after="0" w:line="22" w:lineRule="exact"/>
        <w:rPr>
          <w:rFonts w:ascii="Arial" w:cs="Arial" w:eastAsia="Arial" w:hAnsi="Arial"/>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cash flow management &amp; bill pay; and</w:t>
      </w:r>
    </w:p>
    <w:p>
      <w:pPr>
        <w:spacing w:after="0" w:line="14" w:lineRule="exact"/>
        <w:rPr>
          <w:rFonts w:ascii="Arial" w:cs="Arial" w:eastAsia="Arial" w:hAnsi="Arial"/>
          <w:sz w:val="20"/>
          <w:szCs w:val="20"/>
          <w:color w:val="auto"/>
        </w:rPr>
      </w:pPr>
    </w:p>
    <w:p>
      <w:pPr>
        <w:ind w:left="600" w:hanging="293"/>
        <w:spacing w:after="0"/>
        <w:tabs>
          <w:tab w:leader="none" w:pos="6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9"/>
          <w:szCs w:val="19"/>
          <w:color w:val="auto"/>
        </w:rPr>
        <w:t>other financial services.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also offer clients estate and wealth planning, family governance and education, and philanthropic and strategic services.</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For part of 2024, the Company also had a European trust and private office services business which was deemed non-strategic to the business and was sold on May 8, 2024. See Note 3 (Business Combinations and Divestitures).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Alternatives Platform</w:t>
      </w:r>
    </w:p>
    <w:p>
      <w:pPr>
        <w:spacing w:after="0" w:line="2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Our alternatives platform assists money managers in building their fund management businesses. We have one internally managed fund and stakes in three externally-managed funds. Our internally-managed fund, TIG Arbitrage strategy (“TIG Arbitrage”), is an event-driven fund which has $1.8 billion of AUM as of June 30, 2025. It is managed by our subsidiary TIG Advisors, LLC, an SEC-registered investment advisor. In addition, we have made strategic investments with External Strategic Managers, who manage approximately $5.2 billion of AUM in the aggregate as of June 30, 2025. The strategies of these External Strategic Managers include real estate bridge lending, European long short equities, and Asian credit and special situations. The External Strategic Managers each focus on capital preservation and uncorrelated returns by managing alpha driven investment strategies that align with the needs of a diverse global investor base. As a growth-oriented partner, we work with our fund managers on marketing, business development, and strategy.</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2024, our services also included back and middle office solutions for the funds. These services were spun out on November 15, 2024, under the name Altaira Strategic Partners which continues to provide services to the TIG Arbitrage strategy, in addition to other funds.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International Real Estate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Our International Real Estate segment includes our Real Estate Co-Investment and Real Estate Fund Management businesses. As of June 30, 2025, our AUM/AUA in this segment was $9.4 billion.</w:t>
      </w:r>
    </w:p>
    <w:p>
      <w:pPr>
        <w:spacing w:after="0" w:line="11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9"/>
          <w:szCs w:val="19"/>
          <w:color w:val="auto"/>
        </w:rPr>
        <w:t>Consistent with management’s overall view of the core business, and following a strategic review conducted in the third quarter of 2024, it was determined that the businesses reflected in the International Real Estate segment are not additive to our long-term strategy. On July 11, 2025, the Company’s board of directors approved a plan to conduct an orderly wind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of the International Real Estate Businesses. See Note 21 (Subsequent Events) for further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Real Estate Co-Investment</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Real Estate Fund Management</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Prior to the first quarter of 2024, our real estate fund management business managed two funds based in the United Kingdom: LXi REIT plc (“LXi”), and Home Long Income Fund (“HLIF”), a private fund. As described further below, during 2024 we exited the management of LXi.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Home Long Income Fund</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Home Long Income Fund is an English open-ended investment company launched in October 2018. Its investment objective is to deliver secure inflation-protected income and capital growth by investing in a portfolio of UK homeless shelters. HLIF is advised by SHIA and AFM UK acts as its alternative investment fund manager. Both SHIA and AFM UK are wholly owned subsidiaries of the Company. As of June 30, 2025,</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HLIF had assets under management of approximately $0.3 billion. We are in discussions with a third-party manager to take over the management of HLIF and AFM UK’s and SHIA’s services to HLIF will terminate if the transition completes.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LXi REIT plc</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LXi is an English real estate investment trust company, launched in February 2017, whose shares are traded on the premium segment of the London Stock Exchange’s Main Market. LXi was advised by LXi REIT Advisors Limited (“LRA”), and its investment objective is to deliver inflation-protected income and capital growth over the medium-term for its shareholders through investing in a diversified portfolio of UK property that benefits from long-term index-linked leases with institutional-grade tenants.</w:t>
      </w:r>
    </w:p>
    <w:p>
      <w:pPr>
        <w:spacing w:after="0" w:line="1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January 9, 2024, AlTi RE Public Markets Limited entered into heads of terms to sell 100% of the equity of LRA, the advisor to the publicly-traded fund LXi, to LondonMetric Property Plc (“LondonMetric”). This disposal was completed on March 6, 2024. See Note 3 (Business Combinations and Divestitures) for further information.</w:t>
      </w:r>
    </w:p>
    <w:p>
      <w:pPr>
        <w:spacing w:after="0" w:line="256" w:lineRule="exact"/>
        <w:rPr>
          <w:sz w:val="20"/>
          <w:szCs w:val="20"/>
          <w:color w:val="auto"/>
        </w:rPr>
      </w:pPr>
    </w:p>
    <w:p>
      <w:pPr>
        <w:ind w:left="440" w:hanging="438"/>
        <w:spacing w:after="0"/>
        <w:tabs>
          <w:tab w:leader="none" w:pos="440" w:val="left"/>
        </w:tabs>
        <w:numPr>
          <w:ilvl w:val="0"/>
          <w:numId w:val="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w:t>
      </w:r>
    </w:p>
    <w:p>
      <w:pPr>
        <w:spacing w:after="0" w:line="174" w:lineRule="exact"/>
        <w:rPr>
          <w:rFonts w:ascii="Times New Roman" w:cs="Times New Roman" w:eastAsia="Times New Roman" w:hAnsi="Times New Roman"/>
          <w:sz w:val="19"/>
          <w:szCs w:val="19"/>
          <w:b w:val="1"/>
          <w:bCs w:val="1"/>
          <w:color w:val="auto"/>
        </w:rPr>
      </w:pPr>
    </w:p>
    <w:p>
      <w:pPr>
        <w:ind w:left="900" w:hanging="440"/>
        <w:spacing w:after="0"/>
        <w:tabs>
          <w:tab w:leader="none" w:pos="900" w:val="left"/>
        </w:tabs>
        <w:numPr>
          <w:ilvl w:val="1"/>
          <w:numId w:val="1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Basis of Presentation</w:t>
      </w:r>
    </w:p>
    <w:p>
      <w:pPr>
        <w:spacing w:after="0" w:line="246" w:lineRule="exact"/>
        <w:rPr>
          <w:sz w:val="20"/>
          <w:szCs w:val="20"/>
          <w:color w:val="auto"/>
        </w:rPr>
      </w:pPr>
    </w:p>
    <w:p>
      <w:pPr>
        <w:jc w:val="both"/>
        <w:ind w:left="460"/>
        <w:spacing w:after="0" w:line="235" w:lineRule="auto"/>
        <w:rPr>
          <w:sz w:val="20"/>
          <w:szCs w:val="20"/>
          <w:color w:val="auto"/>
        </w:rPr>
      </w:pPr>
      <w:r>
        <w:rPr>
          <w:rFonts w:ascii="Times New Roman" w:cs="Times New Roman" w:eastAsia="Times New Roman" w:hAnsi="Times New Roman"/>
          <w:sz w:val="19"/>
          <w:szCs w:val="19"/>
          <w:color w:val="auto"/>
        </w:rPr>
        <w:t>The accompanying unaudited condensed consolidated financial statements comprise the financial statements of the Company and its subsidiaries. These condensed consolidated financial statements have been prepared under the accrual basis of accounting in accordance with U.S. GAAP and conform to prevailing practices within the financial services industry, as applicable to the Company, and should be read in conjunction with the annual financial statements included in the Annual Report.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spacing w:after="0" w:line="194" w:lineRule="exact"/>
        <w:rPr>
          <w:sz w:val="20"/>
          <w:szCs w:val="20"/>
          <w:color w:val="auto"/>
        </w:rPr>
      </w:pPr>
    </w:p>
    <w:p>
      <w:pPr>
        <w:jc w:val="both"/>
        <w:ind w:left="460"/>
        <w:spacing w:after="0" w:line="243" w:lineRule="auto"/>
        <w:rPr>
          <w:sz w:val="20"/>
          <w:szCs w:val="20"/>
          <w:color w:val="auto"/>
        </w:rPr>
      </w:pPr>
      <w:r>
        <w:rPr>
          <w:rFonts w:ascii="Times New Roman" w:cs="Times New Roman" w:eastAsia="Times New Roman" w:hAnsi="Times New Roman"/>
          <w:sz w:val="19"/>
          <w:szCs w:val="19"/>
          <w:color w:val="auto"/>
        </w:rPr>
        <w:t>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w:t>
      </w:r>
    </w:p>
    <w:p>
      <w:pPr>
        <w:spacing w:after="0" w:line="196" w:lineRule="exact"/>
        <w:rPr>
          <w:sz w:val="20"/>
          <w:szCs w:val="20"/>
          <w:color w:val="auto"/>
        </w:rPr>
      </w:pPr>
    </w:p>
    <w:p>
      <w:pPr>
        <w:ind w:left="900" w:hanging="440"/>
        <w:spacing w:after="0"/>
        <w:tabs>
          <w:tab w:leader="none" w:pos="900" w:val="left"/>
        </w:tabs>
        <w:numPr>
          <w:ilvl w:val="0"/>
          <w:numId w:val="1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Change in Accounting Principle</w:t>
      </w:r>
    </w:p>
    <w:p>
      <w:pPr>
        <w:spacing w:after="0" w:line="220" w:lineRule="exact"/>
        <w:rPr>
          <w:sz w:val="20"/>
          <w:szCs w:val="20"/>
          <w:color w:val="auto"/>
        </w:rPr>
      </w:pPr>
    </w:p>
    <w:p>
      <w:pPr>
        <w:jc w:val="both"/>
        <w:ind w:left="460"/>
        <w:spacing w:after="0" w:line="233" w:lineRule="auto"/>
        <w:rPr>
          <w:sz w:val="20"/>
          <w:szCs w:val="20"/>
          <w:color w:val="auto"/>
        </w:rPr>
      </w:pPr>
      <w:r>
        <w:rPr>
          <w:rFonts w:ascii="Times New Roman" w:cs="Times New Roman" w:eastAsia="Times New Roman" w:hAnsi="Times New Roman"/>
          <w:sz w:val="19"/>
          <w:szCs w:val="19"/>
          <w:color w:val="auto"/>
        </w:rPr>
        <w:t xml:space="preserve">During the fourth quarter ended December 31, 2024, the Company changed its classification related to the Allianz and Constellation Warrants from liability-classified to equity-classified within the Statement of Financial Position. The Company changed its accounting principle relating to our interpretation of certain contingent settlement provisions within the Allianz and Constellation Warrants and permissibility of related settlement adjustments under ASC 815-40, </w:t>
      </w:r>
      <w:r>
        <w:rPr>
          <w:rFonts w:ascii="Times New Roman" w:cs="Times New Roman" w:eastAsia="Times New Roman" w:hAnsi="Times New Roman"/>
          <w:sz w:val="19"/>
          <w:szCs w:val="19"/>
          <w:i w:val="1"/>
          <w:iCs w:val="1"/>
          <w:color w:val="auto"/>
        </w:rPr>
        <w:t>Contracts in an Entity’s Own Equity.</w:t>
      </w:r>
      <w:r>
        <w:rPr>
          <w:rFonts w:ascii="Times New Roman" w:cs="Times New Roman" w:eastAsia="Times New Roman" w:hAnsi="Times New Roman"/>
          <w:sz w:val="19"/>
          <w:szCs w:val="19"/>
          <w:color w:val="auto"/>
        </w:rPr>
        <w:t xml:space="preserve"> The Company believes this change in accounting principle is preferable as the Allianz and Constellation Warrants met the equity scope exception under ASC 815-40, </w:t>
      </w:r>
      <w:r>
        <w:rPr>
          <w:rFonts w:ascii="Times New Roman" w:cs="Times New Roman" w:eastAsia="Times New Roman" w:hAnsi="Times New Roman"/>
          <w:sz w:val="19"/>
          <w:szCs w:val="19"/>
          <w:i w:val="1"/>
          <w:iCs w:val="1"/>
          <w:color w:val="auto"/>
        </w:rPr>
        <w:t>Contracts in an Entity’s Own Equity</w:t>
      </w:r>
      <w:r>
        <w:rPr>
          <w:rFonts w:ascii="Times New Roman" w:cs="Times New Roman" w:eastAsia="Times New Roman" w:hAnsi="Times New Roman"/>
          <w:sz w:val="19"/>
          <w:szCs w:val="19"/>
          <w:color w:val="auto"/>
        </w:rPr>
        <w:t>, and the economic substance of the Allianz and Constellation Warrants more closely aligns with that of an equity instrument, and how we measure the operating performance of the Company.</w:t>
      </w:r>
    </w:p>
    <w:p>
      <w:pPr>
        <w:spacing w:after="0" w:line="209" w:lineRule="exact"/>
        <w:rPr>
          <w:sz w:val="20"/>
          <w:szCs w:val="20"/>
          <w:color w:val="auto"/>
        </w:rPr>
      </w:pPr>
    </w:p>
    <w:p>
      <w:pPr>
        <w:jc w:val="both"/>
        <w:ind w:left="460"/>
        <w:spacing w:after="0" w:line="237" w:lineRule="auto"/>
        <w:rPr>
          <w:sz w:val="20"/>
          <w:szCs w:val="20"/>
          <w:color w:val="auto"/>
        </w:rPr>
      </w:pPr>
      <w:r>
        <w:rPr>
          <w:rFonts w:ascii="Times New Roman" w:cs="Times New Roman" w:eastAsia="Times New Roman" w:hAnsi="Times New Roman"/>
          <w:sz w:val="19"/>
          <w:szCs w:val="19"/>
          <w:color w:val="auto"/>
        </w:rPr>
        <w:t>This change in accounting policy was applied retrospectively for the year-ended December 31, 2024. As a result of the accounting change, the Company adjusted Net income (loss) and Additional paid-in capital to reverse previously recorded mark-to-market fair value changes of the liability-classified warrants recorded as of the three and six months ended June 30, 2024 of $0.4 million and $0.1 million, respectively. As of June 30, 2025, the Allianz and Constellation Warrants of $9.6 million are recognized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24" w:name="page25"/>
    <w:bookmarkEnd w:id="24"/>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 component of equity within Additional paid-in capital on the Condensed Consolidated Statement of Financial Position.</w:t>
      </w:r>
    </w:p>
    <w:p>
      <w:pPr>
        <w:spacing w:after="0" w:line="208" w:lineRule="exact"/>
        <w:rPr>
          <w:sz w:val="20"/>
          <w:szCs w:val="20"/>
          <w:color w:val="auto"/>
        </w:rPr>
      </w:pPr>
    </w:p>
    <w:p>
      <w:pPr>
        <w:ind w:left="440" w:hanging="440"/>
        <w:spacing w:after="0"/>
        <w:tabs>
          <w:tab w:leader="none" w:pos="440" w:val="left"/>
        </w:tabs>
        <w:numPr>
          <w:ilvl w:val="0"/>
          <w:numId w:val="1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Use of Estimates</w:t>
      </w:r>
    </w:p>
    <w:p>
      <w:pPr>
        <w:spacing w:after="0" w:line="24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judgments relating to future cash flows, 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spacing w:after="0" w:line="137" w:lineRule="exact"/>
        <w:rPr>
          <w:sz w:val="20"/>
          <w:szCs w:val="20"/>
          <w:color w:val="auto"/>
        </w:rPr>
      </w:pPr>
    </w:p>
    <w:p>
      <w:pPr>
        <w:ind w:left="440" w:hanging="440"/>
        <w:spacing w:after="0"/>
        <w:tabs>
          <w:tab w:leader="none" w:pos="440" w:val="left"/>
        </w:tabs>
        <w:numPr>
          <w:ilvl w:val="0"/>
          <w:numId w:val="1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Consolidation</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spacing w:after="0" w:line="1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consolidates all VIEs for which it is the primary beneficiary. An entity is determined to be the primary beneficiary if it holds a controlling financial interest, which is defined as having (a) the power</w:t>
      </w:r>
    </w:p>
    <w:p>
      <w:pPr>
        <w:spacing w:after="0" w:line="200" w:lineRule="exact"/>
        <w:rPr>
          <w:sz w:val="20"/>
          <w:szCs w:val="20"/>
          <w:color w:val="auto"/>
        </w:rPr>
      </w:pPr>
    </w:p>
    <w:p>
      <w:pPr>
        <w:spacing w:after="0" w:line="3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25" w:name="page26"/>
    <w:bookmarkEnd w:id="25"/>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spacing w:after="0" w:line="133" w:lineRule="exact"/>
        <w:rPr>
          <w:sz w:val="20"/>
          <w:szCs w:val="20"/>
          <w:color w:val="auto"/>
        </w:rPr>
      </w:pPr>
    </w:p>
    <w:p>
      <w:pPr>
        <w:ind w:left="440" w:hanging="440"/>
        <w:spacing w:after="0"/>
        <w:tabs>
          <w:tab w:leader="none" w:pos="440" w:val="left"/>
        </w:tabs>
        <w:numPr>
          <w:ilvl w:val="0"/>
          <w:numId w:val="1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Revenue Recognition</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Revenue is recognized when the Company transfers promised goods or services to customers in an amount that reflects the consideration to which the Company expects to be entitled in exchange for those goods or services. A five-step framework is utilized that requires an entity to:</w:t>
      </w:r>
    </w:p>
    <w:p>
      <w:pPr>
        <w:spacing w:after="0" w:line="1" w:lineRule="exact"/>
        <w:rPr>
          <w:sz w:val="20"/>
          <w:szCs w:val="20"/>
          <w:color w:val="auto"/>
        </w:rPr>
      </w:pPr>
    </w:p>
    <w:p>
      <w:pPr>
        <w:jc w:val="both"/>
        <w:spacing w:after="0" w:line="246" w:lineRule="auto"/>
        <w:tabs>
          <w:tab w:leader="none" w:pos="25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Management/Advisory Fees</w:t>
      </w:r>
    </w:p>
    <w:p>
      <w:pPr>
        <w:spacing w:after="0" w:line="180" w:lineRule="exact"/>
        <w:rPr>
          <w:sz w:val="20"/>
          <w:szCs w:val="20"/>
          <w:color w:val="auto"/>
        </w:rPr>
      </w:pPr>
    </w:p>
    <w:p>
      <w:pPr>
        <w:jc w:val="both"/>
        <w:ind w:left="460"/>
        <w:spacing w:after="0" w:line="254" w:lineRule="auto"/>
        <w:rPr>
          <w:sz w:val="20"/>
          <w:szCs w:val="20"/>
          <w:color w:val="auto"/>
        </w:rPr>
      </w:pPr>
      <w:r>
        <w:rPr>
          <w:rFonts w:ascii="Times New Roman" w:cs="Times New Roman" w:eastAsia="Times New Roman" w:hAnsi="Times New Roman"/>
          <w:sz w:val="19"/>
          <w:szCs w:val="19"/>
          <w:color w:val="auto"/>
        </w:rPr>
        <w:t>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w:t>
      </w:r>
    </w:p>
    <w:p>
      <w:pPr>
        <w:spacing w:after="0" w:line="130" w:lineRule="exact"/>
        <w:rPr>
          <w:sz w:val="20"/>
          <w:szCs w:val="20"/>
          <w:color w:val="auto"/>
        </w:rPr>
      </w:pPr>
    </w:p>
    <w:p>
      <w:pPr>
        <w:jc w:val="both"/>
        <w:ind w:left="460"/>
        <w:spacing w:after="0" w:line="264" w:lineRule="auto"/>
        <w:rPr>
          <w:sz w:val="20"/>
          <w:szCs w:val="20"/>
          <w:color w:val="auto"/>
        </w:rPr>
      </w:pPr>
      <w:r>
        <w:rPr>
          <w:rFonts w:ascii="Times New Roman" w:cs="Times New Roman" w:eastAsia="Times New Roman" w:hAnsi="Times New Roman"/>
          <w:sz w:val="19"/>
          <w:szCs w:val="19"/>
          <w:color w:val="auto"/>
        </w:rPr>
        <w:t>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w:t>
      </w:r>
    </w:p>
    <w:p>
      <w:pPr>
        <w:spacing w:after="0" w:line="200" w:lineRule="exact"/>
        <w:rPr>
          <w:sz w:val="20"/>
          <w:szCs w:val="20"/>
          <w:color w:val="auto"/>
        </w:rPr>
      </w:pPr>
    </w:p>
    <w:p>
      <w:pPr>
        <w:spacing w:after="0" w:line="3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64135</wp:posOffset>
            </wp:positionV>
            <wp:extent cx="716534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26" w:name="page27"/>
    <w:bookmarkEnd w:id="26"/>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460"/>
        <w:spacing w:after="0" w:line="268" w:lineRule="auto"/>
        <w:rPr>
          <w:sz w:val="20"/>
          <w:szCs w:val="20"/>
          <w:color w:val="auto"/>
        </w:rPr>
      </w:pPr>
      <w:r>
        <w:rPr>
          <w:rFonts w:ascii="Times New Roman" w:cs="Times New Roman" w:eastAsia="Times New Roman" w:hAnsi="Times New Roman"/>
          <w:sz w:val="18"/>
          <w:szCs w:val="18"/>
          <w:color w:val="auto"/>
        </w:rPr>
        <w:t>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w:t>
      </w:r>
    </w:p>
    <w:p>
      <w:pPr>
        <w:spacing w:after="0" w:line="129" w:lineRule="exact"/>
        <w:rPr>
          <w:sz w:val="20"/>
          <w:szCs w:val="20"/>
          <w:color w:val="auto"/>
        </w:rPr>
      </w:pPr>
    </w:p>
    <w:p>
      <w:pPr>
        <w:jc w:val="both"/>
        <w:ind w:left="460"/>
        <w:spacing w:after="0" w:line="257" w:lineRule="auto"/>
        <w:rPr>
          <w:sz w:val="20"/>
          <w:szCs w:val="20"/>
          <w:color w:val="auto"/>
        </w:rPr>
      </w:pPr>
      <w:r>
        <w:rPr>
          <w:rFonts w:ascii="Times New Roman" w:cs="Times New Roman" w:eastAsia="Times New Roman" w:hAnsi="Times New Roman"/>
          <w:sz w:val="19"/>
          <w:szCs w:val="19"/>
          <w:color w:val="auto"/>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w:t>
      </w:r>
    </w:p>
    <w:p>
      <w:pPr>
        <w:spacing w:after="0" w:line="139"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9"/>
          <w:szCs w:val="19"/>
          <w:color w:val="auto"/>
        </w:rPr>
        <w:t>Our family office services business is also included in the Management/advisory fees line item. Family office services fees are generally structured to reflect an annual agreed upon fee or they can be structured on a project/time-based fee. Family office services fees are typically billed quarterly in arrears. We also generate family office services project/time-based fees arising from accounting, administration fees, set up, the Foreign Account Tax Compliance Act (“FATCA”), and other non-investment advisory services.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Incentive Fees</w:t>
      </w:r>
    </w:p>
    <w:p>
      <w:pPr>
        <w:spacing w:after="0" w:line="180"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9"/>
          <w:szCs w:val="19"/>
          <w:color w:val="auto"/>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i w:val="1"/>
          <w:iCs w:val="1"/>
          <w:color w:val="auto"/>
        </w:rPr>
        <w:t>Other Fees/Income</w:t>
      </w:r>
    </w:p>
    <w:p>
      <w:pPr>
        <w:spacing w:after="0" w:line="231"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9"/>
          <w:szCs w:val="19"/>
          <w:color w:val="auto"/>
        </w:rPr>
        <w:t>The Company generates arrangement fees in its co-investment division by arranging private debt or equity financing, generally in connection with an acquisition. Arrangement fees range from 50 and 175 basis points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135" w:lineRule="exact"/>
        <w:rPr>
          <w:sz w:val="20"/>
          <w:szCs w:val="20"/>
          <w:color w:val="auto"/>
        </w:rPr>
      </w:pPr>
    </w:p>
    <w:p>
      <w:pPr>
        <w:ind w:left="460" w:hanging="460"/>
        <w:spacing w:after="0"/>
        <w:tabs>
          <w:tab w:leader="none" w:pos="460" w:val="left"/>
        </w:tabs>
        <w:numPr>
          <w:ilvl w:val="0"/>
          <w:numId w:val="1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Distributions from Investments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equity interests in External Strategic Managers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spacing w:after="0" w:line="113" w:lineRule="exact"/>
        <w:rPr>
          <w:sz w:val="20"/>
          <w:szCs w:val="20"/>
          <w:color w:val="auto"/>
        </w:rPr>
      </w:pPr>
    </w:p>
    <w:p>
      <w:pPr>
        <w:ind w:left="440" w:hanging="440"/>
        <w:spacing w:after="0"/>
        <w:tabs>
          <w:tab w:leader="none" w:pos="440" w:val="left"/>
        </w:tabs>
        <w:numPr>
          <w:ilvl w:val="0"/>
          <w:numId w:val="1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Cash and Cash Equivalents</w:t>
      </w:r>
    </w:p>
    <w:p>
      <w:pPr>
        <w:spacing w:after="0" w:line="2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Cash and cash equivalents primarily consist of cash and money market funds. Cash balances maintained by consolidated VIEs are not considered legally restricted and are included in cash and cash equivalents on the Condensed Consolidated Statement of Financial Position.</w:t>
      </w:r>
    </w:p>
    <w:p>
      <w:pPr>
        <w:spacing w:after="0" w:line="200" w:lineRule="exact"/>
        <w:rPr>
          <w:sz w:val="20"/>
          <w:szCs w:val="20"/>
          <w:color w:val="auto"/>
        </w:rPr>
      </w:pPr>
    </w:p>
    <w:p>
      <w:pPr>
        <w:spacing w:after="0" w:line="30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64135</wp:posOffset>
            </wp:positionV>
            <wp:extent cx="716534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27" w:name="page28"/>
    <w:bookmarkEnd w:id="27"/>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Cash was held across our U.S. and international markets. A majority of cash in the U.S. was held in checking accounts within the credit facility bank group, including at a major global financial institution which management believes is creditworthy.</w:t>
      </w:r>
    </w:p>
    <w:p>
      <w:pPr>
        <w:spacing w:after="0" w:line="188" w:lineRule="exact"/>
        <w:rPr>
          <w:sz w:val="20"/>
          <w:szCs w:val="20"/>
          <w:color w:val="auto"/>
        </w:rPr>
      </w:pPr>
    </w:p>
    <w:p>
      <w:pPr>
        <w:ind w:left="460" w:hanging="460"/>
        <w:spacing w:after="0"/>
        <w:tabs>
          <w:tab w:leader="none" w:pos="460" w:val="left"/>
        </w:tabs>
        <w:numPr>
          <w:ilvl w:val="0"/>
          <w:numId w:val="1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Restricted Cash and Cash Equivalents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Restricted cash and cash equivalents consist of balances that are restricted as to withdrawal or usage.</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June 30, 2025 and December 31, 2024, restricted cash and cash equivalents amounted to $7.0 million and $9.9 million, respectively, and are included in the line item Cash and cash equivalents on the Condensed Consolidated Statement of Financial Position as of such dates. These amounts represent the level of liquidity to be maintained by the Company’s certain subsidiaries to meet regulatory requirements. Failing to meet the requirement could lead to censure, fines, and ultimately a loss of license.</w:t>
      </w:r>
    </w:p>
    <w:p>
      <w:pPr>
        <w:spacing w:after="0" w:line="122" w:lineRule="exact"/>
        <w:rPr>
          <w:sz w:val="20"/>
          <w:szCs w:val="20"/>
          <w:color w:val="auto"/>
        </w:rPr>
      </w:pPr>
    </w:p>
    <w:p>
      <w:pPr>
        <w:ind w:left="460" w:hanging="460"/>
        <w:spacing w:after="0"/>
        <w:tabs>
          <w:tab w:leader="none" w:pos="460" w:val="left"/>
        </w:tabs>
        <w:numPr>
          <w:ilvl w:val="0"/>
          <w:numId w:val="2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Compensation and Employee Benefits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Cash-Based Compensation</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Compensation and benefits consist of salaries, bonuses, commissions, benefits and payroll taxes. Compensation is accrued over the related service period.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Equity-Based Compensation</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for time-based awards or recognized over a graded-vesting period for awards with both a service and market condition, as applicable.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benefits or expenses in the Condensed Consolidated Statement of Operations.</w:t>
      </w:r>
    </w:p>
    <w:p>
      <w:pPr>
        <w:spacing w:after="0" w:line="115" w:lineRule="exact"/>
        <w:rPr>
          <w:sz w:val="20"/>
          <w:szCs w:val="20"/>
          <w:color w:val="auto"/>
        </w:rPr>
      </w:pPr>
    </w:p>
    <w:p>
      <w:pPr>
        <w:ind w:left="460" w:hanging="460"/>
        <w:spacing w:after="0"/>
        <w:tabs>
          <w:tab w:leader="none" w:pos="460" w:val="left"/>
        </w:tabs>
        <w:numPr>
          <w:ilvl w:val="0"/>
          <w:numId w:val="2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Foreign Currency and Transactions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that the Company intends to repay in the foreseeable future are recorded in net income.</w:t>
      </w:r>
    </w:p>
    <w:p>
      <w:pPr>
        <w:spacing w:after="0" w:line="200" w:lineRule="exact"/>
        <w:rPr>
          <w:sz w:val="20"/>
          <w:szCs w:val="20"/>
          <w:color w:val="auto"/>
        </w:rPr>
      </w:pPr>
    </w:p>
    <w:p>
      <w:pPr>
        <w:spacing w:after="0" w:line="30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28" w:name="page29"/>
    <w:bookmarkEnd w:id="28"/>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hanging="440"/>
        <w:spacing w:after="0"/>
        <w:tabs>
          <w:tab w:leader="none" w:pos="440" w:val="left"/>
        </w:tabs>
        <w:numPr>
          <w:ilvl w:val="0"/>
          <w:numId w:val="2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Income Taxes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The Company accounts for income taxes under the asset and liability method in accordance with ASC 740, </w:t>
      </w:r>
      <w:r>
        <w:rPr>
          <w:rFonts w:ascii="Times New Roman" w:cs="Times New Roman" w:eastAsia="Times New Roman" w:hAnsi="Times New Roman"/>
          <w:sz w:val="19"/>
          <w:szCs w:val="19"/>
          <w:i w:val="1"/>
          <w:iCs w:val="1"/>
          <w:color w:val="auto"/>
        </w:rPr>
        <w:t>Income Taxes</w:t>
      </w:r>
      <w:r>
        <w:rPr>
          <w:rFonts w:ascii="Times New Roman" w:cs="Times New Roman" w:eastAsia="Times New Roman" w:hAnsi="Times New Roman"/>
          <w:sz w:val="19"/>
          <w:szCs w:val="19"/>
          <w:color w:val="auto"/>
        </w:rPr>
        <w:t>.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not be realized, meaning the likelihood of realization is less than 50%.</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133" w:lineRule="exact"/>
        <w:rPr>
          <w:sz w:val="20"/>
          <w:szCs w:val="20"/>
          <w:color w:val="auto"/>
        </w:rPr>
      </w:pPr>
    </w:p>
    <w:p>
      <w:pPr>
        <w:ind w:left="460" w:hanging="460"/>
        <w:spacing w:after="0"/>
        <w:tabs>
          <w:tab w:leader="none" w:pos="460" w:val="left"/>
        </w:tabs>
        <w:numPr>
          <w:ilvl w:val="0"/>
          <w:numId w:val="2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Other Assets, Net and Other Liabilities, Net</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Other assets, net include prepaid expenses, miscellaneous receivables, current income taxes receivable, fixed assets, and software licenses. The Company amortizes assets over their respective useful lives, as applicable.</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Other liabilities, net include Pointwise Partners Limited (“PW”) deferred consideration, accrued payroll and payroll related taxes, accrued legal fees, and corporate taxes payable, among other miscellaneous payables.</w:t>
      </w:r>
    </w:p>
    <w:p>
      <w:pPr>
        <w:spacing w:after="0" w:line="9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i w:val="1"/>
          <w:iCs w:val="1"/>
          <w:color w:val="auto"/>
        </w:rPr>
        <w:t>(m)</w:t>
        <w:tab/>
        <w:t>Investments</w:t>
      </w:r>
    </w:p>
    <w:p>
      <w:pPr>
        <w:spacing w:after="0" w:line="24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8"/>
          <w:szCs w:val="18"/>
          <w:i w:val="1"/>
          <w:iCs w:val="1"/>
          <w:color w:val="auto"/>
        </w:rPr>
        <w:t xml:space="preserve">Investments in Debt Securities. </w:t>
      </w:r>
      <w:r>
        <w:rPr>
          <w:rFonts w:ascii="Times New Roman" w:cs="Times New Roman" w:eastAsia="Times New Roman" w:hAnsi="Times New Roman"/>
          <w:sz w:val="18"/>
          <w:szCs w:val="18"/>
          <w:color w:val="auto"/>
        </w:rPr>
        <w:t>The Company classifies debt investments as held-to-maturity or trading based on the Company’s intent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hold the debt security to maturity or its intent to sell the security. The Company does not have any held-to-maturity debt investments.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Trading securities are those investments that are purchased principally for the purpose of selling them in the near term. Trading securities are carried at fair value on the Condensed Consolidated Statement of Financial Position with changes in fair value recorded in Loss on investments on the Condensed Consolidated Statement of Operations.</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Investments in Equity Securities</w:t>
      </w:r>
      <w:r>
        <w:rPr>
          <w:rFonts w:ascii="Times New Roman" w:cs="Times New Roman" w:eastAsia="Times New Roman" w:hAnsi="Times New Roman"/>
          <w:sz w:val="19"/>
          <w:szCs w:val="19"/>
          <w:color w:val="auto"/>
        </w:rPr>
        <w:t>. Equity securities are generally carried at fair value on the Condensed Consolidated Statement of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Position in accordance with ASC 321, </w:t>
      </w:r>
      <w:r>
        <w:rPr>
          <w:rFonts w:ascii="Times New Roman" w:cs="Times New Roman" w:eastAsia="Times New Roman" w:hAnsi="Times New Roman"/>
          <w:sz w:val="19"/>
          <w:szCs w:val="19"/>
          <w:i w:val="1"/>
          <w:iCs w:val="1"/>
          <w:color w:val="auto"/>
        </w:rPr>
        <w:t>Investments – Equity Securities</w:t>
      </w:r>
      <w:r>
        <w:rPr>
          <w:rFonts w:ascii="Times New Roman" w:cs="Times New Roman" w:eastAsia="Times New Roman" w:hAnsi="Times New Roman"/>
          <w:sz w:val="19"/>
          <w:szCs w:val="19"/>
          <w:color w:val="auto"/>
        </w:rPr>
        <w:t>. Changes in fair value are recorded in Loss on investments on the Condensed Consolidated Statement of Operations.</w:t>
      </w:r>
    </w:p>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i w:val="1"/>
          <w:iCs w:val="1"/>
          <w:color w:val="auto"/>
        </w:rPr>
        <w:t>Equity Method</w:t>
      </w:r>
      <w:r>
        <w:rPr>
          <w:rFonts w:ascii="Times New Roman" w:cs="Times New Roman" w:eastAsia="Times New Roman" w:hAnsi="Times New Roman"/>
          <w:sz w:val="19"/>
          <w:szCs w:val="19"/>
          <w:color w:val="auto"/>
        </w:rPr>
        <w:t>. The Company applies the equity method of accounting for equity investments where the Company does not consolidate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investee but can exert significant 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w:t>
      </w:r>
    </w:p>
    <w:p>
      <w:pPr>
        <w:spacing w:after="0" w:line="200" w:lineRule="exact"/>
        <w:rPr>
          <w:sz w:val="20"/>
          <w:szCs w:val="20"/>
          <w:color w:val="auto"/>
        </w:rPr>
      </w:pPr>
    </w:p>
    <w:p>
      <w:pPr>
        <w:spacing w:after="0" w:line="31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29" w:name="page30"/>
    <w:bookmarkEnd w:id="29"/>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fair value option is elected will be measured in accordance with ASC 825, </w:t>
      </w:r>
      <w:r>
        <w:rPr>
          <w:rFonts w:ascii="Times New Roman" w:cs="Times New Roman" w:eastAsia="Times New Roman" w:hAnsi="Times New Roman"/>
          <w:sz w:val="19"/>
          <w:szCs w:val="19"/>
          <w:i w:val="1"/>
          <w:iCs w:val="1"/>
          <w:color w:val="auto"/>
        </w:rPr>
        <w:t>Financial Instruments</w:t>
      </w:r>
      <w:r>
        <w:rPr>
          <w:rFonts w:ascii="Times New Roman" w:cs="Times New Roman" w:eastAsia="Times New Roman" w:hAnsi="Times New Roman"/>
          <w:sz w:val="19"/>
          <w:szCs w:val="19"/>
          <w:color w:val="auto"/>
        </w:rPr>
        <w: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 These losses in value may be considered other than temporary impairment losses.</w:t>
      </w:r>
    </w:p>
    <w:p>
      <w:pPr>
        <w:spacing w:after="0" w:line="135" w:lineRule="exact"/>
        <w:rPr>
          <w:sz w:val="20"/>
          <w:szCs w:val="20"/>
          <w:color w:val="auto"/>
        </w:rPr>
      </w:pPr>
    </w:p>
    <w:p>
      <w:pPr>
        <w:ind w:left="460" w:hanging="460"/>
        <w:spacing w:after="0"/>
        <w:tabs>
          <w:tab w:leader="none" w:pos="460" w:val="left"/>
        </w:tabs>
        <w:numPr>
          <w:ilvl w:val="0"/>
          <w:numId w:val="2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Leases</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Company determines if an arrangement is a lease at inception of the arrangement and primarily enters into operating leases, as the lessee, for office space. The Company accounts for its leases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w:t>
      </w:r>
    </w:p>
    <w:p>
      <w:pPr>
        <w:spacing w:after="0" w:line="3" w:lineRule="exact"/>
        <w:rPr>
          <w:sz w:val="20"/>
          <w:szCs w:val="20"/>
          <w:color w:val="auto"/>
        </w:rPr>
      </w:pPr>
    </w:p>
    <w:p>
      <w:pPr>
        <w:jc w:val="both"/>
        <w:spacing w:after="0" w:line="230" w:lineRule="auto"/>
        <w:tabs>
          <w:tab w:leader="none" w:pos="29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00" w:lineRule="exact"/>
        <w:rPr>
          <w:sz w:val="20"/>
          <w:szCs w:val="20"/>
          <w:color w:val="auto"/>
        </w:rPr>
      </w:pPr>
    </w:p>
    <w:p>
      <w:pPr>
        <w:spacing w:after="0" w:line="31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30" w:name="page31"/>
    <w:bookmarkEnd w:id="30"/>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hanging="440"/>
        <w:spacing w:after="0"/>
        <w:tabs>
          <w:tab w:leader="none" w:pos="440" w:val="left"/>
        </w:tabs>
        <w:numPr>
          <w:ilvl w:val="0"/>
          <w:numId w:val="2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Intangible Assets Other Than Goodwill, Net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recognized certain finite-lived intangible assets as a result of the Business Combination. The Company’s finite-lived intangible assets consist of Customer Relationships, Trade Names, Investment Management Agreements, Licenses, Internally Developed Software and Backlog. Finite-lived intangible assets are amortized on a straight-line basis over their estimated useful lives.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w:t>
      </w:r>
    </w:p>
    <w:p>
      <w:pPr>
        <w:spacing w:after="0" w:line="2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 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 See Note 10 (Intangible Assets, net) for details on impairments.</w:t>
      </w:r>
    </w:p>
    <w:p>
      <w:pPr>
        <w:spacing w:after="0" w:line="174" w:lineRule="exact"/>
        <w:rPr>
          <w:sz w:val="20"/>
          <w:szCs w:val="20"/>
          <w:color w:val="auto"/>
        </w:rPr>
      </w:pPr>
    </w:p>
    <w:p>
      <w:pPr>
        <w:ind w:left="460" w:hanging="460"/>
        <w:spacing w:after="0"/>
        <w:tabs>
          <w:tab w:leader="none" w:pos="460" w:val="left"/>
        </w:tabs>
        <w:numPr>
          <w:ilvl w:val="0"/>
          <w:numId w:val="2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9"/>
          <w:szCs w:val="19"/>
          <w:b w:val="1"/>
          <w:bCs w:val="1"/>
          <w:i w:val="1"/>
          <w:iCs w:val="1"/>
          <w:color w:val="auto"/>
        </w:rPr>
        <w:t>Goodwill</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 xml:space="preserve">Goodwill represents the excess of the purchase price in a business combination over the fair value of the tangible and intangible assets acquired and the liabilities assumed. Under ASC 350, </w:t>
      </w:r>
      <w:r>
        <w:rPr>
          <w:rFonts w:ascii="Times New Roman" w:cs="Times New Roman" w:eastAsia="Times New Roman" w:hAnsi="Times New Roman"/>
          <w:sz w:val="19"/>
          <w:szCs w:val="19"/>
          <w:i w:val="1"/>
          <w:iCs w:val="1"/>
          <w:color w:val="auto"/>
        </w:rPr>
        <w:t>Intangibles—Goodwill and Other</w:t>
      </w:r>
      <w:r>
        <w:rPr>
          <w:rFonts w:ascii="Times New Roman" w:cs="Times New Roman" w:eastAsia="Times New Roman" w:hAnsi="Times New Roman"/>
          <w:sz w:val="19"/>
          <w:szCs w:val="19"/>
          <w:color w:val="auto"/>
        </w:rPr>
        <w:t>, goodwill is not amortized, but rather is subject to an annual impairment test. Goodwill represents the excess of consideration over identifiable net assets of an acquired business. Goodwill is allocated at a reporting unit level. The Company has two reporting units, Wealth &amp; Capital Solutions and International Real Estate, and tests goodwill annually for impairment at each reporting unit. If, after assessing qualitative factors, the Company believes that it is more likely than 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See Note 13 (Goodwill, net) for details on impairments.</w:t>
      </w:r>
    </w:p>
    <w:p>
      <w:pPr>
        <w:spacing w:after="0" w:line="143" w:lineRule="exact"/>
        <w:rPr>
          <w:sz w:val="20"/>
          <w:szCs w:val="20"/>
          <w:color w:val="auto"/>
        </w:rPr>
      </w:pPr>
    </w:p>
    <w:p>
      <w:pPr>
        <w:ind w:left="440" w:hanging="440"/>
        <w:spacing w:after="0"/>
        <w:tabs>
          <w:tab w:leader="none" w:pos="440" w:val="left"/>
        </w:tabs>
        <w:numPr>
          <w:ilvl w:val="0"/>
          <w:numId w:val="28"/>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Fixed Assets, Net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w:t>
      </w:r>
    </w:p>
    <w:p>
      <w:pPr>
        <w:spacing w:after="0" w:line="200" w:lineRule="exact"/>
        <w:rPr>
          <w:sz w:val="20"/>
          <w:szCs w:val="20"/>
          <w:color w:val="auto"/>
        </w:rPr>
      </w:pPr>
    </w:p>
    <w:p>
      <w:pPr>
        <w:spacing w:after="0" w:line="30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31" w:name="page32"/>
    <w:bookmarkEnd w:id="31"/>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one to ten years. Fixed assets are reviewed for impairment whenever events or changes in circumstances indicate that the carrying amount of an asset may not be recoverable.</w:t>
      </w:r>
    </w:p>
    <w:p>
      <w:pPr>
        <w:spacing w:after="0" w:line="135" w:lineRule="exact"/>
        <w:rPr>
          <w:sz w:val="20"/>
          <w:szCs w:val="20"/>
          <w:color w:val="auto"/>
        </w:rPr>
      </w:pPr>
    </w:p>
    <w:p>
      <w:pPr>
        <w:ind w:left="460" w:hanging="460"/>
        <w:spacing w:after="0"/>
        <w:tabs>
          <w:tab w:leader="none" w:pos="460" w:val="left"/>
        </w:tabs>
        <w:numPr>
          <w:ilvl w:val="0"/>
          <w:numId w:val="2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Debt Obligations, Net</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Company’s debt obligations are recorded at amortized cost, net of any debt issuance costs, discounts and premiums. Debt issuance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w:t>
      </w:r>
    </w:p>
    <w:p>
      <w:pPr>
        <w:spacing w:after="0" w:line="138" w:lineRule="exact"/>
        <w:rPr>
          <w:sz w:val="20"/>
          <w:szCs w:val="20"/>
          <w:color w:val="auto"/>
        </w:rPr>
      </w:pPr>
    </w:p>
    <w:p>
      <w:pPr>
        <w:ind w:left="460" w:hanging="460"/>
        <w:spacing w:after="0"/>
        <w:tabs>
          <w:tab w:leader="none" w:pos="460" w:val="left"/>
        </w:tabs>
        <w:numPr>
          <w:ilvl w:val="0"/>
          <w:numId w:val="30"/>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2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Gain (loss) on TRA in the Condensed Consolidated Statement of Operations. Future exchanges of Class B Units for shares of Class A Common Stock may increase the TRA liability. Those increases will be carried at a value equal to the expected future payments due under the TRA. See Note 19 (Commitments and Contingencies) for a detailed discussion on TRA exchanges. For future changes in the TRA balance due to exchanges, the Company will record an initial estimate of future payments under the TRA portion as an adjustment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spacing w:after="0" w:line="135" w:lineRule="exact"/>
        <w:rPr>
          <w:sz w:val="20"/>
          <w:szCs w:val="20"/>
          <w:color w:val="auto"/>
        </w:rPr>
      </w:pPr>
    </w:p>
    <w:p>
      <w:pPr>
        <w:ind w:left="460" w:hanging="460"/>
        <w:spacing w:after="0"/>
        <w:tabs>
          <w:tab w:leader="none" w:pos="460" w:val="left"/>
        </w:tabs>
        <w:numPr>
          <w:ilvl w:val="0"/>
          <w:numId w:val="31"/>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Earn-out Liabilities, at Fair Value</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Earn-out liabilities, at fair value, represents contingent consideration payable related to the Business Combination and various acquisitions by the Company. Changes in fair value are recognized in Gain (loss) on earnout liabilities in the Condensed Consolidated Statement of Operations and in Fair value (gain) loss on earnout liability in the Condensed Consolidated Statement of Cash Flows in the period of change. See Note 3 (Business Combinations and Divestitures) and Note 19 (Commitments and Contingencies) for further information.</w:t>
      </w:r>
    </w:p>
    <w:p>
      <w:pPr>
        <w:spacing w:after="0" w:line="124" w:lineRule="exact"/>
        <w:rPr>
          <w:sz w:val="20"/>
          <w:szCs w:val="20"/>
          <w:color w:val="auto"/>
        </w:rPr>
      </w:pPr>
    </w:p>
    <w:p>
      <w:pPr>
        <w:ind w:left="460" w:hanging="460"/>
        <w:spacing w:after="0"/>
        <w:tabs>
          <w:tab w:leader="none" w:pos="460" w:val="left"/>
        </w:tabs>
        <w:numPr>
          <w:ilvl w:val="0"/>
          <w:numId w:val="32"/>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Preferred Stock Tranche Liability, at Fair Value</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Preferred stock tranche liability, at fair value, represents the right, but not the obligation, of Allianz to purchase up to 50,000 additional shares of Series A Preferred Stock up to an aggregate amount equal to $50 million. Changes in fair value are recognized in Gain (loss) on preferred stock tranche liability in the Condensed Consolidated Statement of Operations in the period of change. See Note 1 (Description of the Business), Note 7 (Fair Value Disclosures), and Note 14 (Debt, net of unamortized deferred financing cost) for additional detail related to the Preferred stock tranche liability.</w:t>
      </w:r>
    </w:p>
    <w:p>
      <w:pPr>
        <w:spacing w:after="0" w:line="138" w:lineRule="exact"/>
        <w:rPr>
          <w:sz w:val="20"/>
          <w:szCs w:val="20"/>
          <w:color w:val="auto"/>
        </w:rPr>
      </w:pPr>
    </w:p>
    <w:p>
      <w:pPr>
        <w:ind w:left="440" w:hanging="440"/>
        <w:spacing w:after="0"/>
        <w:tabs>
          <w:tab w:leader="none" w:pos="440" w:val="left"/>
        </w:tabs>
        <w:numPr>
          <w:ilvl w:val="0"/>
          <w:numId w:val="33"/>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Equity-Classified Warrants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 xml:space="preserve">In connection with the Allianz and Constellation Transactions, the Company issued warrants to purchase shares of the Company’s Class A Common Stock. The Company evaluated the Allianz and Constellation Warrants in accordance with ASC 815-40, </w:t>
      </w:r>
      <w:r>
        <w:rPr>
          <w:rFonts w:ascii="Times New Roman" w:cs="Times New Roman" w:eastAsia="Times New Roman" w:hAnsi="Times New Roman"/>
          <w:sz w:val="19"/>
          <w:szCs w:val="19"/>
          <w:i w:val="1"/>
          <w:iCs w:val="1"/>
          <w:color w:val="auto"/>
        </w:rPr>
        <w:t>Contracts in an Entity’s Own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Equity</w:t>
      </w:r>
      <w:r>
        <w:rPr>
          <w:rFonts w:ascii="Times New Roman" w:cs="Times New Roman" w:eastAsia="Times New Roman" w:hAnsi="Times New Roman"/>
          <w:sz w:val="19"/>
          <w:szCs w:val="19"/>
          <w:color w:val="auto"/>
        </w:rPr>
        <w:t>, and determined that the warrants are derivatives that meet the fixed-for-fixed equity classification criteria. As such, the Allianz</w:t>
      </w:r>
    </w:p>
    <w:p>
      <w:pPr>
        <w:spacing w:after="0" w:line="200" w:lineRule="exact"/>
        <w:rPr>
          <w:sz w:val="20"/>
          <w:szCs w:val="20"/>
          <w:color w:val="auto"/>
        </w:rPr>
      </w:pPr>
    </w:p>
    <w:p>
      <w:pPr>
        <w:spacing w:after="0" w:line="3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71755</wp:posOffset>
            </wp:positionV>
            <wp:extent cx="716534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32" w:name="page33"/>
    <w:bookmarkEnd w:id="32"/>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Constellation Warrants are classified as a component of equity in the Condensed Consolidated Statement of Financial Position.</w:t>
      </w:r>
    </w:p>
    <w:p>
      <w:pPr>
        <w:spacing w:after="0" w:line="221" w:lineRule="exact"/>
        <w:rPr>
          <w:sz w:val="20"/>
          <w:szCs w:val="20"/>
          <w:color w:val="auto"/>
        </w:rPr>
      </w:pPr>
    </w:p>
    <w:p>
      <w:pPr>
        <w:ind w:left="460" w:hanging="460"/>
        <w:spacing w:after="0"/>
        <w:tabs>
          <w:tab w:leader="none" w:pos="460" w:val="left"/>
        </w:tabs>
        <w:numPr>
          <w:ilvl w:val="0"/>
          <w:numId w:val="34"/>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Delayed Share Purchase Agreement</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Prior to the Business Combination, TWMH entered into a delayed share purchase agreement (the “TIH SPA”) to purchase a remaining non-controlling interest in its consolidated subsidiary representing 51.1% of shares in TIH. This arrangement was agreed upon for consideration of $2.1 million in cash and $1.2 million in Class A Common Stock. On March 25, 2024, the TIH SPA was fully paid. The stock purchase price was recognized in the Condensed Consolidated Statement of Financial Condition as Additional paid-in capital. As of December 31, 2024, the portion of the TIH SPA reported in Additional paid-in capital was $40.0 thousand.</w:t>
      </w:r>
    </w:p>
    <w:p>
      <w:pPr>
        <w:spacing w:after="0" w:line="138" w:lineRule="exact"/>
        <w:rPr>
          <w:sz w:val="20"/>
          <w:szCs w:val="20"/>
          <w:color w:val="auto"/>
        </w:rPr>
      </w:pPr>
    </w:p>
    <w:p>
      <w:pPr>
        <w:ind w:left="440" w:hanging="440"/>
        <w:spacing w:after="0"/>
        <w:tabs>
          <w:tab w:leader="none" w:pos="440" w:val="left"/>
        </w:tabs>
        <w:numPr>
          <w:ilvl w:val="0"/>
          <w:numId w:val="35"/>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Non-controlling Interests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spacing w:after="0" w:line="137" w:lineRule="exact"/>
        <w:rPr>
          <w:sz w:val="20"/>
          <w:szCs w:val="20"/>
          <w:color w:val="auto"/>
        </w:rPr>
      </w:pPr>
    </w:p>
    <w:p>
      <w:pPr>
        <w:ind w:left="440" w:hanging="440"/>
        <w:spacing w:after="0"/>
        <w:tabs>
          <w:tab w:leader="none" w:pos="440" w:val="left"/>
        </w:tabs>
        <w:numPr>
          <w:ilvl w:val="0"/>
          <w:numId w:val="3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Derivative Financial Instruments</w:t>
      </w:r>
    </w:p>
    <w:p>
      <w:pPr>
        <w:spacing w:after="0" w:line="17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The Company accounts for derivative financial instruments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which requires the Company to recognize all derivative instruments on the Condensed Consolidated Statement of Financial Position as either assets or liabilities and to measure them at fair value each reporting period unless they qualify for normal purchases and normal sales exception. Normal purchases and normal sales contracts are those that provide for the purchase or sale of something other than a financial instrument or derivative instrument that will be delivered in quantities expected to be used or sold by a reporting entity over a reasonable period in the normal course of business.</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In connection with the LXi disposal, the Company determined the contingent consideration meets the definition of a derivative and is recorded as Contingent consideration receivable on the Condensed Consolidated Statement of Financial Position as of June 30, 2025. The Contingent consideration receivable will be remeasured at fair value at each reporting date in accordance with ASC 820, </w:t>
      </w:r>
      <w:r>
        <w:rPr>
          <w:rFonts w:ascii="Times New Roman" w:cs="Times New Roman" w:eastAsia="Times New Roman" w:hAnsi="Times New Roman"/>
          <w:sz w:val="19"/>
          <w:szCs w:val="19"/>
          <w:i w:val="1"/>
          <w:iCs w:val="1"/>
          <w:color w:val="auto"/>
        </w:rPr>
        <w:t>Fair Value Measurement</w:t>
      </w:r>
      <w:r>
        <w:rPr>
          <w:rFonts w:ascii="Times New Roman" w:cs="Times New Roman" w:eastAsia="Times New Roman" w:hAnsi="Times New Roman"/>
          <w:sz w:val="19"/>
          <w:szCs w:val="19"/>
          <w:color w:val="auto"/>
        </w:rPr>
        <w:t>, with changes in fair value recognized in the Condensed Consolidated Statement of Operations in the period of change.</w:t>
      </w:r>
    </w:p>
    <w:p>
      <w:pPr>
        <w:spacing w:after="0" w:line="124" w:lineRule="exact"/>
        <w:rPr>
          <w:sz w:val="20"/>
          <w:szCs w:val="20"/>
          <w:color w:val="auto"/>
        </w:rPr>
      </w:pPr>
    </w:p>
    <w:p>
      <w:pPr>
        <w:ind w:left="460" w:hanging="460"/>
        <w:spacing w:after="0"/>
        <w:tabs>
          <w:tab w:leader="none" w:pos="460" w:val="left"/>
        </w:tabs>
        <w:numPr>
          <w:ilvl w:val="0"/>
          <w:numId w:val="3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Segment Reporting</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Our business is organized into two operating segments: Wealth &amp; Capital Solutions and International Real Estate. During the third quarter ended September 30, 2024, the Company changed the composition of its reportable segments and recast prior period amounts to conform to the Company’s current period segment information. Segment information is utilized by the Company’s chief operating decision maker, which is our Chief Executive Officer, to assess performance and to allocate resources. See Note 1 (Description of the Business) and Note 17 (Segment Reporting) for further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(aa)  Interest Income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Interest income is earned on the Company’s cash balances, money market accounts, or through its investments in exchange-traded notes. These generally include debt securities held on a short- or medium-term basis when the Company has excess cash. The Company recognizes and records interest income in Interest income in the Condensed Consolidated Statement of Operations.</w:t>
      </w:r>
    </w:p>
    <w:p>
      <w:pPr>
        <w:spacing w:after="0" w:line="200" w:lineRule="exact"/>
        <w:rPr>
          <w:sz w:val="20"/>
          <w:szCs w:val="20"/>
          <w:color w:val="auto"/>
        </w:rPr>
      </w:pPr>
    </w:p>
    <w:p>
      <w:pPr>
        <w:spacing w:after="0" w:line="30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64135</wp:posOffset>
            </wp:positionV>
            <wp:extent cx="716534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33" w:name="page34"/>
    <w:bookmarkEnd w:id="33"/>
    <w:p>
      <w:pPr>
        <w:jc w:val="center"/>
        <w:ind w:right="460"/>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Dividend income is earned through investments in common stock, mutual funds, and exchange-traded funds. Dividend income is recorded on the date received and is included in Interest income in the Condensed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(ab)  Interest Expense</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Interest is related to the Company’s debt as well as investments in exchange-traded notes. These generally include debt securities held on a short- or medium-term basis when the Company has excess cash. The Company recognizes and records interest expense in Interest expense in the Condensed Consolidated Statement of Operations.</w:t>
      </w:r>
    </w:p>
    <w:p>
      <w:pPr>
        <w:spacing w:after="0" w:line="17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b w:val="1"/>
          <w:bCs w:val="1"/>
          <w:i w:val="1"/>
          <w:iCs w:val="1"/>
          <w:color w:val="auto"/>
        </w:rPr>
        <w:t>(ac)</w:t>
      </w:r>
      <w:r>
        <w:rPr>
          <w:sz w:val="20"/>
          <w:szCs w:val="20"/>
          <w:color w:val="auto"/>
        </w:rPr>
        <w:tab/>
      </w:r>
      <w:r>
        <w:rPr>
          <w:rFonts w:ascii="Times New Roman" w:cs="Times New Roman" w:eastAsia="Times New Roman" w:hAnsi="Times New Roman"/>
          <w:sz w:val="18"/>
          <w:szCs w:val="18"/>
          <w:b w:val="1"/>
          <w:bCs w:val="1"/>
          <w:i w:val="1"/>
          <w:iCs w:val="1"/>
          <w:color w:val="auto"/>
        </w:rPr>
        <w:t>Other Income and Expenses</w:t>
      </w:r>
    </w:p>
    <w:p>
      <w:pPr>
        <w:spacing w:after="0" w:line="246" w:lineRule="exact"/>
        <w:rPr>
          <w:sz w:val="20"/>
          <w:szCs w:val="20"/>
          <w:color w:val="auto"/>
        </w:rPr>
      </w:pPr>
    </w:p>
    <w:p>
      <w:pPr>
        <w:jc w:val="both"/>
        <w:ind w:firstLine="57"/>
        <w:spacing w:after="0" w:line="264" w:lineRule="auto"/>
        <w:rPr>
          <w:sz w:val="20"/>
          <w:szCs w:val="20"/>
          <w:color w:val="auto"/>
        </w:rPr>
      </w:pPr>
      <w:r>
        <w:rPr>
          <w:rFonts w:ascii="Times New Roman" w:cs="Times New Roman" w:eastAsia="Times New Roman" w:hAnsi="Times New Roman"/>
          <w:sz w:val="19"/>
          <w:szCs w:val="19"/>
          <w:color w:val="auto"/>
        </w:rPr>
        <w:t>Other than Interest income and Interest expense discussed above, other income and expenses include unrealized gains (losses) on investments, income from equity method investees, and other items.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holds investments in common stock, mutual funds, exchange-traded funds, and exchange-traded notes, which represent investments in equity and debt securities. The Company earns realized and unrealized gains and losses which depend on investment performance. Changes in fair value of these investments are recorded in Gain (loss) on investments in the Condensed Consolidated Statement of Operations.</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 Changes in fair value of these investments are recorded in Gain (loss) on investments in the Condensed Consolidated Statement of Operations.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  Held for Sale Accounting</w:t>
      </w: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 xml:space="preserve">In circumstances when the Company is evaluating its components, we may establish plans that require us to evaluate whether a component qualifies for held-for-sale accounting under ASC 360, </w:t>
      </w:r>
      <w:r>
        <w:rPr>
          <w:rFonts w:ascii="Times New Roman" w:cs="Times New Roman" w:eastAsia="Times New Roman" w:hAnsi="Times New Roman"/>
          <w:sz w:val="19"/>
          <w:szCs w:val="19"/>
          <w:i w:val="1"/>
          <w:iCs w:val="1"/>
          <w:color w:val="auto"/>
        </w:rPr>
        <w:t>Property, Plant, and Equipment</w:t>
      </w:r>
      <w:r>
        <w:rPr>
          <w:rFonts w:ascii="Times New Roman" w:cs="Times New Roman" w:eastAsia="Times New Roman" w:hAnsi="Times New Roman"/>
          <w:sz w:val="19"/>
          <w:szCs w:val="19"/>
          <w:color w:val="auto"/>
        </w:rPr>
        <w:t>. If a sale is deemed probable within a twelve-month period, the component is classified to either the assets held for sale or liabilities held for sale line items on the Condensed Consolidated Statement of Financial Position. The disposal group will be measured at the lower of its carrying amount or fair value less the cost to sell. Any long-lived assets shall not be depreciated or amortized while classified as held for sale.</w:t>
      </w:r>
    </w:p>
    <w:p>
      <w:pPr>
        <w:spacing w:after="0" w:line="18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b w:val="1"/>
          <w:bCs w:val="1"/>
          <w:i w:val="1"/>
          <w:iCs w:val="1"/>
          <w:color w:val="auto"/>
        </w:rPr>
        <w:t>(ae)</w:t>
      </w:r>
      <w:r>
        <w:rPr>
          <w:sz w:val="20"/>
          <w:szCs w:val="20"/>
          <w:color w:val="auto"/>
        </w:rPr>
        <w:tab/>
      </w:r>
      <w:r>
        <w:rPr>
          <w:rFonts w:ascii="Times New Roman" w:cs="Times New Roman" w:eastAsia="Times New Roman" w:hAnsi="Times New Roman"/>
          <w:sz w:val="18"/>
          <w:szCs w:val="18"/>
          <w:b w:val="1"/>
          <w:bCs w:val="1"/>
          <w:i w:val="1"/>
          <w:iCs w:val="1"/>
          <w:color w:val="auto"/>
        </w:rPr>
        <w:t>Recent Accounting Pronouncements</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amendments in this update related to the rate reconciliation and income taxes paid disclosures improve the transparency of income tax disclosures by requiring</w:t>
      </w:r>
    </w:p>
    <w:p>
      <w:pPr>
        <w:jc w:val="both"/>
        <w:spacing w:after="0" w:line="232" w:lineRule="auto"/>
        <w:tabs>
          <w:tab w:leader="none" w:pos="3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consistent categories and greater disaggregation of information in the rate reconciliation and (2) income taxes paid disaggregated by jurisdiction. The amendments are effective for annual periods beginning after December 15, 2024, with early adoption permitted. The Company adopted this guidance on January 1, 2025. The adoption of this guidance did not have a material effect on its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64135</wp:posOffset>
            </wp:positionV>
            <wp:extent cx="716534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0780"/>
          </w:cols>
          <w:pgMar w:left="780" w:top="2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460"/>
        <w:spacing w:after="0" w:line="235" w:lineRule="auto"/>
        <w:rPr>
          <w:sz w:val="20"/>
          <w:szCs w:val="20"/>
          <w:color w:val="auto"/>
        </w:rPr>
      </w:pPr>
      <w:r>
        <w:rPr>
          <w:rFonts w:ascii="Times New Roman" w:cs="Times New Roman" w:eastAsia="Times New Roman" w:hAnsi="Times New Roman"/>
          <w:sz w:val="19"/>
          <w:szCs w:val="19"/>
          <w:color w:val="auto"/>
        </w:rPr>
        <w:t>In January 2024, the FASB issued ASU 2024-01, Compensation—Stock Compensation (Topic 718) - Scope Application of Profits Interest and Similar Awards. The amendments in this update improve US GAAP by adding an illustrative example that demonstrates how an entity should apply the scope guidance in paragraph 718-10-15-3 to determine whether a profits interest award should be accounted for in accordance with Topic 718. The amendments in paragraph 718-10-15-3 improve their overall clarity and operability without changing the guidance. The amendments are effective for annual periods beginning after December 15, 2024, and interim periods within annual periods beginning after December 15, 2025, with early adoption permitted. The Company adopted this guidance on January 1, 2025. The adoption of this guidance did not have a material effect on its condensed consolidated financial statements.</w:t>
      </w:r>
    </w:p>
    <w:p>
      <w:pPr>
        <w:spacing w:after="0" w:line="196" w:lineRule="exact"/>
        <w:rPr>
          <w:sz w:val="20"/>
          <w:szCs w:val="20"/>
          <w:color w:val="auto"/>
        </w:rPr>
      </w:pPr>
    </w:p>
    <w:p>
      <w:pPr>
        <w:jc w:val="both"/>
        <w:ind w:left="460"/>
        <w:spacing w:after="0" w:line="272"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at each interim and annual reporting period. The amendments are effective for annual periods beginning after December 15, 2026, and reporting periods within annual reporting periods beginning after December 15, 2027, with early adoption permitted. The Company does not expect the impact of this guidance to be material to its condensed consolidated financial statements.</w:t>
      </w:r>
    </w:p>
    <w:p>
      <w:pPr>
        <w:spacing w:after="0" w:line="177"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19"/>
          <w:szCs w:val="19"/>
          <w:color w:val="auto"/>
        </w:rPr>
        <w:t>In May 2025, the FASB issued ASU 2025-03, Business Combinations (Topic 805) and Consolidation (Topic 810): Determining the Accounting Acquirer in the Acquisition of a Variable Interest Entity. The amendments in this update clarify the guidance in determining the acquirer in an acquisition transaction effected primarily by exchanging equity interests when the legal acquiree is a VIE that meets the definition of a business. The amendments require that an entity consider the same factors that are currently required for determining which entity is the accounting acquirer in other acquisition transactions. The amendments are effective for annual periods beginning after December 15, 2026, and interim reporting periods within those annual reporting periods, with early adoption permitted. The Company does not expect the impact of this guidance to be material to its condensed consolidated financial statements.</w:t>
      </w:r>
    </w:p>
    <w:p>
      <w:pPr>
        <w:spacing w:after="0" w:line="196" w:lineRule="exact"/>
        <w:rPr>
          <w:sz w:val="20"/>
          <w:szCs w:val="20"/>
          <w:color w:val="auto"/>
        </w:rPr>
      </w:pPr>
    </w:p>
    <w:p>
      <w:pPr>
        <w:jc w:val="both"/>
        <w:ind w:left="460"/>
        <w:spacing w:after="0" w:line="251" w:lineRule="auto"/>
        <w:rPr>
          <w:sz w:val="20"/>
          <w:szCs w:val="20"/>
          <w:color w:val="auto"/>
        </w:rPr>
      </w:pPr>
      <w:r>
        <w:rPr>
          <w:rFonts w:ascii="Times New Roman" w:cs="Times New Roman" w:eastAsia="Times New Roman" w:hAnsi="Times New Roman"/>
          <w:sz w:val="19"/>
          <w:szCs w:val="19"/>
          <w:color w:val="auto"/>
        </w:rPr>
        <w:t>In May 2025, the FASB issued ASU 2025-04, Compensation—Stock Compensation (Topic 718) and Revenue from Contracts with Customers (Topic 606): Clarifications to Share-Based Consideration Payable to a Customer. The amendments in this update aim to reduce diversity in practice and improve the decision usefulness and operability of the guidance for share-based consideration payable to a customer in conjunction with selling goods or services. The amendments are effective for annual periods beginning after December 15, 2026, and interim reporting periods within those annual reporting periods, with early adoption permitted. The Company does not expect the impact of this guidance to be material to its condensed consolidated financial statements.</w:t>
      </w:r>
    </w:p>
    <w:p>
      <w:pPr>
        <w:spacing w:after="0" w:line="208" w:lineRule="exact"/>
        <w:rPr>
          <w:sz w:val="20"/>
          <w:szCs w:val="20"/>
          <w:color w:val="auto"/>
        </w:rPr>
      </w:pPr>
    </w:p>
    <w:p>
      <w:pPr>
        <w:jc w:val="both"/>
        <w:ind w:left="460"/>
        <w:spacing w:after="0" w:line="257" w:lineRule="auto"/>
        <w:rPr>
          <w:sz w:val="20"/>
          <w:szCs w:val="20"/>
          <w:color w:val="auto"/>
        </w:rPr>
      </w:pPr>
      <w:r>
        <w:rPr>
          <w:rFonts w:ascii="Times New Roman" w:cs="Times New Roman" w:eastAsia="Times New Roman" w:hAnsi="Times New Roman"/>
          <w:sz w:val="19"/>
          <w:szCs w:val="19"/>
          <w:color w:val="auto"/>
        </w:rPr>
        <w:t>The Company has considered all newly issued accounting guidance that is applicable to its operations and the preparation of its unaudited condensed consolidated statements, including those it has not yet adopted. ASUs not listed above were assessed and either determined to be not applicable or expected to have minimal impact on the Company’s condensed consolidated financial statements.</w:t>
      </w:r>
    </w:p>
    <w:p>
      <w:pPr>
        <w:spacing w:after="0" w:line="275" w:lineRule="exact"/>
        <w:rPr>
          <w:sz w:val="20"/>
          <w:szCs w:val="20"/>
          <w:color w:val="auto"/>
        </w:rPr>
      </w:pPr>
    </w:p>
    <w:p>
      <w:pPr>
        <w:ind w:left="440" w:hanging="438"/>
        <w:spacing w:after="0"/>
        <w:tabs>
          <w:tab w:leader="none" w:pos="440" w:val="left"/>
        </w:tabs>
        <w:numPr>
          <w:ilvl w:val="0"/>
          <w:numId w:val="3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Business Combinations and Divestitures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 of East End Advisors, LLC</w:t>
      </w:r>
    </w:p>
    <w:p>
      <w:pPr>
        <w:spacing w:after="0" w:line="15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9"/>
          <w:szCs w:val="19"/>
          <w:color w:val="auto"/>
        </w:rPr>
        <w:t>On April 3, 2024 (the “EEA Acquisition Date”), the Company acquired all of the issued and outstanding ownership and membership interests of EEA pursuant to the terms of the purchase agreement between the Company and EEA Holding Company, LLC (the “EEA Acquisition”).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EEA Acquisition met the requirements to be considered a business combination under ASC 805. The assets and liabilities acquired from East End Advisors, affected for preliminary adjustments to reflect the fair market values assigned to assets purchased and liabilities assumed, and results of operations, are included in the Company’s condensed consolidated financial statements from the EEA Acquisition Date. The Company has allocated the purchase price to the tangible and identifiable intangible assets acquired and liabilities assumed based on their estimated fair market values at the EEA Acquisition Date as required under ASC 805.</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EEA Acquisition was accounted for using the acquisition method of accounting and the fair value of the total purchase consideration transferred was $93.1 million. Included in the total purchase consideration is contingent consideration of $23.3 million, for which the Company may be required to make additional cash payments contingent on the future EBITDA performance targets between the closing date and the fifth anniversary of the closing date. The contingent consideration was measured at fair value at the acquisition date and recorded within the Earn-out liabilities, at fair value line item in the Condensed Consolidated Statement of Financial Position.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440" w:type="dxa"/>
            <w:vAlign w:val="bottom"/>
          </w:tcPr>
          <w:p>
            <w:pPr>
              <w:spacing w:after="0"/>
              <w:rPr>
                <w:sz w:val="21"/>
                <w:szCs w:val="21"/>
                <w:color w:val="auto"/>
              </w:rPr>
            </w:pPr>
          </w:p>
        </w:tc>
        <w:tc>
          <w:tcPr>
            <w:tcW w:w="1800" w:type="dxa"/>
            <w:vAlign w:val="bottom"/>
          </w:tcPr>
          <w:p>
            <w:pPr>
              <w:jc w:val="right"/>
              <w:ind w:right="707"/>
              <w:spacing w:after="0"/>
              <w:rPr>
                <w:sz w:val="20"/>
                <w:szCs w:val="20"/>
                <w:color w:val="auto"/>
              </w:rPr>
            </w:pPr>
            <w:r>
              <w:rPr>
                <w:rFonts w:ascii="Times New Roman" w:cs="Times New Roman" w:eastAsia="Times New Roman" w:hAnsi="Times New Roman"/>
                <w:sz w:val="19"/>
                <w:szCs w:val="19"/>
                <w:b w:val="1"/>
                <w:bCs w:val="1"/>
                <w:color w:val="auto"/>
              </w:rPr>
              <w:t>Amount</w:t>
            </w:r>
          </w:p>
        </w:tc>
      </w:tr>
      <w:tr>
        <w:trPr>
          <w:trHeight w:val="33"/>
        </w:trPr>
        <w:tc>
          <w:tcPr>
            <w:tcW w:w="9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consideration</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69,013</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Contingent consideration installments</w:t>
            </w:r>
          </w:p>
        </w:tc>
        <w:tc>
          <w:tcPr>
            <w:tcW w:w="4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23,308</w:t>
            </w:r>
          </w:p>
        </w:tc>
      </w:tr>
      <w:tr>
        <w:trPr>
          <w:trHeight w:val="33"/>
        </w:trPr>
        <w:tc>
          <w:tcPr>
            <w:tcW w:w="9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8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Payment of assumed liabilities</w:t>
            </w:r>
          </w:p>
        </w:tc>
        <w:tc>
          <w:tcPr>
            <w:tcW w:w="4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793</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purchase consideration transferred</w:t>
            </w:r>
          </w:p>
        </w:tc>
        <w:tc>
          <w:tcPr>
            <w:tcW w:w="440" w:type="dxa"/>
            <w:vAlign w:val="bottom"/>
            <w:tcBorders>
              <w:top w:val="single" w:sz="8" w:color="auto"/>
            </w:tcBorders>
          </w:tcPr>
          <w:p>
            <w:pPr>
              <w:jc w:val="right"/>
              <w:ind w:right="24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93,114</w:t>
            </w:r>
          </w:p>
        </w:tc>
      </w:tr>
      <w:tr>
        <w:trPr>
          <w:trHeight w:val="33"/>
        </w:trPr>
        <w:tc>
          <w:tcPr>
            <w:tcW w:w="9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incurred $1.3 million of direct acquisition-related expenses, which were recognized in the Professional fees line item of the Condensed Consolidated Statement of Operations during the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fair values of the assets acquired and liabilities assumed in connection with the EEA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EEA Acquisition Date Fair</w:t>
            </w:r>
          </w:p>
        </w:tc>
        <w:tc>
          <w:tcPr>
            <w:tcW w:w="0" w:type="dxa"/>
            <w:vAlign w:val="bottom"/>
          </w:tcPr>
          <w:p>
            <w:pPr>
              <w:spacing w:after="0"/>
              <w:rPr>
                <w:sz w:val="1"/>
                <w:szCs w:val="1"/>
                <w:color w:val="auto"/>
              </w:rPr>
            </w:pPr>
          </w:p>
        </w:tc>
      </w:tr>
      <w:tr>
        <w:trPr>
          <w:trHeight w:val="246"/>
        </w:trPr>
        <w:tc>
          <w:tcPr>
            <w:tcW w:w="900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1740" w:type="dxa"/>
            <w:vAlign w:val="bottom"/>
          </w:tcPr>
          <w:p>
            <w:pPr>
              <w:jc w:val="right"/>
              <w:ind w:right="807"/>
              <w:spacing w:after="0"/>
              <w:rPr>
                <w:sz w:val="20"/>
                <w:szCs w:val="20"/>
                <w:color w:val="auto"/>
              </w:rPr>
            </w:pPr>
            <w:r>
              <w:rPr>
                <w:rFonts w:ascii="Times New Roman" w:cs="Times New Roman" w:eastAsia="Times New Roman" w:hAnsi="Times New Roman"/>
                <w:sz w:val="19"/>
                <w:szCs w:val="19"/>
                <w:b w:val="1"/>
                <w:bCs w:val="1"/>
                <w:color w:val="auto"/>
              </w:rPr>
              <w:t>Value</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500" w:type="dxa"/>
            <w:vAlign w:val="bottom"/>
            <w:tcBorders>
              <w:bottom w:val="single" w:sz="8" w:color="CCEEFF"/>
            </w:tcBorders>
            <w:shd w:val="clear" w:color="auto" w:fill="CCEEFF"/>
          </w:tcPr>
          <w:p>
            <w:pPr>
              <w:jc w:val="right"/>
              <w:ind w:right="307"/>
              <w:spacing w:after="0"/>
              <w:rPr>
                <w:sz w:val="20"/>
                <w:szCs w:val="20"/>
                <w:color w:val="auto"/>
              </w:rPr>
            </w:pPr>
            <w:r>
              <w:rPr>
                <w:rFonts w:ascii="Times New Roman" w:cs="Times New Roman" w:eastAsia="Times New Roman" w:hAnsi="Times New Roman"/>
                <w:sz w:val="19"/>
                <w:szCs w:val="19"/>
                <w:color w:val="auto"/>
                <w:w w:val="8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218</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Management/advisory fees receivable</w:t>
            </w:r>
          </w:p>
        </w:tc>
        <w:tc>
          <w:tcPr>
            <w:tcW w:w="5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Intangible assets</w:t>
            </w:r>
          </w:p>
        </w:tc>
        <w:tc>
          <w:tcPr>
            <w:tcW w:w="5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62,700</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Goodwill</w:t>
            </w:r>
          </w:p>
        </w:tc>
        <w:tc>
          <w:tcPr>
            <w:tcW w:w="5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30,094</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5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2,326</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assets</w:t>
            </w:r>
          </w:p>
        </w:tc>
        <w:tc>
          <w:tcPr>
            <w:tcW w:w="5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1,181</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w:t>
            </w: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96,531</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2,326</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liabilities</w:t>
            </w:r>
          </w:p>
        </w:tc>
        <w:tc>
          <w:tcPr>
            <w:tcW w:w="8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1,012</w:t>
            </w:r>
          </w:p>
        </w:tc>
      </w:tr>
      <w:tr>
        <w:trPr>
          <w:trHeight w:val="33"/>
        </w:trPr>
        <w:tc>
          <w:tcPr>
            <w:tcW w:w="9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Liabilities Assumed</w:t>
            </w:r>
          </w:p>
        </w:tc>
        <w:tc>
          <w:tcPr>
            <w:tcW w:w="880" w:type="dxa"/>
            <w:vAlign w:val="bottom"/>
            <w:tcBorders>
              <w:bottom w:val="single" w:sz="8" w:color="CCEEFF"/>
            </w:tcBorders>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3,417</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 and Liabilities Assumed</w:t>
            </w:r>
          </w:p>
        </w:tc>
        <w:tc>
          <w:tcPr>
            <w:tcW w:w="880" w:type="dxa"/>
            <w:vAlign w:val="bottom"/>
            <w:tcBorders>
              <w:top w:val="single" w:sz="8" w:color="auto"/>
            </w:tcBorders>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93,114</w:t>
            </w:r>
          </w:p>
        </w:tc>
      </w:tr>
    </w:tbl>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During the year ended December 31, 2024, the Company made a measurement period adjustment to the purchase price allocation, which resulted in an increase to goodwill and a decrease to intangibles of $4.6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Net Assets Acquired and Intangibles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With the exception of operating right-of-use assets and operating lease liabilities accounted for under ASC 842,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in accordance with ASC 805, the assets and liabilities were recorded at their respective fair values as of</w:t>
      </w:r>
    </w:p>
    <w:p>
      <w:pPr>
        <w:sectPr>
          <w:pgSz w:w="11900" w:h="16838" w:orient="portrait"/>
          <w:cols w:equalWidth="0" w:num="1">
            <w:col w:w="11240"/>
          </w:cols>
          <w:pgMar w:left="320" w:top="217"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wp:posOffset>
            </wp:positionV>
            <wp:extent cx="716534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April 1, 2024. The Company developed the fair value of intangible assets, which includes trade names, customer relationships and developed technology, using various techniques including relief of royalty, excess earnings method, and a discounted cash flow approach. For all other major assets and liabilities acquired, the Company determined that book value approximated fair value. Goodwill is comprised of expected synergies for the combined operations and the assembled workforce acquired in the Business Combination, which does not qualify as a separately recognized intangible asset. The total amount of goodwill arising in the transaction was allocated to the Company’s Wealth &amp; Capital Solutions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660" w:type="dxa"/>
            <w:vAlign w:val="bottom"/>
          </w:tcPr>
          <w:p>
            <w:pPr>
              <w:spacing w:after="0"/>
              <w:rPr>
                <w:sz w:val="20"/>
                <w:szCs w:val="20"/>
                <w:color w:val="auto"/>
              </w:rPr>
            </w:pPr>
            <w:r>
              <w:rPr>
                <w:rFonts w:ascii="Times New Roman" w:cs="Times New Roman" w:eastAsia="Times New Roman" w:hAnsi="Times New Roman"/>
                <w:sz w:val="19"/>
                <w:szCs w:val="19"/>
                <w:color w:val="auto"/>
              </w:rPr>
              <w:t>Below is a summary of the intangible assets acquired in the EEA Acquisition:</w:t>
            </w: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67"/>
        </w:trPr>
        <w:tc>
          <w:tcPr>
            <w:tcW w:w="666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EEA Acquisition Date Fair</w:t>
            </w: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6"/>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520" w:type="dxa"/>
            <w:vAlign w:val="bottom"/>
          </w:tcPr>
          <w:p>
            <w:pPr>
              <w:jc w:val="right"/>
              <w:ind w:right="67"/>
              <w:spacing w:after="0"/>
              <w:rPr>
                <w:sz w:val="20"/>
                <w:szCs w:val="20"/>
                <w:color w:val="auto"/>
              </w:rPr>
            </w:pPr>
            <w:r>
              <w:rPr>
                <w:rFonts w:ascii="Times New Roman" w:cs="Times New Roman" w:eastAsia="Times New Roman" w:hAnsi="Times New Roman"/>
                <w:sz w:val="19"/>
                <w:szCs w:val="19"/>
                <w:b w:val="1"/>
                <w:bCs w:val="1"/>
                <w:color w:val="auto"/>
              </w:rPr>
              <w:t>Value</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Estimated Life (Years)</w:t>
            </w:r>
          </w:p>
        </w:tc>
      </w:tr>
      <w:tr>
        <w:trPr>
          <w:trHeight w:val="33"/>
        </w:trPr>
        <w:tc>
          <w:tcPr>
            <w:tcW w:w="66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Trade Name</w:t>
            </w:r>
          </w:p>
        </w:tc>
        <w:tc>
          <w:tcPr>
            <w:tcW w:w="1520" w:type="dxa"/>
            <w:vAlign w:val="bottom"/>
            <w:tcBorders>
              <w:bottom w:val="single" w:sz="8" w:color="CCEEFF"/>
            </w:tcBorders>
            <w:shd w:val="clear" w:color="auto" w:fill="CCEEFF"/>
          </w:tcPr>
          <w:p>
            <w:pPr>
              <w:jc w:val="right"/>
              <w:ind w:right="130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1,400</w:t>
            </w:r>
          </w:p>
        </w:tc>
        <w:tc>
          <w:tcPr>
            <w:tcW w:w="2320" w:type="dxa"/>
            <w:vAlign w:val="bottom"/>
            <w:tcBorders>
              <w:bottom w:val="single" w:sz="8" w:color="CCEEFF"/>
            </w:tcBorders>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9"/>
                <w:szCs w:val="19"/>
                <w:color w:val="auto"/>
              </w:rPr>
              <w:t>5</w:t>
            </w:r>
          </w:p>
        </w:tc>
      </w:tr>
      <w:tr>
        <w:trPr>
          <w:trHeight w:val="247"/>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Customer Relationships</w:t>
            </w:r>
          </w:p>
        </w:tc>
        <w:tc>
          <w:tcPr>
            <w:tcW w:w="1520" w:type="dxa"/>
            <w:vAlign w:val="bottom"/>
          </w:tcPr>
          <w:p>
            <w:pPr>
              <w:jc w:val="right"/>
              <w:ind w:right="130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61,000</w:t>
            </w:r>
          </w:p>
        </w:tc>
        <w:tc>
          <w:tcPr>
            <w:tcW w:w="2320" w:type="dxa"/>
            <w:vAlign w:val="bottom"/>
            <w:gridSpan w:val="2"/>
          </w:tcPr>
          <w:p>
            <w:pPr>
              <w:jc w:val="center"/>
              <w:ind w:left="7"/>
              <w:spacing w:after="0"/>
              <w:rPr>
                <w:sz w:val="20"/>
                <w:szCs w:val="20"/>
                <w:color w:val="auto"/>
              </w:rPr>
            </w:pPr>
            <w:r>
              <w:rPr>
                <w:rFonts w:ascii="Times New Roman" w:cs="Times New Roman" w:eastAsia="Times New Roman" w:hAnsi="Times New Roman"/>
                <w:sz w:val="19"/>
                <w:szCs w:val="19"/>
                <w:color w:val="auto"/>
                <w:w w:val="94"/>
              </w:rPr>
              <w:t>17</w:t>
            </w:r>
          </w:p>
        </w:tc>
      </w:tr>
      <w:tr>
        <w:trPr>
          <w:trHeight w:val="33"/>
        </w:trPr>
        <w:tc>
          <w:tcPr>
            <w:tcW w:w="6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8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Developed Technology</w:t>
            </w:r>
          </w:p>
        </w:tc>
        <w:tc>
          <w:tcPr>
            <w:tcW w:w="1520" w:type="dxa"/>
            <w:vAlign w:val="bottom"/>
            <w:tcBorders>
              <w:bottom w:val="single" w:sz="8" w:color="CCEEFF"/>
            </w:tcBorders>
            <w:shd w:val="clear" w:color="auto" w:fill="CCEEFF"/>
          </w:tcPr>
          <w:p>
            <w:pPr>
              <w:jc w:val="right"/>
              <w:ind w:right="130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2320" w:type="dxa"/>
            <w:vAlign w:val="bottom"/>
            <w:tcBorders>
              <w:bottom w:val="single" w:sz="8" w:color="CCEEFF"/>
            </w:tcBorders>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9"/>
                <w:szCs w:val="19"/>
                <w:color w:val="auto"/>
              </w:rPr>
              <w:t>5</w:t>
            </w:r>
          </w:p>
        </w:tc>
      </w:tr>
      <w:tr>
        <w:trPr>
          <w:trHeight w:val="269"/>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Intangible Assets</w:t>
            </w:r>
          </w:p>
        </w:tc>
        <w:tc>
          <w:tcPr>
            <w:tcW w:w="1520" w:type="dxa"/>
            <w:vAlign w:val="bottom"/>
            <w:tcBorders>
              <w:top w:val="single" w:sz="8" w:color="auto"/>
              <w:bottom w:val="single" w:sz="8" w:color="auto"/>
            </w:tcBorders>
          </w:tcPr>
          <w:p>
            <w:pPr>
              <w:jc w:val="right"/>
              <w:ind w:right="130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62,700</w:t>
            </w:r>
          </w:p>
        </w:tc>
        <w:tc>
          <w:tcPr>
            <w:tcW w:w="8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22"/>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85" w:lineRule="exact"/>
        <w:rPr>
          <w:sz w:val="20"/>
          <w:szCs w:val="20"/>
          <w:color w:val="auto"/>
        </w:rPr>
      </w:pPr>
    </w:p>
    <w:p>
      <w:pPr>
        <w:ind w:right="40"/>
        <w:spacing w:after="0" w:line="412" w:lineRule="auto"/>
        <w:rPr>
          <w:sz w:val="20"/>
          <w:szCs w:val="20"/>
          <w:color w:val="auto"/>
        </w:rPr>
      </w:pPr>
      <w:r>
        <w:rPr>
          <w:rFonts w:ascii="Times New Roman" w:cs="Times New Roman" w:eastAsia="Times New Roman" w:hAnsi="Times New Roman"/>
          <w:sz w:val="19"/>
          <w:szCs w:val="19"/>
          <w:color w:val="auto"/>
        </w:rPr>
        <w:t xml:space="preserve">The results of operations for EEA have been included in the Company’s condensed consolidated financial statements from the EEA Acquisition Date. </w:t>
      </w:r>
      <w:r>
        <w:rPr>
          <w:rFonts w:ascii="Times New Roman" w:cs="Times New Roman" w:eastAsia="Times New Roman" w:hAnsi="Times New Roman"/>
          <w:sz w:val="19"/>
          <w:szCs w:val="19"/>
          <w:b w:val="1"/>
          <w:bCs w:val="1"/>
          <w:i w:val="1"/>
          <w:iCs w:val="1"/>
          <w:color w:val="auto"/>
        </w:rPr>
        <w:t>Acquisition of Pointwise Partners Limited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May 9, 2024 (the “PW Acquisition Date”), the Company acquired the remaining 50% of the issued and outstanding ownership and membership interest of PW, increasing its interest from 50% to 100% (the “PW Acquisition”).</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PW Acquisition met the requirements to be considered a business combination under ASC 805. The assets and liabilities acquired from PW, affected for preliminary adjustments to reflect the fair market values assigned to assets purchased and liabilities assumed, and results of operations, are included in the Company’s condensed consolidated financial statements from the PW Acquisition Date. The Company has allocated the purchase price to the tangible and identifiable intangible assets and liabilities assumed based on their estimated fair market values at the PW Acquisition Date as required under ASC 805.</w:t>
      </w:r>
    </w:p>
    <w:p>
      <w:pPr>
        <w:spacing w:after="0" w:line="1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PW Acquisition was accounted for using the acquisition method of accounting and the fair value of the total purchase consideration was $8.0 million. The total purchase consideration transferred includes cash consideration, equity consideration, estimated deferred consideration, and the settlement of pre-existing relationships as summarized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360" w:type="dxa"/>
            <w:vAlign w:val="bottom"/>
          </w:tcPr>
          <w:p>
            <w:pPr>
              <w:spacing w:after="0"/>
              <w:rPr>
                <w:sz w:val="21"/>
                <w:szCs w:val="21"/>
                <w:color w:val="auto"/>
              </w:rPr>
            </w:pPr>
          </w:p>
        </w:tc>
        <w:tc>
          <w:tcPr>
            <w:tcW w:w="1880" w:type="dxa"/>
            <w:vAlign w:val="bottom"/>
          </w:tcPr>
          <w:p>
            <w:pPr>
              <w:jc w:val="right"/>
              <w:ind w:right="527"/>
              <w:spacing w:after="0"/>
              <w:rPr>
                <w:sz w:val="20"/>
                <w:szCs w:val="20"/>
                <w:color w:val="auto"/>
              </w:rPr>
            </w:pPr>
            <w:r>
              <w:rPr>
                <w:rFonts w:ascii="Times New Roman" w:cs="Times New Roman" w:eastAsia="Times New Roman" w:hAnsi="Times New Roman"/>
                <w:sz w:val="19"/>
                <w:szCs w:val="19"/>
                <w:b w:val="1"/>
                <w:bCs w:val="1"/>
                <w:color w:val="auto"/>
              </w:rPr>
              <w:t>PW Amount</w:t>
            </w:r>
          </w:p>
        </w:tc>
      </w:tr>
      <w:tr>
        <w:trPr>
          <w:trHeight w:val="33"/>
        </w:trPr>
        <w:tc>
          <w:tcPr>
            <w:tcW w:w="9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Initial Cash consideration</w:t>
            </w:r>
          </w:p>
        </w:tc>
        <w:tc>
          <w:tcPr>
            <w:tcW w:w="360" w:type="dxa"/>
            <w:vAlign w:val="bottom"/>
            <w:tcBorders>
              <w:bottom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9"/>
                <w:szCs w:val="19"/>
                <w:color w:val="auto"/>
                <w:w w:val="83"/>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1,735</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Equity consideration</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1,705</w:t>
            </w:r>
          </w:p>
        </w:tc>
      </w:tr>
      <w:tr>
        <w:trPr>
          <w:trHeight w:val="33"/>
        </w:trPr>
        <w:tc>
          <w:tcPr>
            <w:tcW w:w="9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Deferred consideration</w:t>
            </w:r>
          </w:p>
        </w:tc>
        <w:tc>
          <w:tcPr>
            <w:tcW w:w="3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3,328</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Settlement of pre-existing relationships</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1,186</w:t>
            </w:r>
          </w:p>
        </w:tc>
      </w:tr>
      <w:tr>
        <w:trPr>
          <w:trHeight w:val="33"/>
        </w:trPr>
        <w:tc>
          <w:tcPr>
            <w:tcW w:w="9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purchase consideration transferred</w:t>
            </w:r>
          </w:p>
        </w:tc>
        <w:tc>
          <w:tcPr>
            <w:tcW w:w="360" w:type="dxa"/>
            <w:vAlign w:val="bottom"/>
            <w:tcBorders>
              <w:bottom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7,954</w:t>
            </w:r>
          </w:p>
        </w:tc>
      </w:tr>
      <w:tr>
        <w:trPr>
          <w:trHeight w:val="20"/>
        </w:trPr>
        <w:tc>
          <w:tcPr>
            <w:tcW w:w="9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estimated deferred consideration of $3.0 million was paid in cash and equity during the first quarter ended March 31, 2025. An additional amount of $1.0 million was paid fully in cash rather than in equity to PW employees upon meeting certain performance milestones. This additional amount was determined to be compensation rather than consideration transferred.</w:t>
      </w:r>
    </w:p>
    <w:p>
      <w:pPr>
        <w:spacing w:after="0" w:line="1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At the PW Acquisition Date, as required by ASC 805, the Company’s existing 50% equity in PW, which was previously recognized as an equity method investment, was revalued to reflect the fair value at this date.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fair value of this existing equity method investment was $6.2 million, which was calculated as 50% of the fair value of PW total equity value, excluding the impact of any synergies or control premium that would be realized by a controlling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fair values of the assets acquired, and liabilities assumed in connection with the PW business combination: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80" w:type="dxa"/>
            <w:vAlign w:val="bottom"/>
          </w:tcPr>
          <w:p>
            <w:pPr>
              <w:spacing w:after="0"/>
              <w:rPr>
                <w:sz w:val="19"/>
                <w:szCs w:val="19"/>
                <w:color w:val="auto"/>
              </w:rPr>
            </w:pPr>
          </w:p>
        </w:tc>
        <w:tc>
          <w:tcPr>
            <w:tcW w:w="2060" w:type="dxa"/>
            <w:vAlign w:val="bottom"/>
          </w:tcPr>
          <w:p>
            <w:pPr>
              <w:jc w:val="right"/>
              <w:ind w:right="207"/>
              <w:spacing w:after="0"/>
              <w:rPr>
                <w:sz w:val="20"/>
                <w:szCs w:val="20"/>
                <w:color w:val="auto"/>
              </w:rPr>
            </w:pPr>
            <w:r>
              <w:rPr>
                <w:rFonts w:ascii="Times New Roman" w:cs="Times New Roman" w:eastAsia="Times New Roman" w:hAnsi="Times New Roman"/>
                <w:sz w:val="19"/>
                <w:szCs w:val="19"/>
                <w:b w:val="1"/>
                <w:bCs w:val="1"/>
                <w:color w:val="auto"/>
              </w:rPr>
              <w:t>PW Acquisition Date</w:t>
            </w:r>
          </w:p>
        </w:tc>
        <w:tc>
          <w:tcPr>
            <w:tcW w:w="0" w:type="dxa"/>
            <w:vAlign w:val="bottom"/>
          </w:tcPr>
          <w:p>
            <w:pPr>
              <w:spacing w:after="0"/>
              <w:rPr>
                <w:sz w:val="1"/>
                <w:szCs w:val="1"/>
                <w:color w:val="auto"/>
              </w:rPr>
            </w:pPr>
          </w:p>
        </w:tc>
      </w:tr>
      <w:tr>
        <w:trPr>
          <w:trHeight w:val="246"/>
        </w:trPr>
        <w:tc>
          <w:tcPr>
            <w:tcW w:w="90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tcPr>
          <w:p>
            <w:pPr>
              <w:jc w:val="right"/>
              <w:ind w:right="607"/>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269</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Intangible assets</w:t>
            </w:r>
          </w:p>
        </w:tc>
        <w:tc>
          <w:tcPr>
            <w:tcW w:w="1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Goodwill</w:t>
            </w:r>
          </w:p>
        </w:tc>
        <w:tc>
          <w:tcPr>
            <w:tcW w:w="18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6,747</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assets</w:t>
            </w:r>
          </w:p>
        </w:tc>
        <w:tc>
          <w:tcPr>
            <w:tcW w:w="18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w:t>
            </w: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16,736</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589</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Other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292</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Deferred tax liability</w:t>
            </w:r>
          </w:p>
        </w:tc>
        <w:tc>
          <w:tcPr>
            <w:tcW w:w="8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1,749</w:t>
            </w:r>
          </w:p>
        </w:tc>
      </w:tr>
      <w:tr>
        <w:trPr>
          <w:trHeight w:val="33"/>
        </w:trPr>
        <w:tc>
          <w:tcPr>
            <w:tcW w:w="9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Liabilities Assumed</w:t>
            </w:r>
          </w:p>
        </w:tc>
        <w:tc>
          <w:tcPr>
            <w:tcW w:w="880" w:type="dxa"/>
            <w:vAlign w:val="bottom"/>
            <w:tcBorders>
              <w:bottom w:val="single" w:sz="8" w:color="CCEEFF"/>
            </w:tcBorders>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2,630</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 and Liabilities Assumed</w:t>
            </w:r>
          </w:p>
        </w:tc>
        <w:tc>
          <w:tcPr>
            <w:tcW w:w="880" w:type="dxa"/>
            <w:vAlign w:val="bottom"/>
            <w:tcBorders>
              <w:top w:val="single" w:sz="8" w:color="auto"/>
            </w:tcBorders>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14,106</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Net Assets Acquired and Intangibles</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Goodwill is comprised of expected synergies of the combined operations, including employees acquired in a business combination. The total amount of goodwill arising in the transaction was allocated to the Company’s Wealth &amp; Capital Solutions segment. The components of goodwill do not qualify as a separately recognized intangible asset. The Company will test for impairment in other periods if an event occurs or circumstances change that may indicate impairment.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Below is a summary of the intangible assets acquired in the PW business combination: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60" w:type="dxa"/>
            <w:vAlign w:val="bottom"/>
          </w:tcPr>
          <w:p>
            <w:pPr>
              <w:spacing w:after="0"/>
              <w:rPr>
                <w:sz w:val="18"/>
                <w:szCs w:val="18"/>
                <w:color w:val="auto"/>
              </w:rPr>
            </w:pPr>
          </w:p>
        </w:tc>
        <w:tc>
          <w:tcPr>
            <w:tcW w:w="2400" w:type="dxa"/>
            <w:vAlign w:val="bottom"/>
            <w:gridSpan w:val="2"/>
          </w:tcPr>
          <w:p>
            <w:pPr>
              <w:jc w:val="right"/>
              <w:ind w:right="67"/>
              <w:spacing w:after="0"/>
              <w:rPr>
                <w:sz w:val="20"/>
                <w:szCs w:val="20"/>
                <w:color w:val="auto"/>
              </w:rPr>
            </w:pPr>
            <w:r>
              <w:rPr>
                <w:rFonts w:ascii="Times New Roman" w:cs="Times New Roman" w:eastAsia="Times New Roman" w:hAnsi="Times New Roman"/>
                <w:sz w:val="19"/>
                <w:szCs w:val="19"/>
                <w:b w:val="1"/>
                <w:bCs w:val="1"/>
                <w:color w:val="auto"/>
              </w:rPr>
              <w:t>PW Acquisition Date Fair</w:t>
            </w:r>
          </w:p>
        </w:tc>
        <w:tc>
          <w:tcPr>
            <w:tcW w:w="2580" w:type="dxa"/>
            <w:vAlign w:val="bottom"/>
          </w:tcPr>
          <w:p>
            <w:pPr>
              <w:spacing w:after="0"/>
              <w:rPr>
                <w:sz w:val="18"/>
                <w:szCs w:val="18"/>
                <w:color w:val="auto"/>
              </w:rPr>
            </w:pPr>
          </w:p>
        </w:tc>
      </w:tr>
      <w:tr>
        <w:trPr>
          <w:trHeight w:val="246"/>
        </w:trPr>
        <w:tc>
          <w:tcPr>
            <w:tcW w:w="62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660" w:type="dxa"/>
            <w:vAlign w:val="bottom"/>
          </w:tcPr>
          <w:p>
            <w:pPr>
              <w:jc w:val="right"/>
              <w:ind w:right="147"/>
              <w:spacing w:after="0"/>
              <w:rPr>
                <w:sz w:val="20"/>
                <w:szCs w:val="20"/>
                <w:color w:val="auto"/>
              </w:rPr>
            </w:pPr>
            <w:r>
              <w:rPr>
                <w:rFonts w:ascii="Times New Roman" w:cs="Times New Roman" w:eastAsia="Times New Roman" w:hAnsi="Times New Roman"/>
                <w:sz w:val="19"/>
                <w:szCs w:val="19"/>
                <w:b w:val="1"/>
                <w:bCs w:val="1"/>
                <w:color w:val="auto"/>
              </w:rPr>
              <w:t>Value</w:t>
            </w:r>
          </w:p>
        </w:tc>
        <w:tc>
          <w:tcPr>
            <w:tcW w:w="740" w:type="dxa"/>
            <w:vAlign w:val="bottom"/>
          </w:tcPr>
          <w:p>
            <w:pPr>
              <w:spacing w:after="0"/>
              <w:rPr>
                <w:sz w:val="21"/>
                <w:szCs w:val="21"/>
                <w:color w:val="auto"/>
              </w:rPr>
            </w:pPr>
          </w:p>
        </w:tc>
        <w:tc>
          <w:tcPr>
            <w:tcW w:w="2580" w:type="dxa"/>
            <w:vAlign w:val="bottom"/>
          </w:tcPr>
          <w:p>
            <w:pPr>
              <w:jc w:val="center"/>
              <w:ind w:left="7"/>
              <w:spacing w:after="0"/>
              <w:rPr>
                <w:sz w:val="20"/>
                <w:szCs w:val="20"/>
                <w:color w:val="auto"/>
              </w:rPr>
            </w:pPr>
            <w:r>
              <w:rPr>
                <w:rFonts w:ascii="Times New Roman" w:cs="Times New Roman" w:eastAsia="Times New Roman" w:hAnsi="Times New Roman"/>
                <w:sz w:val="19"/>
                <w:szCs w:val="19"/>
                <w:b w:val="1"/>
                <w:bCs w:val="1"/>
                <w:color w:val="auto"/>
                <w:w w:val="97"/>
              </w:rPr>
              <w:t>Estimated Life (Years)</w:t>
            </w:r>
          </w:p>
        </w:tc>
      </w:tr>
      <w:tr>
        <w:trPr>
          <w:trHeight w:val="33"/>
        </w:trPr>
        <w:tc>
          <w:tcPr>
            <w:tcW w:w="62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7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Customer Relationships</w:t>
            </w:r>
          </w:p>
        </w:tc>
        <w:tc>
          <w:tcPr>
            <w:tcW w:w="1660" w:type="dxa"/>
            <w:vAlign w:val="bottom"/>
            <w:tcBorders>
              <w:bottom w:val="single" w:sz="8" w:color="CCEEFF"/>
            </w:tcBorders>
            <w:shd w:val="clear" w:color="auto" w:fill="CCEEFF"/>
          </w:tcPr>
          <w:p>
            <w:pPr>
              <w:jc w:val="right"/>
              <w:ind w:right="144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2580" w:type="dxa"/>
            <w:vAlign w:val="bottom"/>
            <w:tcBorders>
              <w:bottom w:val="single" w:sz="8" w:color="CCEEFF"/>
            </w:tcBorders>
            <w:shd w:val="clear" w:color="auto" w:fill="CCEEFF"/>
          </w:tcPr>
          <w:p>
            <w:pPr>
              <w:jc w:val="right"/>
              <w:ind w:right="1047"/>
              <w:spacing w:after="0"/>
              <w:rPr>
                <w:sz w:val="20"/>
                <w:szCs w:val="20"/>
                <w:color w:val="auto"/>
              </w:rPr>
            </w:pPr>
            <w:r>
              <w:rPr>
                <w:rFonts w:ascii="Times New Roman" w:cs="Times New Roman" w:eastAsia="Times New Roman" w:hAnsi="Times New Roman"/>
                <w:sz w:val="19"/>
                <w:szCs w:val="19"/>
                <w:color w:val="auto"/>
              </w:rPr>
              <w:t>14</w:t>
            </w:r>
          </w:p>
        </w:tc>
      </w:tr>
      <w:tr>
        <w:trPr>
          <w:trHeight w:val="269"/>
        </w:trPr>
        <w:tc>
          <w:tcPr>
            <w:tcW w:w="6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Intangible Assets</w:t>
            </w:r>
          </w:p>
        </w:tc>
        <w:tc>
          <w:tcPr>
            <w:tcW w:w="1660" w:type="dxa"/>
            <w:vAlign w:val="bottom"/>
            <w:tcBorders>
              <w:top w:val="single" w:sz="8" w:color="auto"/>
              <w:bottom w:val="single" w:sz="8" w:color="auto"/>
            </w:tcBorders>
          </w:tcPr>
          <w:p>
            <w:pPr>
              <w:jc w:val="right"/>
              <w:ind w:right="1447"/>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2580" w:type="dxa"/>
            <w:vAlign w:val="bottom"/>
          </w:tcPr>
          <w:p>
            <w:pPr>
              <w:spacing w:after="0"/>
              <w:rPr>
                <w:sz w:val="23"/>
                <w:szCs w:val="23"/>
                <w:color w:val="auto"/>
              </w:rPr>
            </w:pPr>
          </w:p>
        </w:tc>
      </w:tr>
      <w:tr>
        <w:trPr>
          <w:trHeight w:val="22"/>
        </w:trPr>
        <w:tc>
          <w:tcPr>
            <w:tcW w:w="6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fair value of customer relationships was determined using the multi-period excess earnings method. The intangible assets are subject to amortization over a useful life of 14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PW Acquisition have been included in the Company’s condensed consolidated financial statements from the PW Acquisition Date.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Prior to the PW Acquisition Date, the results of PW were included as a 50% held equity method investment.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 of Envoi, LLC</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July 1, 2024 (the “Envoi Acquisition Date”), the Company purchased substantially all of the assets of Envoi, LLC (“Envoi”) pursuant to the terms of the asset purchase agreement by and among the Company and Envoi, as well as Envoi’s individual members (the “Envoi Acquisition”).</w:t>
      </w:r>
    </w:p>
    <w:p>
      <w:pPr>
        <w:spacing w:after="0" w:line="1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Envoi Acquisition met the requirements to be considered a business combination under ASC 805. The assets and liabilities acquired from Envoi, affected for preliminary adjustments to reflect the fair market values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assigned to assets purchased and liabilities assumed, and results of operations, are included in the Company’s condensed consolidated financial statements from the Envoi Acquisition Date. The Company has allocated the purchase price to the tangible and identifiable intangible assets and liabilities assumed based on their estimated fair market values at the Envoi Acquisition Date as required under ASC 805.</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Envoi Acquisition was accounted for using the acquisition method of accounting and the fair value of the total purchase consideration was $34.3 million. Included in the total consideration is cash consideration of $25.3 million, and estimated contingent consideration of $9.0 million comprised of the Envoi earn-out liability and earn-out growth consideration liability. A portion of the contingent consideration will be used to establish a retention pool which is payable in a mixture of cash and equity to employees upon meeting certain revenue thresholds over a required service period. The portion of contingent consideration used to establish the retention pool is treated as compensation rather than consideration transferred. Refer to Note 5 (Equity-Based Compensation) for further details about the related equity award. The amount of contingent consideration related to consideration transferred was measured at fair value at the acquisition date and recorded within the Earn-out liabilities, at fair value line item in the Condensed Consolidated Statement of Financial Position. The total purchase consideration is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320" w:type="dxa"/>
            <w:vAlign w:val="bottom"/>
          </w:tcPr>
          <w:p>
            <w:pPr>
              <w:spacing w:after="0"/>
              <w:rPr>
                <w:sz w:val="21"/>
                <w:szCs w:val="21"/>
                <w:color w:val="auto"/>
              </w:rPr>
            </w:pPr>
          </w:p>
        </w:tc>
        <w:tc>
          <w:tcPr>
            <w:tcW w:w="1920" w:type="dxa"/>
            <w:vAlign w:val="bottom"/>
          </w:tcPr>
          <w:p>
            <w:pPr>
              <w:jc w:val="right"/>
              <w:ind w:right="447"/>
              <w:spacing w:after="0"/>
              <w:rPr>
                <w:sz w:val="20"/>
                <w:szCs w:val="20"/>
                <w:color w:val="auto"/>
              </w:rPr>
            </w:pPr>
            <w:r>
              <w:rPr>
                <w:rFonts w:ascii="Times New Roman" w:cs="Times New Roman" w:eastAsia="Times New Roman" w:hAnsi="Times New Roman"/>
                <w:sz w:val="19"/>
                <w:szCs w:val="19"/>
                <w:b w:val="1"/>
                <w:bCs w:val="1"/>
                <w:color w:val="auto"/>
              </w:rPr>
              <w:t>Envoi Amount</w:t>
            </w:r>
          </w:p>
        </w:tc>
      </w:tr>
      <w:tr>
        <w:trPr>
          <w:trHeight w:val="33"/>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consideration</w:t>
            </w:r>
          </w:p>
        </w:tc>
        <w:tc>
          <w:tcPr>
            <w:tcW w:w="32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color w:val="auto"/>
                <w:w w:val="83"/>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25,258</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Earn-out consideration</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9,000</w:t>
            </w:r>
          </w:p>
        </w:tc>
      </w:tr>
      <w:tr>
        <w:trPr>
          <w:trHeight w:val="33"/>
        </w:trPr>
        <w:tc>
          <w:tcPr>
            <w:tcW w:w="9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purchase consideration transferred</w:t>
            </w:r>
          </w:p>
        </w:tc>
        <w:tc>
          <w:tcPr>
            <w:tcW w:w="32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34,258</w:t>
            </w:r>
          </w:p>
        </w:tc>
      </w:tr>
      <w:tr>
        <w:trPr>
          <w:trHeight w:val="20"/>
        </w:trPr>
        <w:tc>
          <w:tcPr>
            <w:tcW w:w="9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The Company incurred $1.1 million of direct acquisition-related expenditures, which were recognized in the Professional fees line item of the Condensed Consolidated Statement of Operations during the third quarter ended September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fair values of the assets acquired, and liabilities assumed in connection with the Envoi Acquisition: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40" w:type="dxa"/>
            <w:vAlign w:val="bottom"/>
          </w:tcPr>
          <w:p>
            <w:pPr>
              <w:spacing w:after="0"/>
              <w:rPr>
                <w:sz w:val="19"/>
                <w:szCs w:val="19"/>
                <w:color w:val="auto"/>
              </w:rPr>
            </w:pPr>
          </w:p>
        </w:tc>
        <w:tc>
          <w:tcPr>
            <w:tcW w:w="2100" w:type="dxa"/>
            <w:vAlign w:val="bottom"/>
          </w:tcPr>
          <w:p>
            <w:pPr>
              <w:jc w:val="right"/>
              <w:ind w:right="127"/>
              <w:spacing w:after="0"/>
              <w:rPr>
                <w:sz w:val="20"/>
                <w:szCs w:val="20"/>
                <w:color w:val="auto"/>
              </w:rPr>
            </w:pPr>
            <w:r>
              <w:rPr>
                <w:rFonts w:ascii="Times New Roman" w:cs="Times New Roman" w:eastAsia="Times New Roman" w:hAnsi="Times New Roman"/>
                <w:sz w:val="19"/>
                <w:szCs w:val="19"/>
                <w:b w:val="1"/>
                <w:bCs w:val="1"/>
                <w:color w:val="auto"/>
                <w:w w:val="98"/>
              </w:rPr>
              <w:t>Envoi Acquisition Date</w:t>
            </w:r>
          </w:p>
        </w:tc>
        <w:tc>
          <w:tcPr>
            <w:tcW w:w="0" w:type="dxa"/>
            <w:vAlign w:val="bottom"/>
          </w:tcPr>
          <w:p>
            <w:pPr>
              <w:spacing w:after="0"/>
              <w:rPr>
                <w:sz w:val="1"/>
                <w:szCs w:val="1"/>
                <w:color w:val="auto"/>
              </w:rPr>
            </w:pPr>
          </w:p>
        </w:tc>
      </w:tr>
      <w:tr>
        <w:trPr>
          <w:trHeight w:val="246"/>
        </w:trPr>
        <w:tc>
          <w:tcPr>
            <w:tcW w:w="9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right"/>
              <w:ind w:right="607"/>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23,300</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Goodwill</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10,824</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1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196</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assets</w:t>
            </w:r>
          </w:p>
        </w:tc>
        <w:tc>
          <w:tcPr>
            <w:tcW w:w="14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w:t>
            </w: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34,477</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8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218</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Liabilities Assumed</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w:t>
            </w:r>
          </w:p>
        </w:tc>
      </w:tr>
      <w:tr>
        <w:trPr>
          <w:trHeight w:val="33"/>
        </w:trPr>
        <w:tc>
          <w:tcPr>
            <w:tcW w:w="9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4"/>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 and Liabilities Assumed</w:t>
            </w:r>
          </w:p>
        </w:tc>
        <w:tc>
          <w:tcPr>
            <w:tcW w:w="880" w:type="dxa"/>
            <w:vAlign w:val="bottom"/>
            <w:tcBorders>
              <w:bottom w:val="single" w:sz="8" w:color="auto"/>
            </w:tcBorders>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34,258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During the year ended December 31, 2024, the Company made a measurement period adjustment to the purchase price allocation, which resulted in an increase to intangibles and a decrease to goodwill of $1.0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Net Assets Acquired and Intangibles</w:t>
      </w:r>
    </w:p>
    <w:p>
      <w:pPr>
        <w:spacing w:after="0" w:line="23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9"/>
          <w:szCs w:val="19"/>
          <w:color w:val="auto"/>
        </w:rPr>
        <w:t>In accordance with ASC 805, the assets and liabilities were recorded at their respective fair values as of July 1, 2024. The Company developed the fair value of intangible assets, which includes customer relationships, using various techniques including the multi-period excess earnings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all other major assets and liabilities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acquired, the Company determined that book value approximated fair value. Goodwill is comprised of expected synergies for the combined</w:t>
      </w:r>
    </w:p>
    <w:p>
      <w:pPr>
        <w:spacing w:after="0" w:line="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operations and the assembled workforce acquired in the business combination, which does not qualify as a separately recognized intangible asset. The goodwill resulting from this acquisition is expected to be deductible for tax purposes. The total amount of goodwill arising in the transaction was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allocated to the Company’s Wealth &amp; Capital Solutions segment. The components of goodwill do not qualify as a separately recognized intangible asset.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Below is a summary of the intangible assets acquired in the Envoi Acquisition:</w:t>
            </w:r>
          </w:p>
        </w:tc>
        <w:tc>
          <w:tcPr>
            <w:tcW w:w="1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467"/>
        </w:trPr>
        <w:tc>
          <w:tcPr>
            <w:tcW w:w="626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Envoi Acquisition Date Fair</w:t>
            </w:r>
          </w:p>
        </w:tc>
        <w:tc>
          <w:tcPr>
            <w:tcW w:w="2580" w:type="dxa"/>
            <w:vAlign w:val="bottom"/>
          </w:tcPr>
          <w:p>
            <w:pPr>
              <w:spacing w:after="0"/>
              <w:rPr>
                <w:sz w:val="24"/>
                <w:szCs w:val="24"/>
                <w:color w:val="auto"/>
              </w:rPr>
            </w:pPr>
          </w:p>
        </w:tc>
      </w:tr>
      <w:tr>
        <w:trPr>
          <w:trHeight w:val="246"/>
        </w:trPr>
        <w:tc>
          <w:tcPr>
            <w:tcW w:w="62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1620" w:type="dxa"/>
            <w:vAlign w:val="bottom"/>
          </w:tcPr>
          <w:p>
            <w:pPr>
              <w:jc w:val="right"/>
              <w:ind w:right="107"/>
              <w:spacing w:after="0"/>
              <w:rPr>
                <w:sz w:val="20"/>
                <w:szCs w:val="20"/>
                <w:color w:val="auto"/>
              </w:rPr>
            </w:pPr>
            <w:r>
              <w:rPr>
                <w:rFonts w:ascii="Times New Roman" w:cs="Times New Roman" w:eastAsia="Times New Roman" w:hAnsi="Times New Roman"/>
                <w:sz w:val="19"/>
                <w:szCs w:val="19"/>
                <w:b w:val="1"/>
                <w:bCs w:val="1"/>
                <w:color w:val="auto"/>
              </w:rPr>
              <w:t>Value</w:t>
            </w:r>
          </w:p>
        </w:tc>
        <w:tc>
          <w:tcPr>
            <w:tcW w:w="780" w:type="dxa"/>
            <w:vAlign w:val="bottom"/>
          </w:tcPr>
          <w:p>
            <w:pPr>
              <w:spacing w:after="0"/>
              <w:rPr>
                <w:sz w:val="21"/>
                <w:szCs w:val="21"/>
                <w:color w:val="auto"/>
              </w:rPr>
            </w:pPr>
          </w:p>
        </w:tc>
        <w:tc>
          <w:tcPr>
            <w:tcW w:w="2580" w:type="dxa"/>
            <w:vAlign w:val="bottom"/>
          </w:tcPr>
          <w:p>
            <w:pPr>
              <w:jc w:val="center"/>
              <w:ind w:left="7"/>
              <w:spacing w:after="0"/>
              <w:rPr>
                <w:sz w:val="20"/>
                <w:szCs w:val="20"/>
                <w:color w:val="auto"/>
              </w:rPr>
            </w:pPr>
            <w:r>
              <w:rPr>
                <w:rFonts w:ascii="Times New Roman" w:cs="Times New Roman" w:eastAsia="Times New Roman" w:hAnsi="Times New Roman"/>
                <w:sz w:val="19"/>
                <w:szCs w:val="19"/>
                <w:b w:val="1"/>
                <w:bCs w:val="1"/>
                <w:color w:val="auto"/>
                <w:w w:val="97"/>
              </w:rPr>
              <w:t>Estimated Life (Years)</w:t>
            </w:r>
          </w:p>
        </w:tc>
      </w:tr>
      <w:tr>
        <w:trPr>
          <w:trHeight w:val="33"/>
        </w:trPr>
        <w:tc>
          <w:tcPr>
            <w:tcW w:w="62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7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Customer Relationships</w:t>
            </w:r>
          </w:p>
        </w:tc>
        <w:tc>
          <w:tcPr>
            <w:tcW w:w="1620" w:type="dxa"/>
            <w:vAlign w:val="bottom"/>
            <w:tcBorders>
              <w:bottom w:val="single" w:sz="8" w:color="CCEEFF"/>
            </w:tcBorders>
            <w:shd w:val="clear" w:color="auto" w:fill="CCEEFF"/>
          </w:tcPr>
          <w:p>
            <w:pPr>
              <w:jc w:val="right"/>
              <w:ind w:right="1407"/>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23,300</w:t>
            </w:r>
          </w:p>
        </w:tc>
        <w:tc>
          <w:tcPr>
            <w:tcW w:w="2580" w:type="dxa"/>
            <w:vAlign w:val="bottom"/>
            <w:tcBorders>
              <w:bottom w:val="single" w:sz="8" w:color="CCEEFF"/>
            </w:tcBorders>
            <w:shd w:val="clear" w:color="auto" w:fill="CCEEFF"/>
          </w:tcPr>
          <w:p>
            <w:pPr>
              <w:jc w:val="right"/>
              <w:ind w:right="1047"/>
              <w:spacing w:after="0"/>
              <w:rPr>
                <w:sz w:val="20"/>
                <w:szCs w:val="20"/>
                <w:color w:val="auto"/>
              </w:rPr>
            </w:pPr>
            <w:r>
              <w:rPr>
                <w:rFonts w:ascii="Times New Roman" w:cs="Times New Roman" w:eastAsia="Times New Roman" w:hAnsi="Times New Roman"/>
                <w:sz w:val="19"/>
                <w:szCs w:val="19"/>
                <w:color w:val="auto"/>
              </w:rPr>
              <w:t>15</w:t>
            </w:r>
          </w:p>
        </w:tc>
      </w:tr>
      <w:tr>
        <w:trPr>
          <w:trHeight w:val="269"/>
        </w:trPr>
        <w:tc>
          <w:tcPr>
            <w:tcW w:w="6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 Intangible Assets</w:t>
            </w:r>
          </w:p>
        </w:tc>
        <w:tc>
          <w:tcPr>
            <w:tcW w:w="1620" w:type="dxa"/>
            <w:vAlign w:val="bottom"/>
            <w:tcBorders>
              <w:top w:val="single" w:sz="8" w:color="auto"/>
              <w:bottom w:val="single" w:sz="8" w:color="auto"/>
            </w:tcBorders>
          </w:tcPr>
          <w:p>
            <w:pPr>
              <w:jc w:val="right"/>
              <w:ind w:right="1407"/>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23,300</w:t>
            </w:r>
          </w:p>
        </w:tc>
        <w:tc>
          <w:tcPr>
            <w:tcW w:w="2580" w:type="dxa"/>
            <w:vAlign w:val="bottom"/>
          </w:tcPr>
          <w:p>
            <w:pPr>
              <w:spacing w:after="0"/>
              <w:rPr>
                <w:sz w:val="23"/>
                <w:szCs w:val="23"/>
                <w:color w:val="auto"/>
              </w:rPr>
            </w:pPr>
          </w:p>
        </w:tc>
      </w:tr>
      <w:tr>
        <w:trPr>
          <w:trHeight w:val="22"/>
        </w:trPr>
        <w:tc>
          <w:tcPr>
            <w:tcW w:w="62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results of the Envoi Acquisition have been included in the Company’s condensed consolidated financial statements from the Envoi Acquisition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 of Kontora Family Office GmbH</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April 30, 2025 (the “Kontora Acquisition Date”), the Company acquired all of the outstanding ownership interests of Kontora Family Office GmbH (“Kontora”) (the “Kontora Acquisition”).</w:t>
      </w:r>
    </w:p>
    <w:p>
      <w:pPr>
        <w:spacing w:after="0" w:line="1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Kontora Acquisition met the requirements to be considered a business combination under ASC 805. The assets acquired and liabilities assumed from Kontora reflect the fair market values, affected for preliminary adjustments to reflect the fair market values assigned to assets purchased and liabilities assumed, and results of operations, are included and are included in the Company’s Condensed Consolidated Statement of Financial Position and the Company’s Condensed Consolidated Statement of Operations, respectively, as of the Kontora Acquisition Date.</w:t>
      </w:r>
    </w:p>
    <w:p>
      <w:pPr>
        <w:spacing w:after="0" w:line="1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The contingent consideration was measured at fair value at the Kontora Acquisition Date and recorded within the Earn-out liabilities, at fair value line item in the Condensed Consolidated Statement of Financial Position. In addition to the contingent consideration, the Company may be required to make additional compensatory payments comprised of a combination of cash and equity at the Company’s option based on Kontora’s adjusted EBITDA (see Note 5 Equity-Based Compensation).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440" w:type="dxa"/>
            <w:vAlign w:val="bottom"/>
          </w:tcPr>
          <w:p>
            <w:pPr>
              <w:spacing w:after="0"/>
              <w:rPr>
                <w:sz w:val="21"/>
                <w:szCs w:val="21"/>
                <w:color w:val="auto"/>
              </w:rPr>
            </w:pPr>
          </w:p>
        </w:tc>
        <w:tc>
          <w:tcPr>
            <w:tcW w:w="1800" w:type="dxa"/>
            <w:vAlign w:val="bottom"/>
          </w:tcPr>
          <w:p>
            <w:pPr>
              <w:jc w:val="right"/>
              <w:ind w:right="707"/>
              <w:spacing w:after="0"/>
              <w:rPr>
                <w:sz w:val="20"/>
                <w:szCs w:val="20"/>
                <w:color w:val="auto"/>
              </w:rPr>
            </w:pPr>
            <w:r>
              <w:rPr>
                <w:rFonts w:ascii="Times New Roman" w:cs="Times New Roman" w:eastAsia="Times New Roman" w:hAnsi="Times New Roman"/>
                <w:sz w:val="19"/>
                <w:szCs w:val="19"/>
                <w:b w:val="1"/>
                <w:bCs w:val="1"/>
                <w:color w:val="auto"/>
              </w:rPr>
              <w:t>Amount</w:t>
            </w:r>
          </w:p>
        </w:tc>
      </w:tr>
      <w:tr>
        <w:trPr>
          <w:trHeight w:val="33"/>
        </w:trPr>
        <w:tc>
          <w:tcPr>
            <w:tcW w:w="90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Initial purchase price</w:t>
            </w:r>
          </w:p>
        </w:tc>
        <w:tc>
          <w:tcPr>
            <w:tcW w:w="440" w:type="dxa"/>
            <w:vAlign w:val="bottom"/>
            <w:tcBorders>
              <w:bottom w:val="single" w:sz="8" w:color="CCEEFF"/>
            </w:tcBorders>
            <w:shd w:val="clear" w:color="auto" w:fill="CCEEFF"/>
          </w:tcPr>
          <w:p>
            <w:pPr>
              <w:jc w:val="right"/>
              <w:ind w:right="24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8,750</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Settlement of debt</w:t>
            </w:r>
          </w:p>
        </w:tc>
        <w:tc>
          <w:tcPr>
            <w:tcW w:w="4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1,213</w:t>
            </w:r>
          </w:p>
        </w:tc>
      </w:tr>
      <w:tr>
        <w:trPr>
          <w:trHeight w:val="33"/>
        </w:trPr>
        <w:tc>
          <w:tcPr>
            <w:tcW w:w="9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8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Contingent consideration</w:t>
            </w:r>
          </w:p>
        </w:tc>
        <w:tc>
          <w:tcPr>
            <w:tcW w:w="44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5,743</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purchase consideration transferred</w:t>
            </w:r>
          </w:p>
        </w:tc>
        <w:tc>
          <w:tcPr>
            <w:tcW w:w="440" w:type="dxa"/>
            <w:vAlign w:val="bottom"/>
            <w:tcBorders>
              <w:top w:val="single" w:sz="8" w:color="auto"/>
            </w:tcBorders>
          </w:tcPr>
          <w:p>
            <w:pPr>
              <w:jc w:val="right"/>
              <w:ind w:right="24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15,706</w:t>
            </w:r>
          </w:p>
        </w:tc>
      </w:tr>
      <w:tr>
        <w:trPr>
          <w:trHeight w:val="33"/>
        </w:trPr>
        <w:tc>
          <w:tcPr>
            <w:tcW w:w="9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incurred $1.6 million of direct acquisition-related expenses, which were recognized in the Professional fees line item of the Condensed Consolidated Statement of Operations as of the second quarter ended June 30,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the fair values of the assets acquired and liabilities assumed in connection with the Kontora Acquisition: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00" w:type="dxa"/>
            <w:vAlign w:val="bottom"/>
            <w:vMerge w:val="restart"/>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2240" w:type="dxa"/>
            <w:vAlign w:val="bottom"/>
            <w:gridSpan w:val="2"/>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Kontora Acquisition Date</w:t>
            </w:r>
          </w:p>
        </w:tc>
        <w:tc>
          <w:tcPr>
            <w:tcW w:w="0" w:type="dxa"/>
            <w:vAlign w:val="bottom"/>
          </w:tcPr>
          <w:p>
            <w:pPr>
              <w:spacing w:after="0"/>
              <w:rPr>
                <w:sz w:val="1"/>
                <w:szCs w:val="1"/>
                <w:color w:val="auto"/>
              </w:rPr>
            </w:pPr>
          </w:p>
        </w:tc>
      </w:tr>
      <w:tr>
        <w:trPr>
          <w:trHeight w:val="246"/>
        </w:trPr>
        <w:tc>
          <w:tcPr>
            <w:tcW w:w="90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tcPr>
          <w:p>
            <w:pPr>
              <w:jc w:val="right"/>
              <w:ind w:right="607"/>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0" w:type="dxa"/>
            <w:vAlign w:val="bottom"/>
          </w:tcPr>
          <w:p>
            <w:pPr>
              <w:spacing w:after="0"/>
              <w:rPr>
                <w:sz w:val="1"/>
                <w:szCs w:val="1"/>
                <w:color w:val="auto"/>
              </w:rPr>
            </w:pPr>
          </w:p>
        </w:tc>
      </w:tr>
      <w:tr>
        <w:trPr>
          <w:trHeight w:val="20"/>
        </w:trPr>
        <w:tc>
          <w:tcPr>
            <w:tcW w:w="9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3"/>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400" w:type="dxa"/>
            <w:vAlign w:val="bottom"/>
            <w:tcBorders>
              <w:bottom w:val="single" w:sz="8" w:color="CCEEFF"/>
            </w:tcBorders>
            <w:shd w:val="clear" w:color="auto" w:fill="CCEEFF"/>
          </w:tcPr>
          <w:p>
            <w:pPr>
              <w:jc w:val="right"/>
              <w:ind w:right="207"/>
              <w:spacing w:after="0"/>
              <w:rPr>
                <w:sz w:val="20"/>
                <w:szCs w:val="20"/>
                <w:color w:val="auto"/>
              </w:rPr>
            </w:pPr>
            <w:r>
              <w:rPr>
                <w:rFonts w:ascii="Times New Roman" w:cs="Times New Roman" w:eastAsia="Times New Roman" w:hAnsi="Times New Roman"/>
                <w:sz w:val="19"/>
                <w:szCs w:val="19"/>
                <w:color w:val="auto"/>
                <w:w w:val="83"/>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3,440</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Fees receivable</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2,702</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Equity method investments</w:t>
            </w:r>
          </w:p>
        </w:tc>
        <w:tc>
          <w:tcPr>
            <w:tcW w:w="4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28</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Intangible assets</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14,815</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Goodwill</w:t>
            </w:r>
          </w:p>
        </w:tc>
        <w:tc>
          <w:tcPr>
            <w:tcW w:w="4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542</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1,952</w:t>
            </w:r>
          </w:p>
        </w:tc>
        <w:tc>
          <w:tcPr>
            <w:tcW w:w="0" w:type="dxa"/>
            <w:vAlign w:val="bottom"/>
          </w:tcPr>
          <w:p>
            <w:pPr>
              <w:spacing w:after="0"/>
              <w:rPr>
                <w:sz w:val="1"/>
                <w:szCs w:val="1"/>
                <w:color w:val="auto"/>
              </w:rPr>
            </w:pPr>
          </w:p>
        </w:tc>
      </w:tr>
      <w:tr>
        <w:trPr>
          <w:trHeight w:val="33"/>
        </w:trPr>
        <w:tc>
          <w:tcPr>
            <w:tcW w:w="9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Deferred tax assets, net</w:t>
            </w:r>
          </w:p>
        </w:tc>
        <w:tc>
          <w:tcPr>
            <w:tcW w:w="4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1,451</w:t>
            </w:r>
          </w:p>
        </w:tc>
        <w:tc>
          <w:tcPr>
            <w:tcW w:w="0" w:type="dxa"/>
            <w:vAlign w:val="bottom"/>
          </w:tcPr>
          <w:p>
            <w:pPr>
              <w:spacing w:after="0"/>
              <w:rPr>
                <w:sz w:val="1"/>
                <w:szCs w:val="1"/>
                <w:color w:val="auto"/>
              </w:rPr>
            </w:pP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assets, net</w:t>
            </w:r>
          </w:p>
        </w:tc>
        <w:tc>
          <w:tcPr>
            <w:tcW w:w="4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2,302</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w:t>
            </w:r>
          </w:p>
        </w:tc>
        <w:tc>
          <w:tcPr>
            <w:tcW w:w="880" w:type="dxa"/>
            <w:vAlign w:val="bottom"/>
            <w:tcBorders>
              <w:top w:val="single" w:sz="8" w:color="auto"/>
              <w:bottom w:val="single" w:sz="8" w:color="CCEEFF"/>
            </w:tcBorders>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27,232</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Accounts payable and accrued expenses</w:t>
            </w:r>
          </w:p>
        </w:tc>
        <w:tc>
          <w:tcPr>
            <w:tcW w:w="8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526</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Accrued compensation and profit sharing</w:t>
            </w:r>
          </w:p>
        </w:tc>
        <w:tc>
          <w:tcPr>
            <w:tcW w:w="8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218</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Debt, net of unamortized deferred financing cost</w:t>
            </w:r>
          </w:p>
        </w:tc>
        <w:tc>
          <w:tcPr>
            <w:tcW w:w="8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732</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Operating lease liability</w:t>
            </w:r>
          </w:p>
        </w:tc>
        <w:tc>
          <w:tcPr>
            <w:tcW w:w="8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1,952</w:t>
            </w:r>
          </w:p>
        </w:tc>
      </w:tr>
      <w:tr>
        <w:trPr>
          <w:trHeight w:val="247"/>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Deferred tax liability</w:t>
            </w:r>
          </w:p>
        </w:tc>
        <w:tc>
          <w:tcPr>
            <w:tcW w:w="8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5,041</w:t>
            </w:r>
          </w:p>
        </w:tc>
      </w:tr>
      <w:tr>
        <w:trPr>
          <w:trHeight w:val="33"/>
        </w:trPr>
        <w:tc>
          <w:tcPr>
            <w:tcW w:w="9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0"/>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Other liabilities, net</w:t>
            </w:r>
          </w:p>
        </w:tc>
        <w:tc>
          <w:tcPr>
            <w:tcW w:w="8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3,057</w:t>
            </w:r>
          </w:p>
        </w:tc>
      </w:tr>
      <w:tr>
        <w:trPr>
          <w:trHeight w:val="240"/>
        </w:trPr>
        <w:tc>
          <w:tcPr>
            <w:tcW w:w="90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Liabilities Assumed</w:t>
            </w:r>
          </w:p>
        </w:tc>
        <w:tc>
          <w:tcPr>
            <w:tcW w:w="880" w:type="dxa"/>
            <w:vAlign w:val="bottom"/>
            <w:tcBorders>
              <w:top w:val="single" w:sz="8" w:color="auto"/>
            </w:tcBorders>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11,526</w:t>
            </w:r>
          </w:p>
        </w:tc>
      </w:tr>
      <w:tr>
        <w:trPr>
          <w:trHeight w:val="33"/>
        </w:trPr>
        <w:tc>
          <w:tcPr>
            <w:tcW w:w="9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Assets Acquired and Liabilities Assumed</w:t>
            </w:r>
          </w:p>
        </w:tc>
        <w:tc>
          <w:tcPr>
            <w:tcW w:w="880" w:type="dxa"/>
            <w:vAlign w:val="bottom"/>
            <w:shd w:val="clear" w:color="auto" w:fill="CCEEFF"/>
          </w:tcPr>
          <w:p>
            <w:pPr>
              <w:jc w:val="right"/>
              <w:ind w:right="687"/>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15,706</w:t>
            </w:r>
          </w:p>
        </w:tc>
      </w:tr>
      <w:tr>
        <w:trPr>
          <w:trHeight w:val="33"/>
        </w:trPr>
        <w:tc>
          <w:tcPr>
            <w:tcW w:w="9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of Net Assets Acquired and Intangibles</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 xml:space="preserve">With the exception of operating right-of-use assets and operating lease liabilities accounted for under ASC 842,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in accordance with ASC 805, the assets and liabilities were recorded at their respective fair values as of April 30, 2025. The Company developed the fair value of intangible assets, which includes trade names, customer relationships, and licenses granted by the German Federal Financial Supervisory Authority. Various techniques were applied to derive the fair values of the intangible assets including, but not limited to, relief from royalty method, excess earnings method, replacement cost method, and a discounted cash flow approach.</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For all other major assets and liabilities acquired, the Company determined that book value approximated fair value. Goodwill is comprised of expected synergies for the combined operations and the assembled workforce acquired in the Kontora Acquisition, which does not qualify as a separately recognized intangible asset. The total amount of goodwill arising in the transaction was allocated to the Company’s Wealth &amp; Capital Solutions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660" w:type="dxa"/>
            <w:vAlign w:val="bottom"/>
          </w:tcPr>
          <w:p>
            <w:pPr>
              <w:spacing w:after="0"/>
              <w:rPr>
                <w:sz w:val="20"/>
                <w:szCs w:val="20"/>
                <w:color w:val="auto"/>
              </w:rPr>
            </w:pPr>
            <w:r>
              <w:rPr>
                <w:rFonts w:ascii="Times New Roman" w:cs="Times New Roman" w:eastAsia="Times New Roman" w:hAnsi="Times New Roman"/>
                <w:sz w:val="19"/>
                <w:szCs w:val="19"/>
                <w:color w:val="auto"/>
              </w:rPr>
              <w:t>Below is a summary of the intangible assets acquired in the Kontora Acquisition:</w:t>
            </w:r>
          </w:p>
        </w:tc>
        <w:tc>
          <w:tcPr>
            <w:tcW w:w="4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67"/>
        </w:trPr>
        <w:tc>
          <w:tcPr>
            <w:tcW w:w="6660" w:type="dxa"/>
            <w:vAlign w:val="bottom"/>
          </w:tcPr>
          <w:p>
            <w:pPr>
              <w:spacing w:after="0"/>
              <w:rPr>
                <w:sz w:val="24"/>
                <w:szCs w:val="24"/>
                <w:color w:val="auto"/>
              </w:rPr>
            </w:pPr>
          </w:p>
        </w:tc>
        <w:tc>
          <w:tcPr>
            <w:tcW w:w="2260" w:type="dxa"/>
            <w:vAlign w:val="bottom"/>
            <w:gridSpan w:val="2"/>
          </w:tcPr>
          <w:p>
            <w:pPr>
              <w:jc w:val="right"/>
              <w:ind w:right="7"/>
              <w:spacing w:after="0"/>
              <w:rPr>
                <w:sz w:val="20"/>
                <w:szCs w:val="20"/>
                <w:color w:val="auto"/>
              </w:rPr>
            </w:pPr>
            <w:r>
              <w:rPr>
                <w:rFonts w:ascii="Times New Roman" w:cs="Times New Roman" w:eastAsia="Times New Roman" w:hAnsi="Times New Roman"/>
                <w:sz w:val="19"/>
                <w:szCs w:val="19"/>
                <w:b w:val="1"/>
                <w:bCs w:val="1"/>
                <w:color w:val="auto"/>
              </w:rPr>
              <w:t>Kontora Acquisition Date</w:t>
            </w: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6"/>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i w:val="1"/>
                <w:iCs w:val="1"/>
                <w:color w:val="auto"/>
              </w:rPr>
              <w:t>(Dollars in Thousands)</w:t>
            </w:r>
          </w:p>
        </w:tc>
        <w:tc>
          <w:tcPr>
            <w:tcW w:w="420" w:type="dxa"/>
            <w:vAlign w:val="bottom"/>
          </w:tcPr>
          <w:p>
            <w:pPr>
              <w:spacing w:after="0"/>
              <w:rPr>
                <w:sz w:val="21"/>
                <w:szCs w:val="21"/>
                <w:color w:val="auto"/>
              </w:rPr>
            </w:pPr>
          </w:p>
        </w:tc>
        <w:tc>
          <w:tcPr>
            <w:tcW w:w="1840" w:type="dxa"/>
            <w:vAlign w:val="bottom"/>
          </w:tcPr>
          <w:p>
            <w:pPr>
              <w:jc w:val="right"/>
              <w:ind w:right="627"/>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Estimated Life (Years)</w:t>
            </w:r>
          </w:p>
        </w:tc>
      </w:tr>
      <w:tr>
        <w:trPr>
          <w:trHeight w:val="33"/>
        </w:trPr>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Brand</w:t>
            </w:r>
          </w:p>
        </w:tc>
        <w:tc>
          <w:tcPr>
            <w:tcW w:w="420" w:type="dxa"/>
            <w:vAlign w:val="bottom"/>
            <w:tcBorders>
              <w:bottom w:val="single" w:sz="8" w:color="CCEEFF"/>
            </w:tcBorders>
            <w:shd w:val="clear" w:color="auto" w:fill="CCEEFF"/>
          </w:tcPr>
          <w:p>
            <w:pPr>
              <w:jc w:val="right"/>
              <w:ind w:right="207"/>
              <w:spacing w:after="0"/>
              <w:rPr>
                <w:sz w:val="20"/>
                <w:szCs w:val="20"/>
                <w:color w:val="auto"/>
              </w:rPr>
            </w:pPr>
            <w:r>
              <w:rPr>
                <w:rFonts w:ascii="Times New Roman" w:cs="Times New Roman" w:eastAsia="Times New Roman" w:hAnsi="Times New Roman"/>
                <w:sz w:val="19"/>
                <w:szCs w:val="19"/>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2320" w:type="dxa"/>
            <w:vAlign w:val="bottom"/>
            <w:tcBorders>
              <w:bottom w:val="single" w:sz="8" w:color="CCEEFF"/>
            </w:tcBorders>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9"/>
                <w:szCs w:val="19"/>
                <w:color w:val="auto"/>
              </w:rPr>
              <w:t>3</w:t>
            </w:r>
          </w:p>
        </w:tc>
      </w:tr>
      <w:tr>
        <w:trPr>
          <w:trHeight w:val="247"/>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License</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4,574</w:t>
            </w:r>
          </w:p>
        </w:tc>
        <w:tc>
          <w:tcPr>
            <w:tcW w:w="2320" w:type="dxa"/>
            <w:vAlign w:val="bottom"/>
            <w:gridSpan w:val="2"/>
          </w:tcPr>
          <w:p>
            <w:pPr>
              <w:jc w:val="center"/>
              <w:ind w:left="7"/>
              <w:spacing w:after="0"/>
              <w:rPr>
                <w:sz w:val="20"/>
                <w:szCs w:val="20"/>
                <w:color w:val="auto"/>
              </w:rPr>
            </w:pPr>
            <w:r>
              <w:rPr>
                <w:rFonts w:ascii="Times New Roman" w:cs="Times New Roman" w:eastAsia="Times New Roman" w:hAnsi="Times New Roman"/>
                <w:sz w:val="19"/>
                <w:szCs w:val="19"/>
                <w:color w:val="auto"/>
                <w:w w:val="94"/>
              </w:rPr>
              <w:t>15</w:t>
            </w:r>
          </w:p>
        </w:tc>
      </w:tr>
      <w:tr>
        <w:trPr>
          <w:trHeight w:val="33"/>
        </w:trPr>
        <w:tc>
          <w:tcPr>
            <w:tcW w:w="6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6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Customer relationships</w:t>
            </w: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9,994</w:t>
            </w:r>
          </w:p>
        </w:tc>
        <w:tc>
          <w:tcPr>
            <w:tcW w:w="2320" w:type="dxa"/>
            <w:vAlign w:val="bottom"/>
            <w:tcBorders>
              <w:bottom w:val="single" w:sz="8" w:color="CCEEFF"/>
            </w:tcBorders>
            <w:gridSpan w:val="2"/>
            <w:shd w:val="clear" w:color="auto" w:fill="CCEEFF"/>
          </w:tcPr>
          <w:p>
            <w:pPr>
              <w:jc w:val="center"/>
              <w:ind w:left="7"/>
              <w:spacing w:after="0"/>
              <w:rPr>
                <w:sz w:val="20"/>
                <w:szCs w:val="20"/>
                <w:color w:val="auto"/>
              </w:rPr>
            </w:pPr>
            <w:r>
              <w:rPr>
                <w:rFonts w:ascii="Times New Roman" w:cs="Times New Roman" w:eastAsia="Times New Roman" w:hAnsi="Times New Roman"/>
                <w:sz w:val="19"/>
                <w:szCs w:val="19"/>
                <w:color w:val="auto"/>
                <w:w w:val="94"/>
              </w:rPr>
              <w:t>15</w:t>
            </w:r>
          </w:p>
        </w:tc>
      </w:tr>
      <w:tr>
        <w:trPr>
          <w:trHeight w:val="247"/>
        </w:trPr>
        <w:tc>
          <w:tcPr>
            <w:tcW w:w="6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Software</w:t>
            </w: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c>
          <w:tcPr>
            <w:tcW w:w="2320" w:type="dxa"/>
            <w:vAlign w:val="bottom"/>
            <w:gridSpan w:val="2"/>
          </w:tcPr>
          <w:p>
            <w:pPr>
              <w:jc w:val="center"/>
              <w:ind w:left="7"/>
              <w:spacing w:after="0"/>
              <w:rPr>
                <w:sz w:val="20"/>
                <w:szCs w:val="20"/>
                <w:color w:val="auto"/>
              </w:rPr>
            </w:pPr>
            <w:r>
              <w:rPr>
                <w:rFonts w:ascii="Times New Roman" w:cs="Times New Roman" w:eastAsia="Times New Roman" w:hAnsi="Times New Roman"/>
                <w:sz w:val="19"/>
                <w:szCs w:val="19"/>
                <w:color w:val="auto"/>
              </w:rPr>
              <w:t>3</w:t>
            </w:r>
          </w:p>
        </w:tc>
      </w:tr>
      <w:tr>
        <w:trPr>
          <w:trHeight w:val="33"/>
        </w:trPr>
        <w:tc>
          <w:tcPr>
            <w:tcW w:w="6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29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Total Intangible Assets</w:t>
            </w:r>
          </w:p>
        </w:tc>
        <w:tc>
          <w:tcPr>
            <w:tcW w:w="4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9"/>
                <w:szCs w:val="19"/>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b w:val="1"/>
                <w:bCs w:val="1"/>
                <w:color w:val="auto"/>
              </w:rPr>
              <w:t>14,815</w:t>
            </w:r>
          </w:p>
        </w:tc>
        <w:tc>
          <w:tcPr>
            <w:tcW w:w="8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results of operations for Kontora have been included in the Company’s condensed consolidated financial statements as of the Kontora Acquisition Date.</w:t>
      </w:r>
    </w:p>
    <w:p>
      <w:pPr>
        <w:sectPr>
          <w:pgSz w:w="11900" w:h="16838" w:orient="portrait"/>
          <w:cols w:equalWidth="0" w:num="1">
            <w:col w:w="11240"/>
          </w:cols>
          <w:pgMar w:left="320" w:top="21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wp:posOffset>
            </wp:positionV>
            <wp:extent cx="716534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Supplemental Pro Forma Financial Information (Unaudited)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selected unaudited supplemental pro forma financial information is a summary of our combined results for Envoi, EEA, PW, and</w:t>
      </w:r>
    </w:p>
    <w:p>
      <w:pPr>
        <w:spacing w:after="0" w:line="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Kontora for the three and six months ended June 30, 2024. The unaudited supplemental pro forma financial information gives effect to the acquisitions as if they had occurred on January 1, 2024. The unaudited pro forma financial information for Envoi, EEA, and PW have been excluded</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for the three and six months ended June 30, 2025 and as of April 30, 2025 for Kontora since their results of operations are included in our unaudited condensed consolidated statement of operations for that period.</w:t>
      </w:r>
    </w:p>
    <w:p>
      <w:pPr>
        <w:spacing w:after="0" w:line="1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unaudited pro forma financial information presented below is for informational purposes only, and is not necessarily indicative of the results that would have been achieved if the Envoi, EEA, PW, and Kontora acquisitions had taken place on January 1, 2024, nor is it indicative of future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80" w:type="dxa"/>
            <w:vAlign w:val="bottom"/>
          </w:tcPr>
          <w:p>
            <w:pPr>
              <w:spacing w:after="0"/>
              <w:rPr>
                <w:sz w:val="19"/>
                <w:szCs w:val="19"/>
                <w:color w:val="auto"/>
              </w:rPr>
            </w:pPr>
          </w:p>
        </w:tc>
        <w:tc>
          <w:tcPr>
            <w:tcW w:w="2980" w:type="dxa"/>
            <w:vAlign w:val="bottom"/>
            <w:gridSpan w:val="4"/>
          </w:tcPr>
          <w:p>
            <w:pPr>
              <w:jc w:val="right"/>
              <w:ind w:right="529"/>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8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19"/>
                <w:szCs w:val="19"/>
                <w:color w:val="auto"/>
              </w:rPr>
            </w:pPr>
          </w:p>
        </w:tc>
        <w:tc>
          <w:tcPr>
            <w:tcW w:w="1340" w:type="dxa"/>
            <w:vAlign w:val="bottom"/>
          </w:tcPr>
          <w:p>
            <w:pPr>
              <w:jc w:val="right"/>
              <w:ind w:right="189"/>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0" w:type="dxa"/>
            <w:vAlign w:val="bottom"/>
          </w:tcPr>
          <w:p>
            <w:pPr>
              <w:spacing w:after="0"/>
              <w:rPr>
                <w:sz w:val="1"/>
                <w:szCs w:val="1"/>
                <w:color w:val="auto"/>
              </w:rPr>
            </w:pPr>
          </w:p>
        </w:tc>
      </w:tr>
      <w:tr>
        <w:trPr>
          <w:trHeight w:val="26"/>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54,644</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9"/>
                <w:szCs w:val="19"/>
                <w:color w:val="auto"/>
              </w:rPr>
              <w:t>59,596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9"/>
                <w:szCs w:val="19"/>
                <w:color w:val="auto"/>
              </w:rPr>
              <w:t>117,045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120,864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(24,208)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9"/>
                <w:szCs w:val="19"/>
                <w:color w:val="auto"/>
                <w:w w:val="97"/>
              </w:rPr>
              <w:t>(2,483)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9"/>
                <w:szCs w:val="19"/>
                <w:color w:val="auto"/>
                <w:w w:val="98"/>
              </w:rPr>
              <w:t>(22,708)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29,426</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Disposal of LRA</w:t>
      </w:r>
    </w:p>
    <w:p>
      <w:pPr>
        <w:spacing w:after="0" w:line="22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 xml:space="preserve">On January 9, 2024, AlTi RE Public Markets Limited entered into heads of terms to sell 100% of the equity of LRA, the advisor to the publicly-traded fund LXi, to LondonMetric for fixed consideration of approximately $33.1 million and up to an estimated $5.1 million of contingent consideration based on the exchange rate as of the balance sheet date, as applicable. This contingent consideration is payable in installments on each of the first four anniversaries of the sale of LRA. The contingent consideration meets the definition of a derivative and is recorded as Contingent consideration receivable on the Condensed Consolidated Statement of Financial Position as of June 30, 2025. This contingent consideration will be remeasured at fair value at each reporting date in accordance with ASC 820, </w:t>
      </w:r>
      <w:r>
        <w:rPr>
          <w:rFonts w:ascii="Times New Roman" w:cs="Times New Roman" w:eastAsia="Times New Roman" w:hAnsi="Times New Roman"/>
          <w:sz w:val="19"/>
          <w:szCs w:val="19"/>
          <w:i w:val="1"/>
          <w:iCs w:val="1"/>
          <w:color w:val="auto"/>
        </w:rPr>
        <w:t>Fair Value Measurement</w:t>
      </w:r>
      <w:r>
        <w:rPr>
          <w:rFonts w:ascii="Times New Roman" w:cs="Times New Roman" w:eastAsia="Times New Roman" w:hAnsi="Times New Roman"/>
          <w:sz w:val="19"/>
          <w:szCs w:val="19"/>
          <w:color w:val="auto"/>
        </w:rPr>
        <w:t>, with changes in fair value recognized in the Condensed Consolidated Statement of Operations in the period of change.</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disposal was completed on March 6, 2024. For the six months ended June 30, 2024, there was no gain on disposal recognized in the line item Gain (loss) on investments in the Condensed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Disposal of FOS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On May 8, 2024, the Company sold FOS, the European-based trust and private office service which was part of the Company’s Wealth &amp; Capital Solutions segment, for a cash consideration of approximately $20.1 million. Subsequently, an adjustment to the cash consideration of $(0.6) million was made, resulting in a final cash consideration of approximately $19.5 million.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9"/>
          <w:szCs w:val="19"/>
          <w:b w:val="1"/>
          <w:bCs w:val="1"/>
          <w:color w:val="auto"/>
        </w:rPr>
        <w:t>(4)</w:t>
        <w:tab/>
        <w:t>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represents the Company’s revenue disaggregated by fee type for the periods presented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00" w:type="dxa"/>
            <w:vAlign w:val="bottom"/>
          </w:tcPr>
          <w:p>
            <w:pPr>
              <w:spacing w:after="0"/>
              <w:rPr>
                <w:sz w:val="19"/>
                <w:szCs w:val="19"/>
                <w:color w:val="auto"/>
              </w:rPr>
            </w:pPr>
          </w:p>
        </w:tc>
        <w:tc>
          <w:tcPr>
            <w:tcW w:w="2960" w:type="dxa"/>
            <w:vAlign w:val="bottom"/>
            <w:gridSpan w:val="4"/>
          </w:tcPr>
          <w:p>
            <w:pPr>
              <w:jc w:val="right"/>
              <w:ind w:right="528"/>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0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19"/>
                <w:szCs w:val="19"/>
                <w:color w:val="auto"/>
              </w:rPr>
            </w:pPr>
          </w:p>
        </w:tc>
        <w:tc>
          <w:tcPr>
            <w:tcW w:w="1360" w:type="dxa"/>
            <w:vAlign w:val="bottom"/>
          </w:tcPr>
          <w:p>
            <w:pPr>
              <w:jc w:val="right"/>
              <w:ind w:right="188"/>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Management/advisory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47,029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95,639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93,253</w:t>
            </w:r>
          </w:p>
        </w:tc>
      </w:tr>
      <w:tr>
        <w:trPr>
          <w:trHeight w:val="247"/>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Incentive fees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216</w:t>
            </w:r>
          </w:p>
        </w:tc>
      </w:tr>
      <w:tr>
        <w:trPr>
          <w:trHeight w:val="33"/>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Distributions from investments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2,240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14,874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6,410</w:t>
            </w:r>
          </w:p>
        </w:tc>
      </w:tr>
      <w:tr>
        <w:trPr>
          <w:trHeight w:val="247"/>
        </w:trPr>
        <w:tc>
          <w:tcPr>
            <w:tcW w:w="49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Other fees/income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w:t>
            </w:r>
          </w:p>
        </w:tc>
      </w:tr>
      <w:tr>
        <w:trPr>
          <w:trHeight w:val="33"/>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9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Total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53,127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49,453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111,090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100,265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9"/>
                <w:szCs w:val="19"/>
                <w:color w:val="auto"/>
              </w:rPr>
            </w:pPr>
          </w:p>
        </w:tc>
        <w:tc>
          <w:tcPr>
            <w:tcW w:w="23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260" w:type="dxa"/>
            <w:vAlign w:val="bottom"/>
          </w:tcPr>
          <w:p>
            <w:pPr>
              <w:spacing w:after="0"/>
              <w:rPr>
                <w:sz w:val="19"/>
                <w:szCs w:val="19"/>
                <w:color w:val="auto"/>
              </w:rPr>
            </w:pPr>
          </w:p>
        </w:tc>
        <w:tc>
          <w:tcPr>
            <w:tcW w:w="2340" w:type="dxa"/>
            <w:vAlign w:val="bottom"/>
          </w:tcPr>
          <w:p>
            <w:pPr>
              <w:jc w:val="right"/>
              <w:ind w:right="327"/>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6"/>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Management/advisory fees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spacing w:after="0"/>
              <w:rPr>
                <w:sz w:val="20"/>
                <w:szCs w:val="20"/>
                <w:color w:val="auto"/>
              </w:rPr>
            </w:pPr>
          </w:p>
        </w:tc>
      </w:tr>
      <w:tr>
        <w:trPr>
          <w:trHeight w:val="247"/>
        </w:trPr>
        <w:tc>
          <w:tcPr>
            <w:tcW w:w="5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32,194</w:t>
            </w:r>
          </w:p>
        </w:tc>
        <w:tc>
          <w:tcPr>
            <w:tcW w:w="80" w:type="dxa"/>
            <w:vAlign w:val="bottom"/>
          </w:tcPr>
          <w:p>
            <w:pPr>
              <w:spacing w:after="0"/>
              <w:rPr>
                <w:sz w:val="21"/>
                <w:szCs w:val="21"/>
                <w:color w:val="auto"/>
              </w:rPr>
            </w:pP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29,539</w:t>
            </w:r>
          </w:p>
        </w:tc>
      </w:tr>
      <w:tr>
        <w:trPr>
          <w:trHeight w:val="33"/>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xml:space="preserve">Ending balance </w:t>
            </w:r>
            <w:r>
              <w:rPr>
                <w:rFonts w:ascii="Times New Roman" w:cs="Times New Roman" w:eastAsia="Times New Roman" w:hAnsi="Times New Roman"/>
                <w:sz w:val="24"/>
                <w:szCs w:val="24"/>
                <w:b w:val="1"/>
                <w:bCs w:val="1"/>
                <w:color w:val="auto"/>
                <w:vertAlign w:val="superscript"/>
              </w:rPr>
              <w:t>(1)</w:t>
            </w:r>
          </w:p>
        </w:tc>
        <w:tc>
          <w:tcPr>
            <w:tcW w:w="34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37,995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32,194</w:t>
            </w:r>
          </w:p>
        </w:tc>
      </w:tr>
      <w:tr>
        <w:trPr>
          <w:trHeight w:val="255"/>
        </w:trPr>
        <w:tc>
          <w:tcPr>
            <w:tcW w:w="5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Incentive fees receivable</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r>
      <w:tr>
        <w:trPr>
          <w:trHeight w:val="247"/>
        </w:trPr>
        <w:tc>
          <w:tcPr>
            <w:tcW w:w="5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1,324</w:t>
            </w:r>
          </w:p>
        </w:tc>
        <w:tc>
          <w:tcPr>
            <w:tcW w:w="80" w:type="dxa"/>
            <w:vAlign w:val="bottom"/>
          </w:tcPr>
          <w:p>
            <w:pPr>
              <w:spacing w:after="0"/>
              <w:rPr>
                <w:sz w:val="21"/>
                <w:szCs w:val="21"/>
                <w:color w:val="auto"/>
              </w:rPr>
            </w:pP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40,356</w:t>
            </w:r>
          </w:p>
        </w:tc>
      </w:tr>
      <w:tr>
        <w:trPr>
          <w:trHeight w:val="33"/>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8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 xml:space="preserve">Ending balance </w:t>
            </w:r>
            <w:r>
              <w:rPr>
                <w:rFonts w:ascii="Times New Roman" w:cs="Times New Roman" w:eastAsia="Times New Roman" w:hAnsi="Times New Roman"/>
                <w:sz w:val="24"/>
                <w:szCs w:val="24"/>
                <w:b w:val="1"/>
                <w:bCs w:val="1"/>
                <w:color w:val="auto"/>
                <w:vertAlign w:val="superscript"/>
              </w:rPr>
              <w:t>(2)</w:t>
            </w:r>
          </w:p>
        </w:tc>
        <w:tc>
          <w:tcPr>
            <w:tcW w:w="340" w:type="dxa"/>
            <w:vAlign w:val="bottom"/>
            <w:shd w:val="clear" w:color="auto" w:fill="CCEEFF"/>
          </w:tcPr>
          <w:p>
            <w:pPr>
              <w:spacing w:after="0"/>
              <w:rPr>
                <w:sz w:val="24"/>
                <w:szCs w:val="2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1,324</w:t>
            </w:r>
          </w:p>
        </w:tc>
      </w:tr>
      <w:tr>
        <w:trPr>
          <w:trHeight w:val="255"/>
        </w:trPr>
        <w:tc>
          <w:tcPr>
            <w:tcW w:w="5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Other fees/income receivable</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r>
      <w:tr>
        <w:trPr>
          <w:trHeight w:val="247"/>
        </w:trPr>
        <w:tc>
          <w:tcPr>
            <w:tcW w:w="5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w:t>
            </w:r>
          </w:p>
        </w:tc>
        <w:tc>
          <w:tcPr>
            <w:tcW w:w="80" w:type="dxa"/>
            <w:vAlign w:val="bottom"/>
          </w:tcPr>
          <w:p>
            <w:pPr>
              <w:spacing w:after="0"/>
              <w:rPr>
                <w:sz w:val="21"/>
                <w:szCs w:val="21"/>
                <w:color w:val="auto"/>
              </w:rPr>
            </w:pP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w:t>
            </w:r>
          </w:p>
        </w:tc>
      </w:tr>
      <w:tr>
        <w:trPr>
          <w:trHeight w:val="33"/>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Ending balance</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98</w:t>
            </w:r>
          </w:p>
        </w:tc>
      </w:tr>
      <w:tr>
        <w:trPr>
          <w:trHeight w:val="255"/>
        </w:trPr>
        <w:tc>
          <w:tcPr>
            <w:tcW w:w="5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Deferred management/advisory fees</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r>
      <w:tr>
        <w:trPr>
          <w:trHeight w:val="247"/>
        </w:trPr>
        <w:tc>
          <w:tcPr>
            <w:tcW w:w="5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80" w:type="dxa"/>
            <w:vAlign w:val="bottom"/>
          </w:tcPr>
          <w:p>
            <w:pPr>
              <w:spacing w:after="0"/>
              <w:rPr>
                <w:sz w:val="21"/>
                <w:szCs w:val="21"/>
                <w:color w:val="auto"/>
              </w:rPr>
            </w:pP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33"/>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Ending balance</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55"/>
        </w:trPr>
        <w:tc>
          <w:tcPr>
            <w:tcW w:w="5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40" w:type="dxa"/>
            <w:vAlign w:val="bottom"/>
          </w:tcPr>
          <w:p>
            <w:pPr>
              <w:spacing w:after="0"/>
              <w:rPr>
                <w:sz w:val="22"/>
                <w:szCs w:val="22"/>
                <w:color w:val="auto"/>
              </w:rPr>
            </w:pPr>
          </w:p>
        </w:tc>
      </w:tr>
      <w:tr>
        <w:trPr>
          <w:trHeight w:val="260"/>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Deferred other fees/income</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r>
      <w:tr>
        <w:trPr>
          <w:trHeight w:val="247"/>
        </w:trPr>
        <w:tc>
          <w:tcPr>
            <w:tcW w:w="59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Beginning balance</w:t>
            </w:r>
          </w:p>
        </w:tc>
        <w:tc>
          <w:tcPr>
            <w:tcW w:w="340" w:type="dxa"/>
            <w:vAlign w:val="bottom"/>
          </w:tcPr>
          <w:p>
            <w:pPr>
              <w:jc w:val="right"/>
              <w:ind w:right="12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7"/>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Ending balance</w:t>
            </w:r>
          </w:p>
        </w:tc>
        <w:tc>
          <w:tcPr>
            <w:tcW w:w="34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CCEEFF"/>
          </w:tcPr>
          <w:p>
            <w:pPr>
              <w:spacing w:after="0"/>
              <w:rPr>
                <w:sz w:val="21"/>
                <w:szCs w:val="21"/>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5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34" w:lineRule="exact"/>
        <w:rPr>
          <w:sz w:val="20"/>
          <w:szCs w:val="20"/>
          <w:color w:val="auto"/>
        </w:rPr>
      </w:pPr>
    </w:p>
    <w:p>
      <w:pPr>
        <w:ind w:firstLine="2"/>
        <w:spacing w:after="0" w:line="404" w:lineRule="auto"/>
        <w:tabs>
          <w:tab w:leader="none" w:pos="141" w:val="left"/>
        </w:tabs>
        <w:numPr>
          <w:ilvl w:val="0"/>
          <w:numId w:val="40"/>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 xml:space="preserve">As of June 30, 2025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3"/>
          <w:szCs w:val="13"/>
          <w:color w:val="auto"/>
        </w:rPr>
        <w:t xml:space="preserve"> December 31, 2024, this amount includes $0.7 million and $0.7 million, respectively, in Management/advisory fees receivable due from related parties. See Note 16 (Related Party Transactions) for further details.</w:t>
      </w:r>
    </w:p>
    <w:p>
      <w:pPr>
        <w:spacing w:after="0" w:line="11" w:lineRule="exact"/>
        <w:rPr>
          <w:rFonts w:ascii="Times New Roman" w:cs="Times New Roman" w:eastAsia="Times New Roman" w:hAnsi="Times New Roman"/>
          <w:sz w:val="16"/>
          <w:szCs w:val="16"/>
          <w:b w:val="1"/>
          <w:bCs w:val="1"/>
          <w:color w:val="auto"/>
          <w:vertAlign w:val="superscript"/>
        </w:rPr>
      </w:pPr>
    </w:p>
    <w:p>
      <w:pPr>
        <w:ind w:firstLine="2"/>
        <w:spacing w:after="0" w:line="404" w:lineRule="auto"/>
        <w:tabs>
          <w:tab w:leader="none" w:pos="141" w:val="left"/>
        </w:tabs>
        <w:numPr>
          <w:ilvl w:val="0"/>
          <w:numId w:val="40"/>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 xml:space="preserve">As of June 30, 2025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3"/>
          <w:szCs w:val="13"/>
          <w:color w:val="auto"/>
        </w:rPr>
        <w:t xml:space="preserve"> December 31, 2024, this amount includes $0.1 million and $0.2 million, respectively, in Incentive fees receivable due from related parties. See Note 16 (Related Party Transactions) for further details.</w:t>
      </w:r>
    </w:p>
    <w:p>
      <w:pPr>
        <w:spacing w:after="0" w:line="200" w:lineRule="exact"/>
        <w:rPr>
          <w:sz w:val="20"/>
          <w:szCs w:val="20"/>
          <w:color w:val="auto"/>
        </w:rPr>
      </w:pPr>
    </w:p>
    <w:p>
      <w:pPr>
        <w:spacing w:after="0" w:line="355" w:lineRule="exact"/>
        <w:rPr>
          <w:sz w:val="20"/>
          <w:szCs w:val="20"/>
          <w:color w:val="auto"/>
        </w:rPr>
      </w:pPr>
    </w:p>
    <w:p>
      <w:pPr>
        <w:ind w:left="440" w:hanging="438"/>
        <w:spacing w:after="0"/>
        <w:tabs>
          <w:tab w:leader="none" w:pos="44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Equity-Based Compensation</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grants equity-based compensation awards in the form of restricted share units (“RSUs”) or performance restricted share units (“PRSUs”) for Class A Common Stock to its management, employees, consultants, and independent members of the board of directors under its 2023 Stock Incentive Plan (the “Plan”). The total number of shares of Class A Common Stock that may be issued under the Plan is 20,798,132, of which 5,880,460 remain available as of June 30, 2025. To the extent that an award expires or is canceled,</w:t>
      </w:r>
    </w:p>
    <w:p>
      <w:pPr>
        <w:sectPr>
          <w:pgSz w:w="11900" w:h="16838" w:orient="portrait"/>
          <w:cols w:equalWidth="0" w:num="1">
            <w:col w:w="11240"/>
          </w:cols>
          <w:pgMar w:left="320" w:top="217"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79375</wp:posOffset>
            </wp:positionV>
            <wp:extent cx="716534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forfeited, terminated, surrendered, exchanged or withheld to cover tax withholding obligations, the unissued awards will again be available for grant under the Plan.</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Company recognizes equity-based compensation expenses at the Company’s stock price as of the grant date. As of June 30, 2025, the Company has an unrecognized equity-based compensation expense of $35.5 million, which is expected to be recognized over a weighted average period of 1.99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equity-based compensation award activity for the six months ended June 30, 2025, and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173355</wp:posOffset>
            </wp:positionV>
            <wp:extent cx="411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607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3280" w:type="dxa"/>
            <w:vAlign w:val="bottom"/>
            <w:gridSpan w:val="4"/>
          </w:tcPr>
          <w:p>
            <w:pPr>
              <w:ind w:left="11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3200" w:type="dxa"/>
            <w:vAlign w:val="bottom"/>
            <w:gridSpan w:val="3"/>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47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2"/>
        </w:trPr>
        <w:tc>
          <w:tcPr>
            <w:tcW w:w="4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204"/>
        </w:trPr>
        <w:tc>
          <w:tcPr>
            <w:tcW w:w="4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Grant Date Fair</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Grant Date Fair</w:t>
            </w:r>
          </w:p>
        </w:tc>
      </w:tr>
      <w:tr>
        <w:trPr>
          <w:trHeight w:val="223"/>
        </w:trPr>
        <w:tc>
          <w:tcPr>
            <w:tcW w:w="4760" w:type="dxa"/>
            <w:vAlign w:val="bottom"/>
          </w:tcPr>
          <w:p>
            <w:pPr>
              <w:spacing w:after="0"/>
              <w:rPr>
                <w:sz w:val="19"/>
                <w:szCs w:val="19"/>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Number of Awards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Number of Awards</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w:t>
            </w:r>
          </w:p>
        </w:tc>
      </w:tr>
      <w:tr>
        <w:trPr>
          <w:trHeight w:val="26"/>
        </w:trPr>
        <w:tc>
          <w:tcPr>
            <w:tcW w:w="47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5"/>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common stock</w:t>
            </w: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r>
      <w:tr>
        <w:trPr>
          <w:trHeight w:val="213"/>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common stock awards outstanding at beginning of</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6,216,514</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4,797,464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6"/>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5"/>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common stock granted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7,696,291</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4,078,237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28"/>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common stock 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r>
      <w:tr>
        <w:trPr>
          <w:trHeight w:val="26"/>
        </w:trPr>
        <w:tc>
          <w:tcPr>
            <w:tcW w:w="4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5"/>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Restricted common stock 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(2,231,567)</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(1,823,811)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r>
      <w:tr>
        <w:trPr>
          <w:trHeight w:val="247"/>
        </w:trPr>
        <w:tc>
          <w:tcPr>
            <w:tcW w:w="4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common stock awards outstanding at end of period</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11,556,238</w:t>
            </w:r>
          </w:p>
        </w:tc>
        <w:tc>
          <w:tcPr>
            <w:tcW w:w="8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80" w:type="dxa"/>
            <w:vAlign w:val="bottom"/>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6,694,972</w:t>
            </w:r>
          </w:p>
        </w:tc>
        <w:tc>
          <w:tcPr>
            <w:tcW w:w="10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0"/>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equity-based compensation recognized, which is included in Compensation and employee benefits in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Condensed Consolidated Statement of Operations, during the three and six months ended June 30, 2025, and June 30,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80" w:type="dxa"/>
            <w:vAlign w:val="bottom"/>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40" w:type="dxa"/>
            <w:vAlign w:val="bottom"/>
          </w:tcPr>
          <w:p>
            <w:pPr>
              <w:spacing w:after="0"/>
              <w:rPr>
                <w:sz w:val="19"/>
                <w:szCs w:val="19"/>
                <w:color w:val="auto"/>
              </w:rPr>
            </w:pPr>
          </w:p>
        </w:tc>
        <w:tc>
          <w:tcPr>
            <w:tcW w:w="3280" w:type="dxa"/>
            <w:vAlign w:val="bottom"/>
            <w:gridSpan w:val="4"/>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20" w:type="dxa"/>
            <w:vAlign w:val="bottom"/>
          </w:tcPr>
          <w:p>
            <w:pPr>
              <w:spacing w:after="0"/>
              <w:rPr>
                <w:sz w:val="19"/>
                <w:szCs w:val="19"/>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4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40" w:type="dxa"/>
            <w:vAlign w:val="bottom"/>
          </w:tcPr>
          <w:p>
            <w:pPr>
              <w:spacing w:after="0"/>
              <w:rPr>
                <w:sz w:val="19"/>
                <w:szCs w:val="19"/>
                <w:color w:val="auto"/>
              </w:rPr>
            </w:pPr>
          </w:p>
        </w:tc>
        <w:tc>
          <w:tcPr>
            <w:tcW w:w="148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0" w:type="dxa"/>
            <w:vAlign w:val="bottom"/>
          </w:tcPr>
          <w:p>
            <w:pPr>
              <w:spacing w:after="0"/>
              <w:rPr>
                <w:sz w:val="1"/>
                <w:szCs w:val="1"/>
                <w:color w:val="auto"/>
              </w:rPr>
            </w:pPr>
          </w:p>
        </w:tc>
      </w:tr>
      <w:tr>
        <w:trPr>
          <w:trHeight w:val="26"/>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TIH SPA</w:t>
            </w:r>
          </w:p>
        </w:tc>
        <w:tc>
          <w:tcPr>
            <w:tcW w:w="2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share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4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16,640</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RSUs</w:t>
      </w:r>
    </w:p>
    <w:p>
      <w:pPr>
        <w:spacing w:after="0" w:line="1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On May 31, 2023, the Company granted 4,697,317 RSUs to its employees, which vest over a three-year period and had a fair value of $4.35 per share. On June 5, 2024, the Company granted 2,219,661 RSUs to its employees, which vest over a three-year period and had a fair value of $4.78 per share. On February 27, 2025 and May 14, 2025, the Company granted 2,772,576 and 99,245, respectively, of RSUs to its employees, which vest over a three-year period and had a fair value of $3.45 and $3.32, respectively, per share. These grants resulted in compensation expense of $3.7 million and $1.4 million for the three months ended June 30, 2025 and June 30, 2024, respectively, and $6.6 million and $3.4 million for the six months ended June 30, 2025 and June 30, 2024, respectively. Since the initial grant date of these awards, 916,405 shares have been forfeited.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On March 23, 2023, in connection with the Business Combination, the Company granted 65,554 RSUs to its board of directors, which vested over an approximate nine-month period and had a fair value of $12.56 per share. On March 1, 2024, the Company granted 138,564 RSUs to its board of directors, which vest over a four-month period and had a fair value of $5.87 per share. On June 27, 2024, the Company granted 123,732 RSUs to its board of directors, which vest over a twelve-month period and had a grant date fair value of $4.91 per share. On August 2, 2024, the Company granted 45,549 RSUs to its board of directors, which vest over an eleven-month period and had a grant date fair value of $4.38 per share. On June 23, 2025, the Company granted 231,889 RSUs to its board of directors, which vest over a twelve-month period and had a grant date fair value of $4.07 per share. These grants resulted in compensation expense of $0.2 million and $0.6 million for the three months ended June 30, 2025 and June 30, 2024, respectively, and $0.4 million and $0.8 million for the six months ended June 30, 2025 and June 30, 2024, respectively.</w:t>
      </w:r>
    </w:p>
    <w:p>
      <w:pPr>
        <w:spacing w:after="0" w:line="14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On various dates throughout 2023, the Company granted 111,148 and 118,987 RSUs to employees, representative of buy-out equity awards as restricted units, vesting generally over a one to three year period, with a fair value of $7.66 and $8.72, respectively, per share. On February 6, 2024, the Company granted 29,154 shares of Class A Common Stock to employees, representative of buy-out equity awards as restricted units, vesting over a two year period, with a fair value of $5.36 per share. On December 23, 2024, the Company granted 57,458 shares of Class A Common Stock to employees, representative of buy-out equity awards as restricted units, vesting over a three year period, with a fair value of $4.14 per share. On April 15, 2025, the Company granted 81,266 shares of Class A Common Stock to employees, representative of buy-out equity awards as restricted units, vesting over a three-year period, with a fair value of $3.31 per share. The Company recognized compensation expense of $0.4 million and $0.1 million for the three months ended June 30, 2025 and June 30, 2024, respectively, and $0.7 million and $0.9 million for the six months ended June 30, 2025 and June 30, 2024, respectively, related to these buy-out equity awards. Since the initial grant date of these awards, 39,662 shares have been forfeited.</w:t>
      </w:r>
    </w:p>
    <w:p>
      <w:pPr>
        <w:spacing w:after="0" w:line="21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During the six months ended June 30, 2025, the Company reclassed certain liability classified retention awards to be equity classified. The Company recognized compensation expense of $1.4 million for both the three and six months ended June 30, 2025 related to these retention awards.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PRSUs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 grants PRSUs to selected members of AlTi’s executive team. Vesting of the PRSUs is based on meeting certain market conditions and the requisite service period. The PRSUs are eligible to vest on a graded basis at the end of each of three annual performance periods, subject to the employee’s continued service with the Company through the applicable performance period, and are only earned upon achievement of total shareholder return of the Company’s Class A Common Stock exceeding certain thresholds.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June 5, 2024, the Company granted 1,567,125 PRSUs to participants and used a Monte Carlo simulation model to determine the average grant date fair value of $5.76 per share using the following model inputs and assumptions: i) ending average stock price of $4.78, ii) volatility rate of 62.1%, iii) risk free rate of 4.5% and iv) expected term of 2.88 years. Compensation expense associated with the PRSUs will be recognized over the longer of the expected achievement period for the service or market condition. On May 22, 2025, the Company granted 263,564 PRSUs to participants and used a Monte Carlo simulation model to determine the average grant date fair value of $2.82 per share using the following model inputs and assumptions: i) ending average stock price of $3.19, ii) volatility rate of 60.7%, iii) risk free rate of 4.0% and iv) expected term of 2.86 years. Compensation expense associated with the PRSUs will be recognized over the longer of the expected achievement period for the service or market condition.These grants resulted in compensation expense of $0.5 million and $0.5 million for the three months ended June 30, 2025 and June 30, 2024, respectively, and $1.9 million and $0.5 million for the six months ended June 30, 2025 and June 30, 2024, respectively. Since the initial grant date of these awards, 289,942 shares have been forfeited.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Acquisition-Related Equity-Based Compensation Awards</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ten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 The number of shares awarded will be calculated based on the twenty day average volume weighted average price of the Company’s Class A Common Stock preceding the first and second payment dates. The Company recognized an expense for the earn-ins of $25.6 thousand and $0.5 million for the three months ended June 30, 2025 and June 30, 2024, respectively, and $0.9 million and $2.5 million for the six months ended June 30, 2025 and June 30, 2024, respectively.</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pattern as the above-described amendment for the compensatory earn-ins. On April 1, 2025, the final contingent consideration payment was made, extinguishing the liability balance as of June 30, 2025. As of December 31, 2024, this contingent consideration is recorded as a liability of $0.9 million in the Earn-in consideration payable line of the Condensed Consolidated Statement of Financial Condition.</w:t>
      </w:r>
    </w:p>
    <w:p>
      <w:pPr>
        <w:spacing w:after="0" w:line="18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connection with the Company’s acquisition of East End Advisors (see Note 3 Business Combinations and Divestitures), certain employees of East End Advisors are entitled to receive a portion of the contingent consideration comprised of a combination of additional cash and shares of the Company (the “EEA Equity Awards”) based on the future EBITDA performance targets between the closing date of April 3, 2024 and the fifth anniversary of the closing date. The portion of the EEA Equity Awards to be issued in shares was measured at fair value as of the closing date. The Company recognized compensation expense for the estimated shares in relation to the accrual of the EEA Equity Awards of $0.6 million and $0.3 million for the three months ended June 30, 2025 and June 30, 2024, respectively, and $1.2 million and $0.3 million for the six months ended June 30, 2025 and June 30, 2024, respectively.</w:t>
      </w:r>
    </w:p>
    <w:p>
      <w:pPr>
        <w:spacing w:after="0" w:line="1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In connection with the Company’s acquisition of Envoi (see Note 3 Business Combinations and Divestitures), certain employees of Envoi are entitled to receive a portion of the earn-out growth consideration liability comprised of a combination of cash and additional shares of the Company (the “Envoi Equity Awards”). Compensation expense related to the Envoi Equity Awards is determined in accordance with revenue based formulas provided for in the asset purchase agreement and are payable to eligible employees in 2028. The Company recognized compensation expense in relation to the accrual of the Envoi Equity Awards of $0.1 million and $0.1 million for the three and six months ended June 30, 2025, respectively.</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In connection with the Company’s acquisition of PW (see Note 3 Business Combinations and Divestitures), certain employees of PW were entitled to receive additional shares of the Company (the “PW Earn-Ins”). The PW Earn-Ins were payable in equity upon the achievement of certain integration milestones and were due for payment no later than March 1, 2025. The estimated deferred consideration was paid in cash and equity during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first quarter ended March 31, 2025. The Company recognized compensation expense in relation to the accrual of the PW Earn-Ins of $0.2 million for both the three and six months ended June 30, 2024.</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connection with the Company’s acquisition of Kontora (see Note 3 Business Combinations and Divestitures), the Company may be required to make additional compensatory payments comprised of a combination of cash and equity at the Company’s option based on Kontora’s adjusted EBITDA (the “Kontora Earn-Ins”). The Company recognized compensation expense in relation to the accrual of the Kontora Earn-Ins of $2.1 million for both the three and six months ended June 30,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Revenue Share</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During the three months ended June 30, 2025 and June 30, 2024, the Company accrued $(0.1) million and $0.2 million, respectively, and during the six months ended June 30, 2025 and June 30, 2024, the Company accrued $0.2 million and $0.4 million, respectively, in compensation expense related to various revenue share arrangements to its employees, which is included in Compensation and employee benefits in the Condensed Consolidated Statement of Operations and in Accrued compensation and profit sharing in the Condensed Consolidated Statement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Deferred Compensation Liability</w:t>
      </w:r>
    </w:p>
    <w:p>
      <w:pPr>
        <w:spacing w:after="0" w:line="2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In connection with the acquisition of all of the issued and outstanding ownership and membership interests of AlTi Wealth Management (Singapore) Pte Limited (“ALWP”) pursuant to the terms of the share purchase agreement between the Company and ALWP on April 6, 2023, the Company accrued, during the three months ended June 30, 2025 and June 30, 2024, $0.2 million and $1.2 million, respectively, and during the six months ended June 30, 2025 and June 30, 2024, $1.1 million and $2.4 million, respectively, in shares of Class A Common Stock which is included in Compensation and employee benefits in the Condensed Consolidated Statement of Operations and in Accrued compensation and profit sharing in the Condensed Consolidated Statement of Financial Position.</w:t>
      </w:r>
    </w:p>
    <w:p>
      <w:pPr>
        <w:spacing w:after="0" w:line="279" w:lineRule="exact"/>
        <w:rPr>
          <w:sz w:val="20"/>
          <w:szCs w:val="20"/>
          <w:color w:val="auto"/>
        </w:rPr>
      </w:pPr>
    </w:p>
    <w:p>
      <w:pPr>
        <w:ind w:left="440" w:hanging="438"/>
        <w:spacing w:after="0"/>
        <w:tabs>
          <w:tab w:leader="none" w:pos="440"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Unincorporated Business Tax (“UBT”). Further, the Company’s income tax provision and related income tax assets and liabilities are based on, among other things, an estimate of the impact of exchanges of shares of Class B Common Stock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The Company had an effective tax rate of 13.6% and 7.8% for the three months ended June 30, 2025 and June 30, 2024, respectively, and 16.1% and (3.2)% for the six months ended June 30, 2025 and June 30, 2024, respectively. The effective tax rates were calculated using an Annual Effective Tax Rate approach. The book income related to fair value changes to liabilities was excluded from forecasted earnings as these amounts are based on changes in stock price and are unable to be forecasted. The effective tax rates differed from the statutory rate primarily due to the impact of valuation allowance with respect to deferred tax assets generated in the Company’s subsidiaries in the U.K. and in the Company’s investment in subsidiary, certain gains recognized on contingent liabilities for which no tax liability is recognized, and state and local taxes.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The Company regularly evaluates the realizability of its deferred tax asset and may recognize or adjust any valuation allowance when it is more-likely-than-not that all or a portion of the deferred tax assets may not be realized. As of June 30, 2025, the Company has recorded valuation allowances against its deferred tax assets generated by its subsidiaries in the U. K. and its investment in Umbrella.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 xml:space="preserve">The Company is currently under examination by the New York City UBT for the years ended December 2020 and </w:t>
      </w:r>
      <w:r>
        <w:rPr>
          <w:rFonts w:ascii="Times New Roman" w:cs="Times New Roman" w:eastAsia="Times New Roman" w:hAnsi="Times New Roman"/>
          <w:sz w:val="20"/>
          <w:szCs w:val="20"/>
          <w:color w:val="auto"/>
        </w:rPr>
        <w:t>2021</w:t>
      </w:r>
      <w:r>
        <w:rPr>
          <w:rFonts w:ascii="Times New Roman" w:cs="Times New Roman" w:eastAsia="Times New Roman" w:hAnsi="Times New Roman"/>
          <w:sz w:val="19"/>
          <w:szCs w:val="19"/>
          <w:color w:val="auto"/>
        </w:rPr>
        <w:t>. We do not believe that there is material exposure in connection with the examination. As of June 30, 2025, the Company has evaluated its tax filing positions and assessed no change to the reserve of $0.2 million unrecognized tax benefits.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Fair Value Disclosures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spacing w:after="0" w:line="143" w:lineRule="exact"/>
        <w:rPr>
          <w:sz w:val="20"/>
          <w:szCs w:val="20"/>
          <w:color w:val="auto"/>
        </w:rPr>
      </w:pPr>
    </w:p>
    <w:p>
      <w:pPr>
        <w:ind w:left="620" w:hanging="7"/>
        <w:spacing w:after="0" w:line="278" w:lineRule="auto"/>
        <w:tabs>
          <w:tab w:leader="none" w:pos="122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1 – Valuations based on unadjusted quoted prices in active markets for identical assets or liabilities that the Company has the ability to access.</w:t>
      </w:r>
    </w:p>
    <w:p>
      <w:pPr>
        <w:spacing w:after="0" w:line="117" w:lineRule="exact"/>
        <w:rPr>
          <w:rFonts w:ascii="Times New Roman" w:cs="Times New Roman" w:eastAsia="Times New Roman" w:hAnsi="Times New Roman"/>
          <w:sz w:val="19"/>
          <w:szCs w:val="19"/>
          <w:color w:val="auto"/>
        </w:rPr>
      </w:pPr>
    </w:p>
    <w:p>
      <w:pPr>
        <w:ind w:left="620" w:hanging="7"/>
        <w:spacing w:after="0" w:line="264" w:lineRule="auto"/>
        <w:tabs>
          <w:tab w:leader="none" w:pos="122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 – Valuations based on quoted prices in markets that are not active or for which all significant inputs are observable, either directly or indirectly.</w:t>
      </w:r>
    </w:p>
    <w:p>
      <w:pPr>
        <w:spacing w:after="0" w:line="130" w:lineRule="exact"/>
        <w:rPr>
          <w:rFonts w:ascii="Times New Roman" w:cs="Times New Roman" w:eastAsia="Times New Roman" w:hAnsi="Times New Roman"/>
          <w:sz w:val="19"/>
          <w:szCs w:val="19"/>
          <w:color w:val="auto"/>
        </w:rPr>
      </w:pPr>
    </w:p>
    <w:p>
      <w:pPr>
        <w:ind w:left="1220" w:hanging="607"/>
        <w:spacing w:after="0"/>
        <w:tabs>
          <w:tab w:leader="none" w:pos="122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3 – Valuations based on inputs that are unobservable and significant to the overall fair value measurement.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Level 3 Valuation Techniques</w:t>
      </w:r>
    </w:p>
    <w:p>
      <w:pPr>
        <w:spacing w:after="0" w:line="2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the absence of observable market prices, the Company values financial instruments using valuation methodologies applied on a consistent basis. For some investments little market activity may exist; management’s determination of fair value is then based on the best information available in the circumstances and may incorporate management’s own assumptions and involves a significant degree of judgment, taking into consideration a combination of internal and external factors. Financial instruments for which market prices are not observable include: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 w:hanging="313"/>
        <w:spacing w:after="0" w:line="254"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Business Combination Earn-Out Liability - </w:t>
      </w:r>
      <w:r>
        <w:rPr>
          <w:rFonts w:ascii="Times New Roman" w:cs="Times New Roman" w:eastAsia="Times New Roman" w:hAnsi="Times New Roman"/>
          <w:sz w:val="19"/>
          <w:szCs w:val="19"/>
          <w:color w:val="auto"/>
        </w:rPr>
        <w:t>The Company’s valuation approach utilized a Monte Carlo simulation to estimate future share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prices and the implied earn-out payment discounted using the risk-free rate.</w:t>
      </w:r>
    </w:p>
    <w:p>
      <w:pPr>
        <w:spacing w:after="0" w:line="110" w:lineRule="exact"/>
        <w:rPr>
          <w:rFonts w:ascii="Times New Roman" w:cs="Times New Roman" w:eastAsia="Times New Roman" w:hAnsi="Times New Roman"/>
          <w:sz w:val="19"/>
          <w:szCs w:val="19"/>
          <w:color w:val="auto"/>
        </w:rPr>
      </w:pPr>
    </w:p>
    <w:p>
      <w:pPr>
        <w:ind w:left="620" w:hanging="313"/>
        <w:spacing w:after="0" w:line="268"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TRA Liability - </w:t>
      </w:r>
      <w:r>
        <w:rPr>
          <w:rFonts w:ascii="Times New Roman" w:cs="Times New Roman" w:eastAsia="Times New Roman" w:hAnsi="Times New Roman"/>
          <w:sz w:val="19"/>
          <w:szCs w:val="19"/>
          <w:color w:val="auto"/>
        </w:rPr>
        <w:t>The Company’s valuation approach utilized a Monte Carlo simulation to estimate future taxable income, share prices,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implied TRA payments discounted using the liability discount rate which is estimated based on the Company’s credit rating.</w:t>
      </w:r>
    </w:p>
    <w:p>
      <w:pPr>
        <w:spacing w:after="0" w:line="110" w:lineRule="exact"/>
        <w:rPr>
          <w:rFonts w:ascii="Times New Roman" w:cs="Times New Roman" w:eastAsia="Times New Roman" w:hAnsi="Times New Roman"/>
          <w:sz w:val="19"/>
          <w:szCs w:val="19"/>
          <w:color w:val="auto"/>
        </w:rPr>
      </w:pPr>
    </w:p>
    <w:p>
      <w:pPr>
        <w:jc w:val="both"/>
        <w:ind w:left="620" w:hanging="313"/>
        <w:spacing w:after="0" w:line="268" w:lineRule="auto"/>
        <w:tabs>
          <w:tab w:leader="none" w:pos="6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AWMS Earn-Out Liability </w:t>
      </w:r>
      <w:r>
        <w:rPr>
          <w:rFonts w:ascii="Times New Roman" w:cs="Times New Roman" w:eastAsia="Times New Roman" w:hAnsi="Times New Roman"/>
          <w:sz w:val="18"/>
          <w:szCs w:val="18"/>
          <w:color w:val="auto"/>
        </w:rPr>
        <w:t>- In connection with the deferred cash consideration related to its acquisition of the remaining 70% of the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outstanding ownership and membership interests of AlTi Wealth Management (Switzerland) SA, (“AWMS”), increasing its interest in AWMS from 30% to 100%, on August 2, 2023, the Company’s valuation approach utilized a Monte Carlo simulation to estimate future revenue and the implied earn out payment discounted using the liability discount rate which is estimated based on the Company’s credit rating. As of September 30, 2024, the settlement amount became known, which was based on actual revenues received, and the use of the Level 3 valuation technique was discontinued. Additionally, during the fourth quarter of 2024, the AWMS earn-out liability was fully paid.</w:t>
      </w:r>
    </w:p>
    <w:p>
      <w:pPr>
        <w:spacing w:after="0" w:line="115" w:lineRule="exact"/>
        <w:rPr>
          <w:rFonts w:ascii="Times New Roman" w:cs="Times New Roman" w:eastAsia="Times New Roman" w:hAnsi="Times New Roman"/>
          <w:sz w:val="18"/>
          <w:szCs w:val="18"/>
          <w:color w:val="auto"/>
        </w:rPr>
      </w:pPr>
    </w:p>
    <w:p>
      <w:pPr>
        <w:ind w:left="620" w:hanging="313"/>
        <w:spacing w:after="0" w:line="268"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EEA Earn-Out Liability - </w:t>
      </w:r>
      <w:r>
        <w:rPr>
          <w:rFonts w:ascii="Times New Roman" w:cs="Times New Roman" w:eastAsia="Times New Roman" w:hAnsi="Times New Roman"/>
          <w:sz w:val="19"/>
          <w:szCs w:val="19"/>
          <w:color w:val="auto"/>
        </w:rPr>
        <w:t>The Company’s valuation approach utilized a Discounted Cash Flow approach to determine the fair value using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liability discount rate which is estimated based on the Company’s credit quality.</w:t>
      </w:r>
    </w:p>
    <w:p>
      <w:pPr>
        <w:spacing w:after="0" w:line="110" w:lineRule="exact"/>
        <w:rPr>
          <w:rFonts w:ascii="Times New Roman" w:cs="Times New Roman" w:eastAsia="Times New Roman" w:hAnsi="Times New Roman"/>
          <w:sz w:val="19"/>
          <w:szCs w:val="19"/>
          <w:color w:val="auto"/>
        </w:rPr>
      </w:pPr>
    </w:p>
    <w:p>
      <w:pPr>
        <w:ind w:left="620" w:hanging="313"/>
        <w:spacing w:after="0" w:line="268"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Envoi Earn-Out Consideration Liability </w:t>
      </w:r>
      <w:r>
        <w:rPr>
          <w:rFonts w:ascii="Times New Roman" w:cs="Times New Roman" w:eastAsia="Times New Roman" w:hAnsi="Times New Roman"/>
          <w:sz w:val="19"/>
          <w:szCs w:val="19"/>
          <w:color w:val="auto"/>
        </w:rPr>
        <w:t>- The Company’s valuation approach utilized a risk-adjusted Discounted Cash Flow approach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determine the fair value using the liability discount rate which is estimated based on the Company’s credit quality rating.</w:t>
      </w:r>
    </w:p>
    <w:p>
      <w:pPr>
        <w:spacing w:after="0" w:line="110" w:lineRule="exact"/>
        <w:rPr>
          <w:rFonts w:ascii="Times New Roman" w:cs="Times New Roman" w:eastAsia="Times New Roman" w:hAnsi="Times New Roman"/>
          <w:sz w:val="19"/>
          <w:szCs w:val="19"/>
          <w:color w:val="auto"/>
        </w:rPr>
      </w:pPr>
    </w:p>
    <w:p>
      <w:pPr>
        <w:jc w:val="both"/>
        <w:ind w:left="620" w:hanging="313"/>
        <w:spacing w:after="0" w:line="260"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Envoi Earn-Out Growth Consideration Liability </w:t>
      </w:r>
      <w:r>
        <w:rPr>
          <w:rFonts w:ascii="Times New Roman" w:cs="Times New Roman" w:eastAsia="Times New Roman" w:hAnsi="Times New Roman"/>
          <w:sz w:val="19"/>
          <w:szCs w:val="19"/>
          <w:color w:val="auto"/>
        </w:rPr>
        <w:t>- The Company’s valuation approach utilized a Monte Carlo simulation to estimate future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revenue and the implied earn out payment discounted using the liability discount rate which is estimated based on the Company’s credit quality rating.</w:t>
      </w:r>
    </w:p>
    <w:p>
      <w:pPr>
        <w:spacing w:after="0" w:line="143" w:lineRule="exact"/>
        <w:rPr>
          <w:rFonts w:ascii="Times New Roman" w:cs="Times New Roman" w:eastAsia="Times New Roman" w:hAnsi="Times New Roman"/>
          <w:sz w:val="19"/>
          <w:szCs w:val="19"/>
          <w:color w:val="auto"/>
        </w:rPr>
      </w:pPr>
    </w:p>
    <w:p>
      <w:pPr>
        <w:jc w:val="both"/>
        <w:ind w:left="620" w:hanging="313"/>
        <w:spacing w:after="0" w:line="249" w:lineRule="auto"/>
        <w:tabs>
          <w:tab w:leader="none" w:pos="61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b w:val="1"/>
          <w:bCs w:val="1"/>
          <w:color w:val="auto"/>
        </w:rPr>
        <w:t xml:space="preserve">Preferred Stock Tranche Liability </w:t>
      </w:r>
      <w:r>
        <w:rPr>
          <w:rFonts w:ascii="Times New Roman" w:cs="Times New Roman" w:eastAsia="Times New Roman" w:hAnsi="Times New Roman"/>
          <w:sz w:val="19"/>
          <w:szCs w:val="19"/>
          <w:color w:val="auto"/>
        </w:rPr>
        <w:t>- The fair value of the Allianz Tranche Right is determined based on Level 3 inputs using a binomial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lattice model. At each node of the binomial lattice model, the decision to exercise the Allianz Tranche Right is determined based on if the value of the Series A Preferred Stock at such node is greater than the right’s strike price of $1,000 per share. At nodes where the Allianz Tranche Right is exercised, the resulting payoff of the right is discounted back to the prior node at the risk-free rate. The fair value of the Allianz Tranche Right is estimated by backward inducting values in the binomial lattice model to the initial node. A probability-weighted assessment is also included as part of the inputs to the valuation of the Allianz Tranche Right.</w:t>
      </w:r>
    </w:p>
    <w:p>
      <w:pPr>
        <w:spacing w:after="0" w:line="117" w:lineRule="exact"/>
        <w:rPr>
          <w:rFonts w:ascii="Times New Roman" w:cs="Times New Roman" w:eastAsia="Times New Roman" w:hAnsi="Times New Roman"/>
          <w:sz w:val="20"/>
          <w:szCs w:val="20"/>
          <w:color w:val="auto"/>
        </w:rPr>
      </w:pPr>
    </w:p>
    <w:p>
      <w:pPr>
        <w:jc w:val="both"/>
        <w:ind w:left="620" w:hanging="313"/>
        <w:spacing w:after="0" w:line="255" w:lineRule="auto"/>
        <w:tabs>
          <w:tab w:leader="none" w:pos="60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Investments in External Strategic Managers - </w:t>
      </w:r>
      <w:r>
        <w:rPr>
          <w:rFonts w:ascii="Times New Roman" w:cs="Times New Roman" w:eastAsia="Times New Roman" w:hAnsi="Times New Roman"/>
          <w:sz w:val="19"/>
          <w:szCs w:val="19"/>
          <w:color w:val="auto"/>
        </w:rPr>
        <w:t>The Company utilized a Discounted Cash Flow approach to determine the fair value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spacing w:after="0" w:line="189" w:lineRule="exact"/>
        <w:rPr>
          <w:rFonts w:ascii="Times New Roman" w:cs="Times New Roman" w:eastAsia="Times New Roman" w:hAnsi="Times New Roman"/>
          <w:sz w:val="19"/>
          <w:szCs w:val="19"/>
          <w:color w:val="auto"/>
        </w:rPr>
      </w:pPr>
    </w:p>
    <w:p>
      <w:pPr>
        <w:ind w:left="620" w:hanging="313"/>
        <w:spacing w:after="0" w:line="282"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 xml:space="preserve">Contingent Consideration Receivable - </w:t>
      </w:r>
      <w:r>
        <w:rPr>
          <w:rFonts w:ascii="Times New Roman" w:cs="Times New Roman" w:eastAsia="Times New Roman" w:hAnsi="Times New Roman"/>
          <w:sz w:val="19"/>
          <w:szCs w:val="19"/>
          <w:color w:val="auto"/>
        </w:rPr>
        <w:t>The Company utilized a Monte Carlo simulation to estimate the future share price of the acquirer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LRA, and the implied contingent consideration discounted using the risk-free rate and the acquirer’s estimated credit spread.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Refer to the valuation methodologies table below for further analysis of Level 3 valuations.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The following is a summary categorization of the Company’s financial instruments based on the inputs utilized in determining the value of such financial instruments. Investments at fair value as of June 30, 2025, and December 31, 2024 are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5"/>
                <w:szCs w:val="15"/>
                <w:b w:val="1"/>
                <w:bCs w:val="1"/>
                <w:color w:val="auto"/>
              </w:rPr>
              <w:t>As of June 30, 2025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22"/>
        </w:trPr>
        <w:tc>
          <w:tcPr>
            <w:tcW w:w="5080" w:type="dxa"/>
            <w:vAlign w:val="bottom"/>
          </w:tcPr>
          <w:p>
            <w:pPr>
              <w:spacing w:after="0"/>
              <w:rPr>
                <w:sz w:val="19"/>
                <w:szCs w:val="19"/>
                <w:color w:val="auto"/>
              </w:rPr>
            </w:pPr>
          </w:p>
        </w:tc>
        <w:tc>
          <w:tcPr>
            <w:tcW w:w="12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Unobservable Inputs</w:t>
            </w:r>
          </w:p>
        </w:tc>
        <w:tc>
          <w:tcPr>
            <w:tcW w:w="340" w:type="dxa"/>
            <w:vAlign w:val="bottom"/>
          </w:tcPr>
          <w:p>
            <w:pPr>
              <w:spacing w:after="0"/>
              <w:rPr>
                <w:sz w:val="19"/>
                <w:szCs w:val="19"/>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Mutual funds</w:t>
            </w:r>
          </w:p>
        </w:tc>
        <w:tc>
          <w:tcPr>
            <w:tcW w:w="1220" w:type="dxa"/>
            <w:vAlign w:val="bottom"/>
          </w:tcPr>
          <w:p>
            <w:pPr>
              <w:jc w:val="right"/>
              <w:ind w:right="10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Exchange-traded funds and BDC funds</w:t>
            </w: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Investments – External Strategic Managers</w:t>
            </w:r>
          </w:p>
        </w:tc>
        <w:tc>
          <w:tcPr>
            <w:tcW w:w="12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146,842</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 xml:space="preserve">Investments – Affiliated Funds </w:t>
            </w:r>
            <w:r>
              <w:rPr>
                <w:rFonts w:ascii="Times New Roman" w:cs="Times New Roman" w:eastAsia="Times New Roman" w:hAnsi="Times New Roman"/>
                <w:sz w:val="19"/>
                <w:szCs w:val="19"/>
                <w:b w:val="1"/>
                <w:bCs w:val="1"/>
                <w:color w:val="auto"/>
                <w:vertAlign w:val="superscript"/>
              </w:rPr>
              <w:t>(1)</w:t>
            </w:r>
          </w:p>
        </w:tc>
        <w:tc>
          <w:tcPr>
            <w:tcW w:w="12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w:t>
            </w: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Contingent consideration receivable</w:t>
            </w:r>
          </w:p>
        </w:tc>
        <w:tc>
          <w:tcPr>
            <w:tcW w:w="12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2,293</w:t>
            </w:r>
          </w:p>
        </w:tc>
      </w:tr>
      <w:tr>
        <w:trPr>
          <w:trHeight w:val="231"/>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Borders>
              <w:top w:val="single" w:sz="8" w:color="auto"/>
              <w:bottom w:val="single" w:sz="8" w:color="auto"/>
            </w:tcBorders>
          </w:tcPr>
          <w:p>
            <w:pPr>
              <w:jc w:val="right"/>
              <w:ind w:right="1064"/>
              <w:spacing w:after="0"/>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50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149,135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150,311</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0"/>
        </w:trPr>
        <w:tc>
          <w:tcPr>
            <w:tcW w:w="5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Preferred stock tranche liability</w:t>
            </w:r>
          </w:p>
        </w:tc>
        <w:tc>
          <w:tcPr>
            <w:tcW w:w="122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2,150</w:t>
            </w: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Earn-out liabilities</w:t>
            </w:r>
          </w:p>
        </w:tc>
        <w:tc>
          <w:tcPr>
            <w:tcW w:w="12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58,448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58,448</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 xml:space="preserve">TRA liability </w:t>
            </w:r>
            <w:r>
              <w:rPr>
                <w:rFonts w:ascii="Times New Roman" w:cs="Times New Roman" w:eastAsia="Times New Roman" w:hAnsi="Times New Roman"/>
                <w:sz w:val="19"/>
                <w:szCs w:val="19"/>
                <w:b w:val="1"/>
                <w:bCs w:val="1"/>
                <w:color w:val="auto"/>
                <w:vertAlign w:val="superscript"/>
              </w:rPr>
              <w:t>(2)</w:t>
            </w:r>
          </w:p>
        </w:tc>
        <w:tc>
          <w:tcPr>
            <w:tcW w:w="12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9,822</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9,822</w:t>
            </w: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220" w:type="dxa"/>
            <w:vAlign w:val="bottom"/>
          </w:tcPr>
          <w:p>
            <w:pPr>
              <w:jc w:val="right"/>
              <w:ind w:right="1064"/>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70,420</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70,420</w:t>
            </w:r>
          </w:p>
        </w:tc>
      </w:tr>
      <w:tr>
        <w:trPr>
          <w:trHeight w:val="20"/>
        </w:trPr>
        <w:tc>
          <w:tcPr>
            <w:tcW w:w="5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2"/>
        <w:spacing w:after="0" w:line="247" w:lineRule="auto"/>
        <w:tabs>
          <w:tab w:leader="none" w:pos="157" w:val="left"/>
        </w:tabs>
        <w:numPr>
          <w:ilvl w:val="0"/>
          <w:numId w:val="45"/>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spacing w:after="0" w:line="80" w:lineRule="exact"/>
        <w:rPr>
          <w:rFonts w:ascii="Times New Roman" w:cs="Times New Roman" w:eastAsia="Times New Roman" w:hAnsi="Times New Roman"/>
          <w:sz w:val="19"/>
          <w:szCs w:val="19"/>
          <w:b w:val="1"/>
          <w:bCs w:val="1"/>
          <w:color w:val="auto"/>
          <w:vertAlign w:val="superscript"/>
        </w:rPr>
      </w:pPr>
    </w:p>
    <w:p>
      <w:pPr>
        <w:ind w:left="140" w:hanging="138"/>
        <w:spacing w:after="0"/>
        <w:tabs>
          <w:tab w:leader="none" w:pos="140" w:val="left"/>
        </w:tabs>
        <w:numPr>
          <w:ilvl w:val="0"/>
          <w:numId w:val="4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The Company carries a portion of its TRA liability at fair value equal to the expected future payments under the TRA.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22"/>
        </w:trPr>
        <w:tc>
          <w:tcPr>
            <w:tcW w:w="5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Quoted Prices</w:t>
            </w:r>
          </w:p>
        </w:tc>
        <w:tc>
          <w:tcPr>
            <w:tcW w:w="10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Observable Inputs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Unobservable Inputs</w:t>
            </w:r>
          </w:p>
        </w:tc>
        <w:tc>
          <w:tcPr>
            <w:tcW w:w="340" w:type="dxa"/>
            <w:vAlign w:val="bottom"/>
          </w:tcPr>
          <w:p>
            <w:pPr>
              <w:spacing w:after="0"/>
              <w:rPr>
                <w:sz w:val="19"/>
                <w:szCs w:val="19"/>
                <w:color w:val="auto"/>
              </w:rPr>
            </w:pPr>
          </w:p>
        </w:tc>
        <w:tc>
          <w:tcPr>
            <w:tcW w:w="1140" w:type="dxa"/>
            <w:vAlign w:val="bottom"/>
          </w:tcPr>
          <w:p>
            <w:pPr>
              <w:jc w:val="right"/>
              <w:ind w:right="48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Mutual funds</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Exchange-traded funds and BDC funds</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Investments – External Strategic Managers</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147,568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147,568</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 xml:space="preserve">Investments – Affiliated Funds </w:t>
            </w:r>
            <w:r>
              <w:rPr>
                <w:rFonts w:ascii="Times New Roman" w:cs="Times New Roman" w:eastAsia="Times New Roman" w:hAnsi="Times New Roman"/>
                <w:sz w:val="19"/>
                <w:szCs w:val="19"/>
                <w:b w:val="1"/>
                <w:bCs w:val="1"/>
                <w:color w:val="auto"/>
                <w:vertAlign w:val="superscript"/>
              </w:rPr>
              <w:t>(1)</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883</w:t>
            </w:r>
          </w:p>
        </w:tc>
      </w:tr>
      <w:tr>
        <w:trPr>
          <w:trHeight w:val="222"/>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Contingent consideration receivable</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1,389</w:t>
            </w:r>
          </w:p>
        </w:tc>
      </w:tr>
      <w:tr>
        <w:trPr>
          <w:trHeight w:val="24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150,063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0"/>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Preferred stock tranche liability</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3,940</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3,940</w:t>
            </w:r>
          </w:p>
        </w:tc>
      </w:tr>
      <w:tr>
        <w:trPr>
          <w:trHeight w:val="238"/>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Earn-out liabilities</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64,639</w:t>
            </w:r>
          </w:p>
        </w:tc>
      </w:tr>
      <w:tr>
        <w:trPr>
          <w:trHeight w:val="229"/>
        </w:trPr>
        <w:tc>
          <w:tcPr>
            <w:tcW w:w="5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 xml:space="preserve">TRA liability </w:t>
            </w:r>
            <w:r>
              <w:rPr>
                <w:rFonts w:ascii="Times New Roman" w:cs="Times New Roman" w:eastAsia="Times New Roman" w:hAnsi="Times New Roman"/>
                <w:sz w:val="19"/>
                <w:szCs w:val="19"/>
                <w:b w:val="1"/>
                <w:bCs w:val="1"/>
                <w:color w:val="auto"/>
                <w:vertAlign w:val="superscript"/>
              </w:rPr>
              <w:t>(2)</w:t>
            </w:r>
          </w:p>
        </w:tc>
        <w:tc>
          <w:tcPr>
            <w:tcW w:w="1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9,378</w:t>
            </w:r>
          </w:p>
        </w:tc>
      </w:tr>
      <w:tr>
        <w:trPr>
          <w:trHeight w:val="222"/>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Earn-in consideration payable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932</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77,957</w:t>
            </w:r>
          </w:p>
        </w:tc>
        <w:tc>
          <w:tcPr>
            <w:tcW w:w="8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78,889</w:t>
            </w: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firstLine="2"/>
        <w:spacing w:after="0" w:line="265" w:lineRule="auto"/>
        <w:tabs>
          <w:tab w:leader="none" w:pos="154" w:val="left"/>
        </w:tabs>
        <w:numPr>
          <w:ilvl w:val="0"/>
          <w:numId w:val="4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spacing w:after="0" w:line="168" w:lineRule="exact"/>
        <w:rPr>
          <w:rFonts w:ascii="Times New Roman" w:cs="Times New Roman" w:eastAsia="Times New Roman" w:hAnsi="Times New Roman"/>
          <w:sz w:val="19"/>
          <w:szCs w:val="19"/>
          <w:b w:val="1"/>
          <w:bCs w:val="1"/>
          <w:color w:val="auto"/>
          <w:vertAlign w:val="superscript"/>
        </w:rPr>
      </w:pPr>
    </w:p>
    <w:p>
      <w:pPr>
        <w:ind w:left="140" w:hanging="138"/>
        <w:spacing w:after="0"/>
        <w:tabs>
          <w:tab w:leader="none" w:pos="140" w:val="left"/>
        </w:tabs>
        <w:numPr>
          <w:ilvl w:val="0"/>
          <w:numId w:val="46"/>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The Company carries a portion of its TRA liability at fair value equal to the expected future payments under the TRA.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Reconciliation of Fair Value Measurements Categorized within Level 3</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Unrealized gains and losses on the Company’s assets and liabilities carried at fair value on a recurring basis are included within other losses in the Condensed Consolidated Statement of Operations. During the year ended December 31, 2024, there was one transfer from Level 3 to Level 1 of the AWMS earn-out liability. The following table sets forth a summary of changes in the fair value of Level 3 measurements as of June 30, 2025 and December 31, 2024:</w:t>
      </w:r>
    </w:p>
    <w:p>
      <w:pPr>
        <w:spacing w:after="0" w:line="19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5"/>
          <w:szCs w:val="15"/>
          <w:b w:val="1"/>
          <w:bCs w:val="1"/>
          <w:color w:val="auto"/>
        </w:rPr>
        <w:t>Level 3 Liabilities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1254760</wp:posOffset>
            </wp:positionH>
            <wp:positionV relativeFrom="paragraph">
              <wp:posOffset>29845</wp:posOffset>
            </wp:positionV>
            <wp:extent cx="58864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645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Envoi earn-out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Envoi earn-out</w:t>
            </w:r>
          </w:p>
        </w:tc>
        <w:tc>
          <w:tcPr>
            <w:tcW w:w="14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8"/>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EEA earn-out</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Kontora earn-</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1"/>
        </w:trPr>
        <w:tc>
          <w:tcPr>
            <w:tcW w:w="1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TRA liability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 liability</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tranche liability</w:t>
            </w:r>
          </w:p>
        </w:tc>
        <w:tc>
          <w:tcPr>
            <w:tcW w:w="240" w:type="dxa"/>
            <w:vAlign w:val="bottom"/>
          </w:tcPr>
          <w:p>
            <w:pPr>
              <w:spacing w:after="0"/>
              <w:rPr>
                <w:sz w:val="16"/>
                <w:szCs w:val="16"/>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1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3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9,378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77,957</w:t>
            </w:r>
          </w:p>
        </w:tc>
      </w:tr>
      <w:tr>
        <w:trPr>
          <w:trHeight w:val="220"/>
        </w:trPr>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Issuances</w:t>
            </w:r>
          </w:p>
        </w:tc>
        <w:tc>
          <w:tcPr>
            <w:tcW w:w="3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5,743</w:t>
            </w:r>
          </w:p>
        </w:tc>
      </w:tr>
      <w:tr>
        <w:trPr>
          <w:trHeight w:val="238"/>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Settlements</w:t>
            </w: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(7,387)</w:t>
            </w:r>
          </w:p>
        </w:tc>
      </w:tr>
      <w:tr>
        <w:trPr>
          <w:trHeight w:val="220"/>
        </w:trPr>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(gains) losses</w:t>
            </w:r>
          </w:p>
        </w:tc>
        <w:tc>
          <w:tcPr>
            <w:tcW w:w="32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(5,893)</w:t>
            </w:r>
          </w:p>
        </w:tc>
      </w:tr>
      <w:tr>
        <w:trPr>
          <w:trHeight w:val="231"/>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Transfers out of Level 3</w:t>
            </w:r>
          </w:p>
        </w:tc>
        <w:tc>
          <w:tcPr>
            <w:tcW w:w="3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9"/>
        </w:trPr>
        <w:tc>
          <w:tcPr>
            <w:tcW w:w="1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9,822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17,711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23,579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6,228</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70,420</w:t>
            </w:r>
          </w:p>
        </w:tc>
      </w:tr>
      <w:tr>
        <w:trPr>
          <w:trHeight w:val="20"/>
        </w:trPr>
        <w:tc>
          <w:tcPr>
            <w:tcW w:w="1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5"/>
          <w:szCs w:val="15"/>
          <w:b w:val="1"/>
          <w:bCs w:val="1"/>
          <w:color w:val="auto"/>
        </w:rPr>
        <w:t>Level 3 Liabilities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29845</wp:posOffset>
            </wp:positionV>
            <wp:extent cx="54260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AWMS earn-</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Envoi earn-out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Envoi earn-out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TRA</w:t>
            </w: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40" w:type="dxa"/>
            <w:vAlign w:val="bottom"/>
          </w:tcPr>
          <w:p>
            <w:pPr>
              <w:spacing w:after="0"/>
              <w:rPr>
                <w:sz w:val="14"/>
                <w:szCs w:val="14"/>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out</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EEA earn-out</w:t>
            </w: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tranche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62,380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76,677</w:t>
            </w:r>
          </w:p>
        </w:tc>
        <w:tc>
          <w:tcPr>
            <w:tcW w:w="0" w:type="dxa"/>
            <w:vAlign w:val="bottom"/>
          </w:tcPr>
          <w:p>
            <w:pPr>
              <w:spacing w:after="0"/>
              <w:rPr>
                <w:sz w:val="1"/>
                <w:szCs w:val="1"/>
                <w:color w:val="auto"/>
              </w:rPr>
            </w:pP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Issuances</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7,980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36,848</w:t>
            </w:r>
          </w:p>
        </w:tc>
        <w:tc>
          <w:tcPr>
            <w:tcW w:w="0" w:type="dxa"/>
            <w:vAlign w:val="bottom"/>
          </w:tcPr>
          <w:p>
            <w:pPr>
              <w:spacing w:after="0"/>
              <w:rPr>
                <w:sz w:val="1"/>
                <w:szCs w:val="1"/>
                <w:color w:val="auto"/>
              </w:rPr>
            </w:pPr>
          </w:p>
        </w:tc>
      </w:tr>
      <w:tr>
        <w:trPr>
          <w:trHeight w:val="23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Settlements</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(gains) losses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1,620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(34,465)</w:t>
            </w:r>
          </w:p>
        </w:tc>
        <w:tc>
          <w:tcPr>
            <w:tcW w:w="0" w:type="dxa"/>
            <w:vAlign w:val="bottom"/>
          </w:tcPr>
          <w:p>
            <w:pPr>
              <w:spacing w:after="0"/>
              <w:rPr>
                <w:sz w:val="1"/>
                <w:szCs w:val="1"/>
                <w:color w:val="auto"/>
              </w:rPr>
            </w:pPr>
          </w:p>
        </w:tc>
      </w:tr>
      <w:tr>
        <w:trPr>
          <w:trHeight w:val="23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Transfers out of Level 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(1,103)</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(1,103)</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9,378</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23,848</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29,871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9,600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3,940</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77,957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8"/>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9"/>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Level 3 Assets as of June 30, 2025</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4"/>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Investments – External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Contingent Consideration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Strategic Managers</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485"/>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147,568</w:t>
            </w:r>
          </w:p>
        </w:tc>
        <w:tc>
          <w:tcPr>
            <w:tcW w:w="720" w:type="dxa"/>
            <w:vAlign w:val="bottom"/>
            <w:gridSpan w:val="3"/>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148,957</w:t>
            </w:r>
          </w:p>
        </w:tc>
        <w:tc>
          <w:tcPr>
            <w:tcW w:w="0" w:type="dxa"/>
            <w:vAlign w:val="bottom"/>
          </w:tcPr>
          <w:p>
            <w:pPr>
              <w:spacing w:after="0"/>
              <w:rPr>
                <w:sz w:val="1"/>
                <w:szCs w:val="1"/>
                <w:color w:val="auto"/>
              </w:rPr>
            </w:pPr>
          </w:p>
        </w:tc>
      </w:tr>
      <w:tr>
        <w:trPr>
          <w:trHeight w:val="222"/>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Realized and Unrealized Gains (Losses)</w:t>
            </w:r>
          </w:p>
        </w:tc>
        <w:tc>
          <w:tcPr>
            <w:tcW w:w="1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0" w:type="dxa"/>
            <w:vAlign w:val="bottom"/>
          </w:tcPr>
          <w:p>
            <w:pPr>
              <w:spacing w:after="0"/>
              <w:rPr>
                <w:sz w:val="1"/>
                <w:szCs w:val="1"/>
                <w:color w:val="auto"/>
              </w:rPr>
            </w:pPr>
          </w:p>
        </w:tc>
      </w:tr>
      <w:tr>
        <w:trPr>
          <w:trHeight w:val="24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146,842</w:t>
            </w:r>
          </w:p>
        </w:tc>
        <w:tc>
          <w:tcPr>
            <w:tcW w:w="720" w:type="dxa"/>
            <w:vAlign w:val="bottom"/>
            <w:gridSpan w:val="3"/>
            <w:shd w:val="clear" w:color="auto" w:fill="CCEEFF"/>
          </w:tcPr>
          <w:p>
            <w:pPr>
              <w:jc w:val="right"/>
              <w:ind w:right="40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2,293</w:t>
            </w:r>
          </w:p>
        </w:tc>
        <w:tc>
          <w:tcPr>
            <w:tcW w:w="10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149,135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6"/>
          </w:tcPr>
          <w:p>
            <w:pPr>
              <w:jc w:val="center"/>
              <w:ind w:left="1204"/>
              <w:spacing w:after="0"/>
              <w:rPr>
                <w:sz w:val="20"/>
                <w:szCs w:val="20"/>
                <w:color w:val="auto"/>
              </w:rPr>
            </w:pPr>
            <w:r>
              <w:rPr>
                <w:rFonts w:ascii="Times New Roman" w:cs="Times New Roman" w:eastAsia="Times New Roman" w:hAnsi="Times New Roman"/>
                <w:sz w:val="15"/>
                <w:szCs w:val="15"/>
                <w:b w:val="1"/>
                <w:bCs w:val="1"/>
                <w:color w:val="auto"/>
              </w:rPr>
              <w:t>Level 3 Assets as of December 31, 2024</w:t>
            </w:r>
          </w:p>
        </w:tc>
        <w:tc>
          <w:tcPr>
            <w:tcW w:w="1420" w:type="dxa"/>
            <w:vAlign w:val="bottom"/>
            <w:tcBorders>
              <w:bottom w:val="single" w:sz="8" w:color="auto"/>
            </w:tcBorders>
          </w:tcPr>
          <w:p>
            <w:pPr>
              <w:spacing w:after="0"/>
              <w:rPr>
                <w:sz w:val="18"/>
                <w:szCs w:val="18"/>
                <w:color w:val="auto"/>
              </w:rPr>
            </w:pPr>
          </w:p>
        </w:tc>
      </w:tr>
      <w:tr>
        <w:trPr>
          <w:trHeight w:val="200"/>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Investments – External</w:t>
            </w:r>
          </w:p>
        </w:tc>
        <w:tc>
          <w:tcPr>
            <w:tcW w:w="120" w:type="dxa"/>
            <w:vAlign w:val="bottom"/>
          </w:tcPr>
          <w:p>
            <w:pPr>
              <w:spacing w:after="0"/>
              <w:rPr>
                <w:sz w:val="17"/>
                <w:szCs w:val="17"/>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Contingent Consideration</w:t>
            </w:r>
          </w:p>
        </w:tc>
        <w:tc>
          <w:tcPr>
            <w:tcW w:w="4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Strategic Managers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164,077</w:t>
            </w:r>
          </w:p>
        </w:tc>
      </w:tr>
      <w:tr>
        <w:trPr>
          <w:trHeight w:val="220"/>
        </w:trPr>
        <w:tc>
          <w:tcPr>
            <w:tcW w:w="5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Realized and Unrealized Gains (Losses)</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(17,055)</w:t>
            </w:r>
          </w:p>
        </w:tc>
      </w:tr>
      <w:tr>
        <w:trPr>
          <w:trHeight w:val="23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1,935</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147,568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148,957</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Valuation Methodologies for Fair Value Measurements Categorized within Level 3 as of June 30,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Impact to Valuation</w:t>
            </w:r>
          </w:p>
        </w:tc>
      </w:tr>
      <w:tr>
        <w:trPr>
          <w:trHeight w:val="178"/>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Valuation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from an Increase in</w:t>
            </w: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30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Techniques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Ranges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r>
      <w:tr>
        <w:trPr>
          <w:trHeight w:val="208"/>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Level 3 Assets: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 – External Strategic Managers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146,842</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 -26.0%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Long-term growth</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 receivable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2,293</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9,822</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Correlation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Cost of debt range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 - 11.9%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Equity risk premium</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 - 13.1%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Business Combination earn-out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17,711</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EBITDA Discount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EEA earn-out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23,579</w:t>
            </w: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Revenue risk-</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adjusted discount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7"/>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Envoi earn-out consideration liability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9,750</w:t>
            </w:r>
          </w:p>
        </w:tc>
        <w:tc>
          <w:tcPr>
            <w:tcW w:w="8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Envoi earn-out growth consideration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Metric 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Revenue discount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Credit Risk Adjusted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Kontora earn-out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6,228</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stock tranche liability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2,150</w:t>
            </w:r>
          </w:p>
        </w:tc>
        <w:tc>
          <w:tcPr>
            <w:tcW w:w="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Binomial lattice model</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Probability of option</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exercise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Valuation Methodologies for Fair Value Measurements Categorized within Level 3 as of December 31, 2024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Impact to Valuation</w:t>
            </w:r>
          </w:p>
        </w:tc>
      </w:tr>
      <w:tr>
        <w:trPr>
          <w:trHeight w:val="178"/>
        </w:trPr>
        <w:tc>
          <w:tcPr>
            <w:tcW w:w="3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Fair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Valuation</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Unobservable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from an Increase in</w:t>
            </w:r>
          </w:p>
        </w:tc>
      </w:tr>
      <w:tr>
        <w:trPr>
          <w:trHeight w:val="225"/>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w:t>
            </w:r>
          </w:p>
        </w:tc>
        <w:tc>
          <w:tcPr>
            <w:tcW w:w="300" w:type="dxa"/>
            <w:vAlign w:val="bottom"/>
          </w:tcPr>
          <w:p>
            <w:pPr>
              <w:spacing w:after="0"/>
              <w:rPr>
                <w:sz w:val="19"/>
                <w:szCs w:val="19"/>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Techniques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5"/>
                <w:szCs w:val="15"/>
                <w:b w:val="1"/>
                <w:bCs w:val="1"/>
                <w:color w:val="auto"/>
              </w:rPr>
              <w:t>Ranges</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Input</w:t>
            </w:r>
          </w:p>
        </w:tc>
      </w:tr>
      <w:tr>
        <w:trPr>
          <w:trHeight w:val="208"/>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Level 3 Assets: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Investments – External Strategic Managers</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147,568</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 -33%</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Long-term growth</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Contingent consideration receivable</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Level 3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TRA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9,822</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Correlation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Cost of debt range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- 10.9%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Equity risk premium</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 - 13.2%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Business Combination earn-out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23,848</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EBITDA Discount</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EEA earn-out liability</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29,871</w:t>
            </w: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Envoi earn-out consideration liability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9,600</w:t>
            </w:r>
          </w:p>
        </w:tc>
        <w:tc>
          <w:tcPr>
            <w:tcW w:w="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Discounted Cash Flow</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Growth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Revenue risk-</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91"/>
        </w:trPr>
        <w:tc>
          <w:tcPr>
            <w:tcW w:w="3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adjusted discount</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6"/>
        </w:trPr>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Envoi earn-out growth consideration liability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w:t>
            </w:r>
          </w:p>
        </w:tc>
        <w:tc>
          <w:tcPr>
            <w:tcW w:w="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Monte Carlo</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Metric 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192"/>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Revenue discount</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Credit Risk Adjusted</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Discount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Preferred stock tranche liability</w:t>
            </w:r>
          </w:p>
        </w:tc>
        <w:tc>
          <w:tcPr>
            <w:tcW w:w="3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3,940</w:t>
            </w:r>
          </w:p>
        </w:tc>
        <w:tc>
          <w:tcPr>
            <w:tcW w:w="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Binomial lattice model</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Volatility</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01"/>
        </w:trPr>
        <w:tc>
          <w:tcPr>
            <w:tcW w:w="3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Probability of option</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exercise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Higher</w:t>
            </w:r>
          </w:p>
        </w:tc>
      </w:tr>
      <w:tr>
        <w:trPr>
          <w:trHeight w:val="220"/>
        </w:trPr>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Risk-free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Lower</w:t>
            </w:r>
          </w:p>
        </w:tc>
      </w:tr>
      <w:tr>
        <w:trPr>
          <w:trHeight w:val="238"/>
        </w:trPr>
        <w:tc>
          <w:tcPr>
            <w:tcW w:w="3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Credit spread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Lower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Equity Method Investments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As of June 30, 2025 and December 31, 2024, the Company had $5.5 million and $27.5 million, respectively, of equity method investments recorded within equity method investments on the Condensed Consolidated Statement of Financial Position and Condensed Consolidated Statement of Financial Position, respectively. In accordance with US GAAP, certain equity method investees do not account for both their financial assets and liabilities under fair value measures; therefore, the Company’s investment in such equity method investees may not represent fair value.</w:t>
      </w:r>
    </w:p>
    <w:p>
      <w:pPr>
        <w:spacing w:after="0" w:line="1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For the three months ended June 30, 2025 and June 30, 2024, the Company recognized $0.0 million and $4.0 million, respectively, and for the six months ended June 30, 2025 and June 30, 2024, the Company recognized $1.7 million and $4.0 million, respectively, of impairment on its equity method investments within gain (loss) on investments in the Condensed Consolidated Statement of Operations. Additionally, as part of the Business Combination, AlTi acquired the right to carried interest on several projects. These are held as assets at cost less impairment. The Company assesses indicators of impairment every quarter utilizing a number of factors, including market conditions. For the three months ended June 30, 2025 and June 30, 2024, the Company recognized $239.6 thousand and $28.2 thousand, respectively, and for the six months ended June 30, 2025 and June 30, 2024, the Company recognized $447.1 thousand and $68.3 thousand, respectively, of impairment to these assets.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investments include Investments at fair value and Equity method investments.</w:t>
      </w:r>
    </w:p>
    <w:p>
      <w:pPr>
        <w:spacing w:after="0" w:line="2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Investments at fair value consist of investments for which the fair value option has been elected. The primary reasons for electing the fair value option are to:</w:t>
      </w:r>
    </w:p>
    <w:p>
      <w:pPr>
        <w:spacing w:after="0" w:line="131" w:lineRule="exact"/>
        <w:rPr>
          <w:sz w:val="20"/>
          <w:szCs w:val="20"/>
          <w:color w:val="auto"/>
        </w:rPr>
      </w:pPr>
    </w:p>
    <w:p>
      <w:pPr>
        <w:ind w:left="600" w:hanging="293"/>
        <w:spacing w:after="0"/>
        <w:tabs>
          <w:tab w:leader="none" w:pos="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reflect economic events in earnings on a timely basis;</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mitigate volatility in earnings from using different measurement attributes; and</w:t>
      </w:r>
    </w:p>
    <w:p>
      <w:pPr>
        <w:spacing w:after="0" w:line="176"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address simplification and cost-benefit considerations</w:t>
      </w:r>
    </w:p>
    <w:p>
      <w:pPr>
        <w:spacing w:after="0" w:line="17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Such election is irrevocable and is applied on an investment-by-investment basis at initial recognition or at other eligible election dates. Changes in the fair value of such instruments are recognized in Loss on investments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Cost and Fair Value of Investments as of June 30, 2025 and December 31, 2024 are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360" w:type="dxa"/>
            <w:vAlign w:val="bottom"/>
          </w:tcPr>
          <w:p>
            <w:pPr>
              <w:spacing w:after="0"/>
              <w:rPr>
                <w:sz w:val="19"/>
                <w:szCs w:val="19"/>
                <w:color w:val="auto"/>
              </w:rPr>
            </w:pPr>
          </w:p>
        </w:tc>
        <w:tc>
          <w:tcPr>
            <w:tcW w:w="2880" w:type="dxa"/>
            <w:vAlign w:val="bottom"/>
            <w:gridSpan w:val="4"/>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6"/>
        </w:trPr>
        <w:tc>
          <w:tcPr>
            <w:tcW w:w="4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6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6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6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60" w:type="dxa"/>
            <w:vAlign w:val="bottom"/>
          </w:tcPr>
          <w:p>
            <w:pPr>
              <w:spacing w:after="0"/>
              <w:rPr>
                <w:sz w:val="19"/>
                <w:szCs w:val="19"/>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Investments at Fair Value:</w:t>
            </w: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6"/>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Exchange-traded funds and BDC funds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TIG Arbitrage Associates Master Fund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6"/>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TIG Arbitrage Enhanced Master Fund</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Arkkan Opportunities Feeder Fund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6"/>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Arkkan Capital Management Limited</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20,028</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21,181</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Zebedee Asset Management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79,402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80,127</w:t>
            </w:r>
          </w:p>
        </w:tc>
      </w:tr>
      <w:tr>
        <w:trPr>
          <w:trHeight w:val="26"/>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Romspen Investment Corporation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47,413</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46,260</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6"/>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Investments at fair value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162,380</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148,018</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162,499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148,674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Equity method investments: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equity method investments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4,901</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4,901</w:t>
            </w:r>
          </w:p>
        </w:tc>
        <w:tc>
          <w:tcPr>
            <w:tcW w:w="1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6"/>
        </w:trPr>
        <w:tc>
          <w:tcPr>
            <w:tcW w:w="4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Wealth management - investment advisory</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20,404</w:t>
            </w:r>
          </w:p>
        </w:tc>
      </w:tr>
      <w:tr>
        <w:trPr>
          <w:trHeight w:val="228"/>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Carried interest vehicles</w:t>
            </w: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8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6"/>
        </w:trPr>
        <w:tc>
          <w:tcPr>
            <w:tcW w:w="4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Equity method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27,517</w:t>
            </w:r>
          </w:p>
        </w:tc>
      </w:tr>
      <w:tr>
        <w:trPr>
          <w:trHeight w:val="235"/>
        </w:trPr>
        <w:tc>
          <w:tcPr>
            <w:tcW w:w="4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167,851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153,489</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190,016</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176,191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Company’s Investments at fair value include unrealized gains (losses) and realized gains (losses) in the Condensed Consolidated Statement of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breakdown of unrealized gains (losses) and realized gains (losses) on Investments at fair value for the relevant periods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20" w:type="dxa"/>
            <w:vAlign w:val="bottom"/>
          </w:tcPr>
          <w:p>
            <w:pPr>
              <w:spacing w:after="0"/>
              <w:rPr>
                <w:sz w:val="19"/>
                <w:szCs w:val="19"/>
                <w:color w:val="auto"/>
              </w:rPr>
            </w:pPr>
          </w:p>
        </w:tc>
        <w:tc>
          <w:tcPr>
            <w:tcW w:w="3180" w:type="dxa"/>
            <w:vAlign w:val="bottom"/>
            <w:gridSpan w:val="4"/>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4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19"/>
                <w:szCs w:val="19"/>
                <w:color w:val="auto"/>
              </w:rPr>
            </w:pPr>
          </w:p>
        </w:tc>
        <w:tc>
          <w:tcPr>
            <w:tcW w:w="144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4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Gains (Losses) on Investments at fair value:</w:t>
            </w: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8"/>
        </w:trPr>
        <w:tc>
          <w:tcPr>
            <w:tcW w:w="4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Realized gains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6"/>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(2,923)</w:t>
            </w:r>
          </w:p>
        </w:tc>
      </w:tr>
      <w:tr>
        <w:trPr>
          <w:trHeight w:val="247"/>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gains (losses) on Investments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1,738</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(2,916)</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Intangible Assets,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 reconciliation of Intangible assets, net reported on the Condensed Consolidated Statement of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2"/>
        </w:trPr>
        <w:tc>
          <w:tcPr>
            <w:tcW w:w="404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4"/>
        </w:trPr>
        <w:tc>
          <w:tcPr>
            <w:tcW w:w="404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404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Amortization</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7"/>
                <w:szCs w:val="17"/>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9"/>
              </w:rPr>
              <w:t>Net Carrying</w:t>
            </w:r>
          </w:p>
        </w:tc>
      </w:tr>
      <w:tr>
        <w:trPr>
          <w:trHeight w:val="252"/>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3"/>
              </w:rPr>
              <w:t xml:space="preserve">Amount </w:t>
            </w:r>
            <w:r>
              <w:rPr>
                <w:rFonts w:ascii="Times New Roman" w:cs="Times New Roman" w:eastAsia="Times New Roman" w:hAnsi="Times New Roman"/>
                <w:sz w:val="22"/>
                <w:szCs w:val="22"/>
                <w:b w:val="1"/>
                <w:bCs w:val="1"/>
                <w:color w:val="auto"/>
                <w:w w:val="93"/>
                <w:vertAlign w:val="superscript"/>
              </w:rPr>
              <w:t>(2)</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9"/>
              </w:rPr>
              <w:t>Impairment/Disposals</w:t>
            </w:r>
          </w:p>
        </w:tc>
        <w:tc>
          <w:tcPr>
            <w:tcW w:w="160" w:type="dxa"/>
            <w:vAlign w:val="bottom"/>
          </w:tcPr>
          <w:p>
            <w:pPr>
              <w:spacing w:after="0"/>
              <w:rPr>
                <w:sz w:val="21"/>
                <w:szCs w:val="21"/>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00" w:type="dxa"/>
            <w:vAlign w:val="bottom"/>
          </w:tcPr>
          <w:p>
            <w:pPr>
              <w:spacing w:after="0"/>
              <w:rPr>
                <w:sz w:val="21"/>
                <w:szCs w:val="21"/>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Amortizing intangible assets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265,630</w:t>
            </w:r>
          </w:p>
        </w:tc>
      </w:tr>
      <w:tr>
        <w:trPr>
          <w:trHeight w:val="228"/>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management agreements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Trade names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9,109</w:t>
            </w:r>
          </w:p>
        </w:tc>
      </w:tr>
      <w:tr>
        <w:trPr>
          <w:trHeight w:val="228"/>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License</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4,707</w:t>
            </w:r>
          </w:p>
        </w:tc>
      </w:tr>
      <w:tr>
        <w:trPr>
          <w:trHeight w:val="26"/>
        </w:trPr>
        <w:tc>
          <w:tcPr>
            <w:tcW w:w="40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Acquired internally developed software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8"/>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intangible asset</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6"/>
        </w:trPr>
        <w:tc>
          <w:tcPr>
            <w:tcW w:w="40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7"/>
        </w:trPr>
        <w:tc>
          <w:tcPr>
            <w:tcW w:w="4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amortized intangible assets</w:t>
            </w:r>
          </w:p>
        </w:tc>
        <w:tc>
          <w:tcPr>
            <w:tcW w:w="1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279,722</w:t>
            </w:r>
          </w:p>
        </w:tc>
      </w:tr>
      <w:tr>
        <w:trPr>
          <w:trHeight w:val="25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Non-amortized intangible assets </w:t>
            </w:r>
            <w:r>
              <w:rPr>
                <w:rFonts w:ascii="Times New Roman" w:cs="Times New Roman" w:eastAsia="Times New Roman" w:hAnsi="Times New Roman"/>
                <w:sz w:val="22"/>
                <w:szCs w:val="22"/>
                <w:color w:val="auto"/>
                <w:vertAlign w:val="superscript"/>
              </w:rPr>
              <w:t>(1)</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5"/>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intangible asset</w:t>
            </w: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management agreements</w:t>
            </w: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201,000</w:t>
            </w:r>
          </w:p>
        </w:tc>
      </w:tr>
      <w:tr>
        <w:trPr>
          <w:trHeight w:val="26"/>
        </w:trPr>
        <w:tc>
          <w:tcPr>
            <w:tcW w:w="40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7"/>
        </w:trPr>
        <w:tc>
          <w:tcPr>
            <w:tcW w:w="40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non-amortized intangible assets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201,004</w:t>
            </w:r>
          </w:p>
        </w:tc>
      </w:tr>
      <w:tr>
        <w:trPr>
          <w:trHeight w:val="222"/>
        </w:trPr>
        <w:tc>
          <w:tcPr>
            <w:tcW w:w="40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r>
      <w:tr>
        <w:trPr>
          <w:trHeight w:val="27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511,860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480,726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firstLine="2"/>
        <w:spacing w:after="0" w:line="230" w:lineRule="auto"/>
        <w:tabs>
          <w:tab w:leader="none" w:pos="153"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Company’s non-amortized intangible assets consist of management contracts for open-ended fund products and other intangible assets related to domain names and other software, for which there is no contractual termination date.</w:t>
      </w:r>
    </w:p>
    <w:p>
      <w:pPr>
        <w:spacing w:after="0" w:line="196" w:lineRule="exact"/>
        <w:rPr>
          <w:rFonts w:ascii="Times New Roman" w:cs="Times New Roman" w:eastAsia="Times New Roman" w:hAnsi="Times New Roman"/>
          <w:sz w:val="19"/>
          <w:szCs w:val="19"/>
          <w:color w:val="auto"/>
          <w:vertAlign w:val="superscript"/>
        </w:rPr>
      </w:pPr>
    </w:p>
    <w:p>
      <w:pPr>
        <w:ind w:firstLine="2"/>
        <w:spacing w:after="0" w:line="308" w:lineRule="auto"/>
        <w:tabs>
          <w:tab w:leader="none" w:pos="141" w:val="left"/>
        </w:tabs>
        <w:numPr>
          <w:ilvl w:val="0"/>
          <w:numId w:val="4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June 30, 2025, gross carrying amounts related to the Company’s intangible assets include additions to intangibles of $14.8 million related to the Kontora Acquisition, as well as foreign currency translation differences of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20" w:type="dxa"/>
            <w:vAlign w:val="bottom"/>
            <w:gridSpan w:val="6"/>
          </w:tcPr>
          <w:p>
            <w:pPr>
              <w:jc w:val="center"/>
              <w:ind w:left="75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42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2"/>
        </w:trPr>
        <w:tc>
          <w:tcPr>
            <w:tcW w:w="426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426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426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Carrying</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6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52"/>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(Dollars in Thousands)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14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3"/>
              </w:rPr>
              <w:t xml:space="preserve">Amount </w:t>
            </w:r>
            <w:r>
              <w:rPr>
                <w:rFonts w:ascii="Times New Roman" w:cs="Times New Roman" w:eastAsia="Times New Roman" w:hAnsi="Times New Roman"/>
                <w:sz w:val="22"/>
                <w:szCs w:val="22"/>
                <w:b w:val="1"/>
                <w:bCs w:val="1"/>
                <w:color w:val="auto"/>
                <w:w w:val="93"/>
                <w:vertAlign w:val="superscript"/>
              </w:rPr>
              <w:t>(2)</w:t>
            </w:r>
          </w:p>
        </w:tc>
        <w:tc>
          <w:tcPr>
            <w:tcW w:w="16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22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1"/>
                <w:szCs w:val="21"/>
                <w:color w:val="auto"/>
              </w:rPr>
            </w:pPr>
          </w:p>
        </w:tc>
        <w:tc>
          <w:tcPr>
            <w:tcW w:w="9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5"/>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4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Amortizing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
        </w:trPr>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5"/>
        </w:trPr>
        <w:tc>
          <w:tcPr>
            <w:tcW w:w="4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277,117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258,118</w:t>
            </w:r>
          </w:p>
        </w:tc>
      </w:tr>
      <w:tr>
        <w:trPr>
          <w:trHeight w:val="228"/>
        </w:trPr>
        <w:tc>
          <w:tcPr>
            <w:tcW w:w="4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Investment management agreements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5"/>
        </w:trPr>
        <w:tc>
          <w:tcPr>
            <w:tcW w:w="4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9,590</w:t>
            </w:r>
          </w:p>
        </w:tc>
      </w:tr>
      <w:tr>
        <w:trPr>
          <w:trHeight w:val="228"/>
        </w:trPr>
        <w:tc>
          <w:tcPr>
            <w:tcW w:w="4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Acquired internally developed software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w:t>
            </w:r>
          </w:p>
        </w:tc>
      </w:tr>
      <w:tr>
        <w:trPr>
          <w:trHeight w:val="26"/>
        </w:trPr>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4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intangible asset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amortized intangible 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293,588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(22,811)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268,563</w:t>
            </w:r>
          </w:p>
        </w:tc>
      </w:tr>
      <w:tr>
        <w:trPr>
          <w:trHeight w:val="26"/>
        </w:trPr>
        <w:tc>
          <w:tcPr>
            <w:tcW w:w="4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Non-amortized intangible assets </w:t>
            </w:r>
            <w:r>
              <w:rPr>
                <w:rFonts w:ascii="Times New Roman" w:cs="Times New Roman" w:eastAsia="Times New Roman" w:hAnsi="Times New Roman"/>
                <w:sz w:val="22"/>
                <w:szCs w:val="22"/>
                <w:color w:val="auto"/>
                <w:vertAlign w:val="superscript"/>
              </w:rPr>
              <w:t>(1)</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5"/>
        </w:trPr>
        <w:tc>
          <w:tcPr>
            <w:tcW w:w="4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 xml:space="preserve">Investment management agreements </w:t>
            </w:r>
            <w:r>
              <w:rPr>
                <w:rFonts w:ascii="Times New Roman" w:cs="Times New Roman" w:eastAsia="Times New Roman" w:hAnsi="Times New Roman"/>
                <w:sz w:val="22"/>
                <w:szCs w:val="22"/>
                <w:color w:val="auto"/>
                <w:vertAlign w:val="superscript"/>
              </w:rPr>
              <w:t>(3)</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201,000</w:t>
            </w:r>
          </w:p>
        </w:tc>
      </w:tr>
      <w:tr>
        <w:trPr>
          <w:trHeight w:val="272"/>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539,488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(47,114)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469,563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140" w:hanging="138"/>
        <w:spacing w:after="0"/>
        <w:tabs>
          <w:tab w:leader="none" w:pos="140"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Company’s non-amortized intangible assets consist of management contracts for open-ended fund products, in which there is no contractual termination date.</w:t>
      </w:r>
    </w:p>
    <w:p>
      <w:pPr>
        <w:spacing w:after="0" w:line="210" w:lineRule="exact"/>
        <w:rPr>
          <w:rFonts w:ascii="Times New Roman" w:cs="Times New Roman" w:eastAsia="Times New Roman" w:hAnsi="Times New Roman"/>
          <w:sz w:val="16"/>
          <w:szCs w:val="16"/>
          <w:color w:val="auto"/>
          <w:vertAlign w:val="superscript"/>
        </w:rPr>
      </w:pPr>
    </w:p>
    <w:p>
      <w:pPr>
        <w:jc w:val="both"/>
        <w:ind w:firstLine="2"/>
        <w:spacing w:after="0" w:line="282" w:lineRule="auto"/>
        <w:tabs>
          <w:tab w:leader="none" w:pos="141" w:val="left"/>
        </w:tabs>
        <w:numPr>
          <w:ilvl w:val="0"/>
          <w:numId w:val="4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of December 31, 2024, gross carrying amounts related to the Company’s intangible assets include additions to intangibles of $99.3 million related to the PW, EEA, and Envoi Acquisitions, a transfer of $4.6 million to Goodwill related to measurement period adjustments for the EEA Acquisition and a transfer of $1.0 million from Goodwill related to measurement period adjustments for the Envoi Acquisition (see Note 3 Business Combinations and Divestitures), as well as foreign currency translation differences of $(1.3) million.</w:t>
      </w:r>
    </w:p>
    <w:p>
      <w:pPr>
        <w:spacing w:after="0" w:line="171" w:lineRule="exact"/>
        <w:rPr>
          <w:rFonts w:ascii="Times New Roman" w:cs="Times New Roman" w:eastAsia="Times New Roman" w:hAnsi="Times New Roman"/>
          <w:sz w:val="16"/>
          <w:szCs w:val="16"/>
          <w:color w:val="auto"/>
          <w:vertAlign w:val="superscript"/>
        </w:rPr>
      </w:pPr>
    </w:p>
    <w:p>
      <w:pPr>
        <w:jc w:val="both"/>
        <w:ind w:firstLine="2"/>
        <w:spacing w:after="0" w:line="251" w:lineRule="auto"/>
        <w:tabs>
          <w:tab w:leader="none" w:pos="153" w:val="left"/>
        </w:tabs>
        <w:numPr>
          <w:ilvl w:val="0"/>
          <w:numId w:val="4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During the third quarter ended September 30, 2024, the Company commenced a strategic review of its International Real Estate Businesses and conducted a realignment of its operating segments. Prior to the realignment, the Company conducted a goodwill impairment test to determine whether the fair value of its reporting units declined to an amount lower than the carrying value of goodwill. As part of the test, we utilized the discounted cash flow method and determined the fair value of TIG’s Investment Management Agreement (the “IMA”) had declined. As such, the Company recognized intangible asset impairment charges of $44.9 million related to the IMA, which is classified as an indefinite-lived intangible asset and part of the Wealth &amp; Capital Solutions segment. Drivers of the impairment for the IMA primarily include the financial projections and discount rate associated with the instrument. See Note 13 (Goodwill, net) for further details around the related impairment to goodwill as a result of our strategic realignment.</w:t>
      </w:r>
    </w:p>
    <w:p>
      <w:pPr>
        <w:spacing w:after="0" w:line="11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Amortization expense of approximately $4.0 million and $3.4 million for the three months ended June 30, 2025 and June 30, 2024, respectively, and $7.8 million and $5.8 million for the six months ended June 30, 2025 and June 30, 2024, respectively, was recognized.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estimated future amortization for finite-lived intangible assets for each of the next five years and thereafter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As of June 30, 2025</w:t>
            </w:r>
          </w:p>
        </w:tc>
      </w:tr>
      <w:tr>
        <w:trPr>
          <w:trHeight w:val="26"/>
        </w:trPr>
        <w:tc>
          <w:tcPr>
            <w:tcW w:w="90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7"/>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8,107</w:t>
            </w:r>
          </w:p>
        </w:tc>
      </w:tr>
      <w:tr>
        <w:trPr>
          <w:trHeight w:val="228"/>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16,183</w:t>
            </w:r>
          </w:p>
        </w:tc>
      </w:tr>
      <w:tr>
        <w:trPr>
          <w:trHeight w:val="26"/>
        </w:trPr>
        <w:tc>
          <w:tcPr>
            <w:tcW w:w="9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5"/>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16,167</w:t>
            </w:r>
          </w:p>
        </w:tc>
      </w:tr>
      <w:tr>
        <w:trPr>
          <w:trHeight w:val="228"/>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16,124</w:t>
            </w:r>
          </w:p>
        </w:tc>
      </w:tr>
      <w:tr>
        <w:trPr>
          <w:trHeight w:val="26"/>
        </w:trPr>
        <w:tc>
          <w:tcPr>
            <w:tcW w:w="9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5"/>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 and beyond</w:t>
            </w:r>
          </w:p>
        </w:tc>
        <w:tc>
          <w:tcPr>
            <w:tcW w:w="4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223,141</w:t>
            </w:r>
          </w:p>
        </w:tc>
      </w:tr>
      <w:tr>
        <w:trPr>
          <w:trHeight w:val="247"/>
        </w:trPr>
        <w:tc>
          <w:tcPr>
            <w:tcW w:w="9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4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279,722</w:t>
            </w:r>
          </w:p>
        </w:tc>
      </w:tr>
      <w:tr>
        <w:trPr>
          <w:trHeight w:val="20"/>
        </w:trPr>
        <w:tc>
          <w:tcPr>
            <w:tcW w:w="9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Other assets, net and Other liabilities,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 breakdown of Other assets, net reported on the Condensed Consolidated Statement of Financial Position.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80" w:type="dxa"/>
            <w:vAlign w:val="bottom"/>
          </w:tcPr>
          <w:p>
            <w:pPr>
              <w:spacing w:after="0"/>
              <w:rPr>
                <w:sz w:val="19"/>
                <w:szCs w:val="19"/>
                <w:color w:val="auto"/>
              </w:rPr>
            </w:pP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260" w:type="dxa"/>
            <w:vAlign w:val="bottom"/>
          </w:tcPr>
          <w:p>
            <w:pPr>
              <w:spacing w:after="0"/>
              <w:rPr>
                <w:sz w:val="19"/>
                <w:szCs w:val="19"/>
                <w:color w:val="auto"/>
              </w:rPr>
            </w:pPr>
          </w:p>
        </w:tc>
        <w:tc>
          <w:tcPr>
            <w:tcW w:w="23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6"/>
        </w:trPr>
        <w:tc>
          <w:tcPr>
            <w:tcW w:w="5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1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 net:</w:t>
            </w:r>
          </w:p>
        </w:tc>
        <w:tc>
          <w:tcPr>
            <w:tcW w:w="380" w:type="dxa"/>
            <w:vAlign w:val="bottom"/>
            <w:tcBorders>
              <w:bottom w:val="single" w:sz="8" w:color="CCEEFF"/>
            </w:tcBorders>
            <w:shd w:val="clear" w:color="auto" w:fill="CCEEFF"/>
          </w:tcPr>
          <w:p>
            <w:pPr>
              <w:spacing w:after="0"/>
              <w:rPr>
                <w:sz w:val="18"/>
                <w:szCs w:val="18"/>
                <w:color w:val="auto"/>
              </w:rPr>
            </w:pPr>
          </w:p>
        </w:tc>
        <w:tc>
          <w:tcPr>
            <w:tcW w:w="2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18"/>
                <w:szCs w:val="18"/>
                <w:color w:val="auto"/>
              </w:rPr>
            </w:pPr>
          </w:p>
        </w:tc>
      </w:tr>
      <w:tr>
        <w:trPr>
          <w:trHeight w:val="228"/>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Leasehold improvements</w:t>
            </w: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18,418</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17,736</w:t>
            </w:r>
          </w:p>
        </w:tc>
      </w:tr>
      <w:tr>
        <w:trPr>
          <w:trHeight w:val="26"/>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3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w:t>
            </w:r>
          </w:p>
        </w:tc>
      </w:tr>
      <w:tr>
        <w:trPr>
          <w:trHeight w:val="228"/>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 difference</w:t>
            </w:r>
          </w:p>
        </w:tc>
        <w:tc>
          <w:tcPr>
            <w:tcW w:w="3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6"/>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5"/>
        </w:trPr>
        <w:tc>
          <w:tcPr>
            <w:tcW w:w="5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38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w:t>
            </w:r>
          </w:p>
        </w:tc>
      </w:tr>
      <w:tr>
        <w:trPr>
          <w:trHeight w:val="221"/>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 net</w:t>
            </w:r>
          </w:p>
        </w:tc>
        <w:tc>
          <w:tcPr>
            <w:tcW w:w="38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16,141</w:t>
            </w:r>
          </w:p>
        </w:tc>
      </w:tr>
      <w:tr>
        <w:trPr>
          <w:trHeight w:val="26"/>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incentive receivables</w:t>
            </w:r>
          </w:p>
        </w:tc>
        <w:tc>
          <w:tcPr>
            <w:tcW w:w="38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income</w:t>
            </w:r>
          </w:p>
        </w:tc>
        <w:tc>
          <w:tcPr>
            <w:tcW w:w="3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16,011</w:t>
            </w:r>
          </w:p>
        </w:tc>
      </w:tr>
      <w:tr>
        <w:trPr>
          <w:trHeight w:val="26"/>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3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9,116</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Sundry receivables</w:t>
            </w:r>
          </w:p>
        </w:tc>
        <w:tc>
          <w:tcPr>
            <w:tcW w:w="3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6,744</w:t>
            </w:r>
          </w:p>
        </w:tc>
      </w:tr>
      <w:tr>
        <w:trPr>
          <w:trHeight w:val="26"/>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receivables</w:t>
            </w:r>
          </w:p>
        </w:tc>
        <w:tc>
          <w:tcPr>
            <w:tcW w:w="38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r>
      <w:tr>
        <w:trPr>
          <w:trHeight w:val="228"/>
        </w:trPr>
        <w:tc>
          <w:tcPr>
            <w:tcW w:w="5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8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r>
      <w:tr>
        <w:trPr>
          <w:trHeight w:val="26"/>
        </w:trPr>
        <w:tc>
          <w:tcPr>
            <w:tcW w:w="5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72"/>
        </w:trPr>
        <w:tc>
          <w:tcPr>
            <w:tcW w:w="5860" w:type="dxa"/>
            <w:vAlign w:val="bottom"/>
            <w:tcBorders>
              <w:bottom w:val="single" w:sz="8" w:color="CCEEFF"/>
            </w:tcBorders>
            <w:shd w:val="clear" w:color="auto" w:fill="CCEEFF"/>
          </w:tcPr>
          <w:p>
            <w:pPr>
              <w:ind w:left="20"/>
              <w:spacing w:after="0" w:line="247" w:lineRule="exact"/>
              <w:rPr>
                <w:sz w:val="20"/>
                <w:szCs w:val="20"/>
                <w:color w:val="auto"/>
              </w:rPr>
            </w:pPr>
            <w:r>
              <w:rPr>
                <w:rFonts w:ascii="Times New Roman" w:cs="Times New Roman" w:eastAsia="Times New Roman" w:hAnsi="Times New Roman"/>
                <w:sz w:val="17"/>
                <w:szCs w:val="17"/>
                <w:color w:val="auto"/>
              </w:rPr>
              <w:t xml:space="preserve">Other assets, net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58,847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59,797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firstLine="2"/>
        <w:spacing w:after="0" w:line="253" w:lineRule="auto"/>
        <w:tabs>
          <w:tab w:leader="none" w:pos="141" w:val="left"/>
        </w:tabs>
        <w:numPr>
          <w:ilvl w:val="0"/>
          <w:numId w:val="50"/>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As of June 30, 2025 and December 31, 2024, these amounts include $3.0 million and $3.5 million, respectively, in receivables due from related parties. See Note 16 (Related Party Transactions) for further details.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 breakdown of Other liabilities, net reported on the Condensed Consolidated Statement of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0" w:type="dxa"/>
            <w:vAlign w:val="bottom"/>
          </w:tcPr>
          <w:p>
            <w:pPr>
              <w:spacing w:after="0"/>
              <w:rPr>
                <w:sz w:val="19"/>
                <w:szCs w:val="19"/>
                <w:color w:val="auto"/>
              </w:rPr>
            </w:pPr>
          </w:p>
        </w:tc>
        <w:tc>
          <w:tcPr>
            <w:tcW w:w="23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260" w:type="dxa"/>
            <w:vAlign w:val="bottom"/>
          </w:tcPr>
          <w:p>
            <w:pPr>
              <w:spacing w:after="0"/>
              <w:rPr>
                <w:sz w:val="19"/>
                <w:szCs w:val="19"/>
                <w:color w:val="auto"/>
              </w:rPr>
            </w:pPr>
          </w:p>
        </w:tc>
        <w:tc>
          <w:tcPr>
            <w:tcW w:w="23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6"/>
        </w:trPr>
        <w:tc>
          <w:tcPr>
            <w:tcW w:w="5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2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PW deferred consideration</w:t>
            </w: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2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Payroll taxes</w:t>
            </w:r>
          </w:p>
        </w:tc>
        <w:tc>
          <w:tcPr>
            <w:tcW w:w="3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Corporation tax payable</w:t>
            </w:r>
          </w:p>
        </w:tc>
        <w:tc>
          <w:tcPr>
            <w:tcW w:w="3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2,342</w:t>
            </w:r>
          </w:p>
        </w:tc>
      </w:tr>
      <w:tr>
        <w:trPr>
          <w:trHeight w:val="26"/>
        </w:trPr>
        <w:tc>
          <w:tcPr>
            <w:tcW w:w="5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Sundry</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w:t>
            </w:r>
          </w:p>
        </w:tc>
      </w:tr>
      <w:tr>
        <w:trPr>
          <w:trHeight w:val="255"/>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w:t>
            </w:r>
          </w:p>
        </w:tc>
      </w:tr>
      <w:tr>
        <w:trPr>
          <w:trHeight w:val="255"/>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legal</w:t>
            </w:r>
          </w:p>
        </w:tc>
        <w:tc>
          <w:tcPr>
            <w:tcW w:w="34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5,125</w:t>
            </w:r>
          </w:p>
        </w:tc>
      </w:tr>
      <w:tr>
        <w:trPr>
          <w:trHeight w:val="247"/>
        </w:trPr>
        <w:tc>
          <w:tcPr>
            <w:tcW w:w="5980" w:type="dxa"/>
            <w:vAlign w:val="bottom"/>
          </w:tcPr>
          <w:p>
            <w:pPr>
              <w:ind w:left="120"/>
              <w:spacing w:after="0" w:line="247" w:lineRule="exact"/>
              <w:rPr>
                <w:sz w:val="20"/>
                <w:szCs w:val="20"/>
                <w:color w:val="auto"/>
              </w:rPr>
            </w:pPr>
            <w:r>
              <w:rPr>
                <w:rFonts w:ascii="Times New Roman" w:cs="Times New Roman" w:eastAsia="Times New Roman" w:hAnsi="Times New Roman"/>
                <w:sz w:val="17"/>
                <w:szCs w:val="17"/>
                <w:color w:val="auto"/>
              </w:rPr>
              <w:t xml:space="preserve">Other Liabilities, net </w:t>
            </w:r>
            <w:r>
              <w:rPr>
                <w:rFonts w:ascii="Times New Roman" w:cs="Times New Roman" w:eastAsia="Times New Roman" w:hAnsi="Times New Roman"/>
                <w:sz w:val="22"/>
                <w:szCs w:val="22"/>
                <w:color w:val="auto"/>
                <w:vertAlign w:val="superscript"/>
              </w:rPr>
              <w:t>(2)</w:t>
            </w: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14,972</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15,925</w:t>
            </w: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140" w:hanging="138"/>
        <w:spacing w:after="0"/>
        <w:tabs>
          <w:tab w:leader="none" w:pos="140" w:val="left"/>
        </w:tabs>
        <w:numPr>
          <w:ilvl w:val="0"/>
          <w:numId w:val="5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The other category is comprised primarily of miscellaneous payables and provisions.</w:t>
      </w:r>
    </w:p>
    <w:p>
      <w:pPr>
        <w:spacing w:after="0" w:line="172" w:lineRule="exact"/>
        <w:rPr>
          <w:rFonts w:ascii="Times New Roman" w:cs="Times New Roman" w:eastAsia="Times New Roman" w:hAnsi="Times New Roman"/>
          <w:sz w:val="16"/>
          <w:szCs w:val="16"/>
          <w:b w:val="1"/>
          <w:bCs w:val="1"/>
          <w:color w:val="auto"/>
          <w:vertAlign w:val="superscript"/>
        </w:rPr>
      </w:pPr>
    </w:p>
    <w:p>
      <w:pPr>
        <w:ind w:left="140" w:hanging="138"/>
        <w:spacing w:after="0"/>
        <w:tabs>
          <w:tab w:leader="none" w:pos="140" w:val="left"/>
        </w:tabs>
        <w:numPr>
          <w:ilvl w:val="0"/>
          <w:numId w:val="5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As of June 30, 2025 and December 31, 2024, these amounts include $3.5 million and $3.6 million, respectively, in liabilities due to related parties.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Leases</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primarily has non-cancellable operating leases for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 spaces across various countries. We categorize leases as either operating or finance leases at the commencement date of the respective 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components of lease costs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40" w:type="dxa"/>
            <w:vAlign w:val="bottom"/>
          </w:tcPr>
          <w:p>
            <w:pPr>
              <w:spacing w:after="0"/>
              <w:rPr>
                <w:sz w:val="19"/>
                <w:szCs w:val="19"/>
                <w:color w:val="auto"/>
              </w:rPr>
            </w:pPr>
          </w:p>
        </w:tc>
        <w:tc>
          <w:tcPr>
            <w:tcW w:w="3400" w:type="dxa"/>
            <w:vAlign w:val="bottom"/>
            <w:gridSpan w:val="4"/>
          </w:tcPr>
          <w:p>
            <w:pPr>
              <w:jc w:val="right"/>
              <w:ind w:right="77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4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4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60" w:type="dxa"/>
            <w:vAlign w:val="bottom"/>
          </w:tcPr>
          <w:p>
            <w:pPr>
              <w:spacing w:after="0"/>
              <w:rPr>
                <w:sz w:val="19"/>
                <w:szCs w:val="19"/>
                <w:color w:val="auto"/>
              </w:rPr>
            </w:pPr>
          </w:p>
        </w:tc>
        <w:tc>
          <w:tcPr>
            <w:tcW w:w="1520" w:type="dxa"/>
            <w:vAlign w:val="bottom"/>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7"/>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expense</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5,543</w:t>
            </w:r>
          </w:p>
        </w:tc>
      </w:tr>
      <w:tr>
        <w:trPr>
          <w:trHeight w:val="228"/>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6"/>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5"/>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47"/>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expense</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7,578</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6,831</w:t>
            </w:r>
          </w:p>
        </w:tc>
      </w:tr>
      <w:tr>
        <w:trPr>
          <w:trHeight w:val="20"/>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Supplemental cash flow information and non-cash activity related to our operating leases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40" w:type="dxa"/>
            <w:vAlign w:val="bottom"/>
            <w:gridSpan w:val="4"/>
          </w:tcPr>
          <w:p>
            <w:pPr>
              <w:jc w:val="right"/>
              <w:ind w:right="103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1"/>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20" w:type="dxa"/>
            <w:vAlign w:val="bottom"/>
          </w:tcPr>
          <w:p>
            <w:pPr>
              <w:spacing w:after="0"/>
              <w:rPr>
                <w:sz w:val="19"/>
                <w:szCs w:val="19"/>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320" w:type="dxa"/>
            <w:vAlign w:val="bottom"/>
          </w:tcPr>
          <w:p>
            <w:pPr>
              <w:spacing w:after="0"/>
              <w:rPr>
                <w:sz w:val="19"/>
                <w:szCs w:val="19"/>
                <w:color w:val="auto"/>
              </w:rPr>
            </w:pPr>
          </w:p>
        </w:tc>
        <w:tc>
          <w:tcPr>
            <w:tcW w:w="172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cash flow information:</w:t>
            </w: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r>
      <w:tr>
        <w:trPr>
          <w:trHeight w:val="228"/>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 from operating leases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4,214</w:t>
            </w:r>
          </w:p>
        </w:tc>
        <w:tc>
          <w:tcPr>
            <w:tcW w:w="8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w:t>
            </w:r>
          </w:p>
        </w:tc>
      </w:tr>
      <w:tr>
        <w:trPr>
          <w:trHeight w:val="26"/>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5"/>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activity:</w:t>
            </w: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28"/>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8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4,103</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Weighted-average remaining lease term and discount rate for our operating leases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6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r>
      <w:tr>
        <w:trPr>
          <w:trHeight w:val="26"/>
        </w:trPr>
        <w:tc>
          <w:tcPr>
            <w:tcW w:w="57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27"/>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w:t>
            </w:r>
          </w:p>
        </w:tc>
        <w:tc>
          <w:tcPr>
            <w:tcW w:w="8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r>
      <w:tr>
        <w:trPr>
          <w:trHeight w:val="228"/>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6.27 %</w:t>
            </w:r>
          </w:p>
        </w:tc>
        <w:tc>
          <w:tcPr>
            <w:tcW w:w="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Future minimum lease payments for the Company’s operating leases as of June 30, 2025,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9"/>
              </w:rPr>
              <w:t>Future Minimum Rental</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0" w:type="dxa"/>
            <w:vAlign w:val="bottom"/>
          </w:tcPr>
          <w:p>
            <w:pPr>
              <w:spacing w:after="0"/>
              <w:rPr>
                <w:sz w:val="1"/>
                <w:szCs w:val="1"/>
                <w:color w:val="auto"/>
              </w:rPr>
            </w:pPr>
          </w:p>
        </w:tc>
      </w:tr>
      <w:tr>
        <w:trPr>
          <w:trHeight w:val="26"/>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9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9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0" w:type="dxa"/>
            <w:vAlign w:val="bottom"/>
          </w:tcPr>
          <w:p>
            <w:pPr>
              <w:spacing w:after="0"/>
              <w:rPr>
                <w:sz w:val="1"/>
                <w:szCs w:val="1"/>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9,142</w:t>
            </w:r>
          </w:p>
        </w:tc>
        <w:tc>
          <w:tcPr>
            <w:tcW w:w="0" w:type="dxa"/>
            <w:vAlign w:val="bottom"/>
          </w:tcPr>
          <w:p>
            <w:pPr>
              <w:spacing w:after="0"/>
              <w:rPr>
                <w:sz w:val="1"/>
                <w:szCs w:val="1"/>
                <w:color w:val="auto"/>
              </w:rPr>
            </w:pPr>
          </w:p>
        </w:tc>
      </w:tr>
      <w:tr>
        <w:trPr>
          <w:trHeight w:val="26"/>
        </w:trPr>
        <w:tc>
          <w:tcPr>
            <w:tcW w:w="9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8,442</w:t>
            </w:r>
          </w:p>
        </w:tc>
        <w:tc>
          <w:tcPr>
            <w:tcW w:w="0" w:type="dxa"/>
            <w:vAlign w:val="bottom"/>
          </w:tcPr>
          <w:p>
            <w:pPr>
              <w:spacing w:after="0"/>
              <w:rPr>
                <w:sz w:val="1"/>
                <w:szCs w:val="1"/>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7,868</w:t>
            </w:r>
          </w:p>
        </w:tc>
        <w:tc>
          <w:tcPr>
            <w:tcW w:w="0" w:type="dxa"/>
            <w:vAlign w:val="bottom"/>
          </w:tcPr>
          <w:p>
            <w:pPr>
              <w:spacing w:after="0"/>
              <w:rPr>
                <w:sz w:val="1"/>
                <w:szCs w:val="1"/>
                <w:color w:val="auto"/>
              </w:rPr>
            </w:pPr>
          </w:p>
        </w:tc>
      </w:tr>
      <w:tr>
        <w:trPr>
          <w:trHeight w:val="26"/>
        </w:trPr>
        <w:tc>
          <w:tcPr>
            <w:tcW w:w="9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w:t>
            </w:r>
          </w:p>
        </w:tc>
        <w:tc>
          <w:tcPr>
            <w:tcW w:w="0" w:type="dxa"/>
            <w:vAlign w:val="bottom"/>
          </w:tcPr>
          <w:p>
            <w:pPr>
              <w:spacing w:after="0"/>
              <w:rPr>
                <w:sz w:val="1"/>
                <w:szCs w:val="1"/>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2030 and beyond</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54,946</w:t>
            </w:r>
          </w:p>
        </w:tc>
        <w:tc>
          <w:tcPr>
            <w:tcW w:w="0" w:type="dxa"/>
            <w:vAlign w:val="bottom"/>
          </w:tcPr>
          <w:p>
            <w:pPr>
              <w:spacing w:after="0"/>
              <w:rPr>
                <w:sz w:val="1"/>
                <w:szCs w:val="1"/>
                <w:color w:val="auto"/>
              </w:rPr>
            </w:pPr>
          </w:p>
        </w:tc>
      </w:tr>
      <w:tr>
        <w:trPr>
          <w:trHeight w:val="26"/>
        </w:trPr>
        <w:tc>
          <w:tcPr>
            <w:tcW w:w="9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2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92,889</w:t>
            </w:r>
          </w:p>
        </w:tc>
        <w:tc>
          <w:tcPr>
            <w:tcW w:w="0" w:type="dxa"/>
            <w:vAlign w:val="bottom"/>
          </w:tcPr>
          <w:p>
            <w:pPr>
              <w:spacing w:after="0"/>
              <w:rPr>
                <w:sz w:val="1"/>
                <w:szCs w:val="1"/>
                <w:color w:val="auto"/>
              </w:rPr>
            </w:pPr>
          </w:p>
        </w:tc>
      </w:tr>
      <w:tr>
        <w:trPr>
          <w:trHeight w:val="228"/>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28,551</w:t>
            </w:r>
          </w:p>
        </w:tc>
        <w:tc>
          <w:tcPr>
            <w:tcW w:w="0" w:type="dxa"/>
            <w:vAlign w:val="bottom"/>
          </w:tcPr>
          <w:p>
            <w:pPr>
              <w:spacing w:after="0"/>
              <w:rPr>
                <w:sz w:val="1"/>
                <w:szCs w:val="1"/>
                <w:color w:val="auto"/>
              </w:rPr>
            </w:pPr>
          </w:p>
        </w:tc>
      </w:tr>
      <w:tr>
        <w:trPr>
          <w:trHeight w:val="26"/>
        </w:trPr>
        <w:tc>
          <w:tcPr>
            <w:tcW w:w="9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64,338</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Goodwill, net</w:t>
      </w:r>
    </w:p>
    <w:p>
      <w:pPr>
        <w:spacing w:after="0" w:line="18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The following tables provide a reconciliation of Goodwill, net reported on the Condensed Consolidated Statement of Financial Position and Condensed Consolidated Statement of Financial Position as of June 30, 2025 and December 31, 2024,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
        </w:trPr>
        <w:tc>
          <w:tcPr>
            <w:tcW w:w="5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2"/>
        </w:trPr>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Wealth &amp; Capital</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9"/>
                <w:szCs w:val="19"/>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Solutions</w:t>
            </w:r>
          </w:p>
        </w:tc>
        <w:tc>
          <w:tcPr>
            <w:tcW w:w="2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International Real Estate</w:t>
            </w:r>
          </w:p>
        </w:tc>
        <w:tc>
          <w:tcPr>
            <w:tcW w:w="460" w:type="dxa"/>
            <w:vAlign w:val="bottom"/>
          </w:tcPr>
          <w:p>
            <w:pPr>
              <w:spacing w:after="0"/>
              <w:rPr>
                <w:sz w:val="19"/>
                <w:szCs w:val="19"/>
                <w:color w:val="auto"/>
              </w:rPr>
            </w:pPr>
          </w:p>
        </w:tc>
        <w:tc>
          <w:tcPr>
            <w:tcW w:w="1500" w:type="dxa"/>
            <w:vAlign w:val="bottom"/>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6"/>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5"/>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2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8"/>
        </w:trPr>
        <w:tc>
          <w:tcPr>
            <w:tcW w:w="5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goodwill</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377,842</w:t>
            </w:r>
          </w:p>
        </w:tc>
      </w:tr>
      <w:tr>
        <w:trPr>
          <w:trHeight w:val="26"/>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7"/>
        </w:trPr>
        <w:tc>
          <w:tcPr>
            <w:tcW w:w="5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goodwill:</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377,842</w:t>
            </w:r>
          </w:p>
        </w:tc>
      </w:tr>
      <w:tr>
        <w:trPr>
          <w:trHeight w:val="255"/>
        </w:trPr>
        <w:tc>
          <w:tcPr>
            <w:tcW w:w="5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5"/>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 acquired during the period</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r>
      <w:tr>
        <w:trPr>
          <w:trHeight w:val="228"/>
        </w:trPr>
        <w:tc>
          <w:tcPr>
            <w:tcW w:w="5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Currency translation and other adjustments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8,494</w:t>
            </w:r>
          </w:p>
        </w:tc>
      </w:tr>
      <w:tr>
        <w:trPr>
          <w:trHeight w:val="26"/>
        </w:trPr>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7"/>
        </w:trPr>
        <w:tc>
          <w:tcPr>
            <w:tcW w:w="5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6"/>
        </w:trPr>
        <w:tc>
          <w:tcPr>
            <w:tcW w:w="5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5"/>
        </w:trPr>
        <w:tc>
          <w:tcPr>
            <w:tcW w:w="5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goodwill</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386,878</w:t>
            </w:r>
          </w:p>
        </w:tc>
      </w:tr>
      <w:tr>
        <w:trPr>
          <w:trHeight w:val="247"/>
        </w:trPr>
        <w:tc>
          <w:tcPr>
            <w:tcW w:w="51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goodwill</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386,878</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
        </w:trPr>
        <w:tc>
          <w:tcPr>
            <w:tcW w:w="5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2"/>
        </w:trPr>
        <w:tc>
          <w:tcPr>
            <w:tcW w:w="5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Wealth &amp; Capital</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19"/>
                <w:szCs w:val="19"/>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Solutions</w:t>
            </w:r>
          </w:p>
        </w:tc>
        <w:tc>
          <w:tcPr>
            <w:tcW w:w="2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International Real Estate</w:t>
            </w:r>
          </w:p>
        </w:tc>
        <w:tc>
          <w:tcPr>
            <w:tcW w:w="460" w:type="dxa"/>
            <w:vAlign w:val="bottom"/>
          </w:tcPr>
          <w:p>
            <w:pPr>
              <w:spacing w:after="0"/>
              <w:rPr>
                <w:sz w:val="19"/>
                <w:szCs w:val="19"/>
                <w:color w:val="auto"/>
              </w:rPr>
            </w:pPr>
          </w:p>
        </w:tc>
        <w:tc>
          <w:tcPr>
            <w:tcW w:w="1560" w:type="dxa"/>
            <w:vAlign w:val="bottom"/>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6"/>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2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r>
      <w:tr>
        <w:trPr>
          <w:trHeight w:val="22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goodwill</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321,154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90,480</w:t>
            </w:r>
          </w:p>
        </w:tc>
        <w:tc>
          <w:tcPr>
            <w:tcW w:w="80" w:type="dxa"/>
            <w:vAlign w:val="bottom"/>
          </w:tcPr>
          <w:p>
            <w:pPr>
              <w:spacing w:after="0"/>
              <w:rPr>
                <w:sz w:val="19"/>
                <w:szCs w:val="19"/>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411,634</w:t>
            </w:r>
          </w:p>
        </w:tc>
      </w:tr>
      <w:tr>
        <w:trPr>
          <w:trHeight w:val="26"/>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50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goodwill:</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321,154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90,480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411,634</w:t>
            </w:r>
          </w:p>
        </w:tc>
      </w:tr>
      <w:tr>
        <w:trPr>
          <w:trHeight w:val="255"/>
        </w:trPr>
        <w:tc>
          <w:tcPr>
            <w:tcW w:w="5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5"/>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Goodwill acquired during the period</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44,065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44,065</w:t>
            </w:r>
          </w:p>
        </w:tc>
      </w:tr>
      <w:tr>
        <w:trPr>
          <w:trHeight w:val="22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Impairment charges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(40,357)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(69,724)</w:t>
            </w:r>
          </w:p>
        </w:tc>
      </w:tr>
      <w:tr>
        <w:trPr>
          <w:trHeight w:val="26"/>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5"/>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Resegmentation of U.S. Asset Management </w:t>
            </w:r>
            <w:r>
              <w:rPr>
                <w:rFonts w:ascii="Times New Roman" w:cs="Times New Roman" w:eastAsia="Times New Roman" w:hAnsi="Times New Roman"/>
                <w:sz w:val="22"/>
                <w:szCs w:val="22"/>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40,625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(40,625)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r>
      <w:tr>
        <w:trPr>
          <w:trHeight w:val="26"/>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5"/>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Currency translation and other adjustments</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(9,498)</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(11,733)</w:t>
            </w:r>
          </w:p>
        </w:tc>
      </w:tr>
      <w:tr>
        <w:trPr>
          <w:trHeight w:val="221"/>
        </w:trPr>
        <w:tc>
          <w:tcPr>
            <w:tcW w:w="5000" w:type="dxa"/>
            <w:vAlign w:val="bottom"/>
          </w:tcPr>
          <w:p>
            <w:pPr>
              <w:spacing w:after="0"/>
              <w:rPr>
                <w:sz w:val="19"/>
                <w:szCs w:val="19"/>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56,688</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(90,480)</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(33,792)</w:t>
            </w:r>
          </w:p>
        </w:tc>
      </w:tr>
      <w:tr>
        <w:trPr>
          <w:trHeight w:val="26"/>
        </w:trPr>
        <w:tc>
          <w:tcPr>
            <w:tcW w:w="5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5"/>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50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goodwill</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377,842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377,842</w:t>
            </w:r>
          </w:p>
        </w:tc>
      </w:tr>
      <w:tr>
        <w:trPr>
          <w:trHeight w:val="26"/>
        </w:trPr>
        <w:tc>
          <w:tcPr>
            <w:tcW w:w="5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7"/>
        </w:trPr>
        <w:tc>
          <w:tcPr>
            <w:tcW w:w="5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goodwill</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377,842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377,842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140" w:hanging="138"/>
        <w:spacing w:after="0"/>
        <w:tabs>
          <w:tab w:leader="none" w:pos="140" w:val="left"/>
        </w:tabs>
        <w:numPr>
          <w:ilvl w:val="0"/>
          <w:numId w:val="52"/>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During the third quarter ended September 30, 2024, the Company changed its segments. See Note 17 (Segment Reporting) for more information.</w:t>
      </w:r>
    </w:p>
    <w:p>
      <w:pPr>
        <w:spacing w:after="0" w:line="22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As part of the Company’s strategic review of its Real Estate Businesses, the Company realigned its operating segments which resulted in a change to our reporting units as of the third quarter ended September 30, 2024. We determined that triggering events had occurred due to changes in the composition of our reporting units in addition to declining revenues and increased expenses associated with the Real Estate Businesses. As such, a goodwill impairment test of the reporting units was performed prior to their realignment. During the year ended December 31, 2024, the Company recognized an impairment charge of $44.9 million related to TIG’s Investment management agreements (“IMAs”), which is classified as an indefinite-lived intangible asset. See Note 10 (Intangible Assets, Net) for further details. Additionally, during the year ended December 31, 2024, the Company recognized a $29.4 million and $40.4 million impairment to goodwill for its Wealth &amp; Capital Solutions and International Real Estate segments, respectively. The primary drivers of impairment are the</w:t>
      </w:r>
    </w:p>
    <w:p>
      <w:pPr>
        <w:sectPr>
          <w:pgSz w:w="11900" w:h="16838" w:orient="portrait"/>
          <w:cols w:equalWidth="0" w:num="1">
            <w:col w:w="11240"/>
          </w:cols>
          <w:pgMar w:left="320" w:top="217"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71120</wp:posOffset>
            </wp:positionV>
            <wp:extent cx="716534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financial projections and discount rate for the IMAs and financial projections, discount rate, and market multiples for goodwill. As of December 31, 2024, all goodwill allocated to the International Real Estate segment was written off. See Note 17 (Segment Reporting) for further information about changes to the Company’s segments.</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condensed consolidated financial statements.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Debt, net of unamortized deferred financing cost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outstanding debt obligations of the Company as of June 30, 2025 and December 31,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540" w:type="dxa"/>
            <w:vAlign w:val="bottom"/>
            <w:gridSpan w:val="6"/>
          </w:tcPr>
          <w:p>
            <w:pPr>
              <w:ind w:left="580"/>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1000" w:type="dxa"/>
            <w:vAlign w:val="bottom"/>
          </w:tcPr>
          <w:p>
            <w:pPr>
              <w:spacing w:after="0"/>
              <w:rPr>
                <w:sz w:val="19"/>
                <w:szCs w:val="19"/>
                <w:color w:val="auto"/>
              </w:rPr>
            </w:pPr>
          </w:p>
        </w:tc>
      </w:tr>
      <w:tr>
        <w:trPr>
          <w:trHeight w:val="26"/>
        </w:trPr>
        <w:tc>
          <w:tcPr>
            <w:tcW w:w="28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6"/>
        </w:trPr>
        <w:tc>
          <w:tcPr>
            <w:tcW w:w="2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Carrying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4"/>
              </w:rPr>
              <w:t>Fair</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Carrying</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4"/>
              </w:rPr>
              <w:t>Fair</w:t>
            </w:r>
          </w:p>
        </w:tc>
      </w:tr>
      <w:tr>
        <w:trPr>
          <w:trHeight w:val="24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9"/>
              </w:rPr>
              <w:t>Debt Outstanding</w:t>
            </w:r>
          </w:p>
        </w:tc>
        <w:tc>
          <w:tcPr>
            <w:tcW w:w="80" w:type="dxa"/>
            <w:vAlign w:val="bottom"/>
          </w:tcPr>
          <w:p>
            <w:pPr>
              <w:spacing w:after="0"/>
              <w:rPr>
                <w:sz w:val="21"/>
                <w:szCs w:val="21"/>
                <w:color w:val="auto"/>
              </w:rPr>
            </w:pPr>
          </w:p>
        </w:tc>
        <w:tc>
          <w:tcPr>
            <w:tcW w:w="1000" w:type="dxa"/>
            <w:vAlign w:val="bottom"/>
          </w:tcPr>
          <w:p>
            <w:pPr>
              <w:ind w:left="20"/>
              <w:spacing w:after="0" w:line="246" w:lineRule="exact"/>
              <w:rPr>
                <w:sz w:val="20"/>
                <w:szCs w:val="20"/>
                <w:color w:val="auto"/>
              </w:rPr>
            </w:pPr>
            <w:r>
              <w:rPr>
                <w:rFonts w:ascii="Times New Roman" w:cs="Times New Roman" w:eastAsia="Times New Roman" w:hAnsi="Times New Roman"/>
                <w:sz w:val="17"/>
                <w:szCs w:val="17"/>
                <w:color w:val="auto"/>
              </w:rPr>
              <w:t xml:space="preserve">Value </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500"/>
              <w:spacing w:after="0" w:line="246" w:lineRule="exact"/>
              <w:rPr>
                <w:sz w:val="20"/>
                <w:szCs w:val="20"/>
                <w:color w:val="auto"/>
              </w:rPr>
            </w:pPr>
            <w:r>
              <w:rPr>
                <w:rFonts w:ascii="Times New Roman" w:cs="Times New Roman" w:eastAsia="Times New Roman" w:hAnsi="Times New Roman"/>
                <w:sz w:val="17"/>
                <w:szCs w:val="17"/>
                <w:color w:val="auto"/>
                <w:w w:val="90"/>
              </w:rPr>
              <w:t xml:space="preserve">Value </w:t>
            </w:r>
            <w:r>
              <w:rPr>
                <w:rFonts w:ascii="Times New Roman" w:cs="Times New Roman" w:eastAsia="Times New Roman" w:hAnsi="Times New Roman"/>
                <w:sz w:val="22"/>
                <w:szCs w:val="22"/>
                <w:color w:val="auto"/>
                <w:w w:val="90"/>
                <w:vertAlign w:val="superscript"/>
              </w:rPr>
              <w:t>(2)</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Debt Outstanding</w:t>
            </w:r>
          </w:p>
        </w:tc>
        <w:tc>
          <w:tcPr>
            <w:tcW w:w="1060" w:type="dxa"/>
            <w:vAlign w:val="bottom"/>
          </w:tcPr>
          <w:p>
            <w:pPr>
              <w:ind w:left="20"/>
              <w:spacing w:after="0" w:line="246" w:lineRule="exact"/>
              <w:rPr>
                <w:sz w:val="20"/>
                <w:szCs w:val="20"/>
                <w:color w:val="auto"/>
              </w:rPr>
            </w:pPr>
            <w:r>
              <w:rPr>
                <w:rFonts w:ascii="Times New Roman" w:cs="Times New Roman" w:eastAsia="Times New Roman" w:hAnsi="Times New Roman"/>
                <w:sz w:val="17"/>
                <w:szCs w:val="17"/>
                <w:color w:val="auto"/>
              </w:rPr>
              <w:t>Value</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center"/>
              <w:ind w:right="135"/>
              <w:spacing w:after="0" w:line="246" w:lineRule="exact"/>
              <w:rPr>
                <w:sz w:val="20"/>
                <w:szCs w:val="20"/>
                <w:color w:val="auto"/>
              </w:rPr>
            </w:pPr>
            <w:r>
              <w:rPr>
                <w:rFonts w:ascii="Times New Roman" w:cs="Times New Roman" w:eastAsia="Times New Roman" w:hAnsi="Times New Roman"/>
                <w:sz w:val="17"/>
                <w:szCs w:val="17"/>
                <w:color w:val="auto"/>
                <w:w w:val="87"/>
              </w:rPr>
              <w:t xml:space="preserve">Value </w:t>
            </w:r>
            <w:r>
              <w:rPr>
                <w:rFonts w:ascii="Times New Roman" w:cs="Times New Roman" w:eastAsia="Times New Roman" w:hAnsi="Times New Roman"/>
                <w:sz w:val="22"/>
                <w:szCs w:val="22"/>
                <w:color w:val="auto"/>
                <w:w w:val="87"/>
                <w:vertAlign w:val="superscript"/>
              </w:rPr>
              <w:t>(2)</w:t>
            </w:r>
          </w:p>
        </w:tc>
      </w:tr>
      <w:tr>
        <w:trPr>
          <w:trHeight w:val="215"/>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Kontora Credit Facility</w:t>
            </w:r>
          </w:p>
        </w:tc>
        <w:tc>
          <w:tcPr>
            <w:tcW w:w="5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8"/>
        </w:trPr>
        <w:tc>
          <w:tcPr>
            <w:tcW w:w="28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Loan</w:t>
            </w: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spacing w:after="0"/>
              <w:rPr>
                <w:sz w:val="19"/>
                <w:szCs w:val="19"/>
                <w:color w:val="auto"/>
              </w:rPr>
            </w:pPr>
          </w:p>
        </w:tc>
        <w:tc>
          <w:tcPr>
            <w:tcW w:w="6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8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160" w:hanging="158"/>
        <w:spacing w:after="0"/>
        <w:tabs>
          <w:tab w:leader="none" w:pos="160" w:val="left"/>
        </w:tabs>
        <w:numPr>
          <w:ilvl w:val="0"/>
          <w:numId w:val="53"/>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Represents debt outstanding net of unamortized debt issuance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The fair value of the Term Loan approximates carrying value as of June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Kontora Credit Facility</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April 30, 2025 the Company acquired Kontora. See Note 3 (Business Combinations and Divestitures). At the acquisition date, Kontora had a term loan with HypoVereinsbank with an outstanding principal amount of $0.7 million. The term loan is repayable in fixed quarterly installments of $0.1 million plus interest, with the final payment due on June 30, 2027. The term loan bears interest at 6.7% per annum which is payable quarterly. Throughout the period of the loan Kontora Family Office GmbH, as a standalone entity, is required to maintain economic equity of the higher of $1.8 million or 30% of the total assets of this standalone entity.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Contractual maturities of the term loan as of June 30, 2025, are set out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287"/>
              <w:spacing w:after="0"/>
              <w:rPr>
                <w:sz w:val="20"/>
                <w:szCs w:val="20"/>
                <w:color w:val="auto"/>
              </w:rPr>
            </w:pPr>
            <w:r>
              <w:rPr>
                <w:rFonts w:ascii="Times New Roman" w:cs="Times New Roman" w:eastAsia="Times New Roman" w:hAnsi="Times New Roman"/>
                <w:sz w:val="19"/>
                <w:szCs w:val="19"/>
                <w:b w:val="1"/>
                <w:bCs w:val="1"/>
                <w:color w:val="auto"/>
              </w:rPr>
              <w:t>Aggregate</w:t>
            </w:r>
          </w:p>
        </w:tc>
      </w:tr>
      <w:tr>
        <w:trPr>
          <w:trHeight w:val="246"/>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40" w:type="dxa"/>
            <w:vAlign w:val="bottom"/>
          </w:tcPr>
          <w:p>
            <w:pPr>
              <w:spacing w:after="0"/>
              <w:rPr>
                <w:sz w:val="21"/>
                <w:szCs w:val="21"/>
                <w:color w:val="auto"/>
              </w:rPr>
            </w:pPr>
          </w:p>
        </w:tc>
        <w:tc>
          <w:tcPr>
            <w:tcW w:w="1340" w:type="dxa"/>
            <w:vAlign w:val="bottom"/>
          </w:tcPr>
          <w:p>
            <w:pPr>
              <w:jc w:val="right"/>
              <w:ind w:right="267"/>
              <w:spacing w:after="0"/>
              <w:rPr>
                <w:sz w:val="20"/>
                <w:szCs w:val="20"/>
                <w:color w:val="auto"/>
              </w:rPr>
            </w:pPr>
            <w:r>
              <w:rPr>
                <w:rFonts w:ascii="Times New Roman" w:cs="Times New Roman" w:eastAsia="Times New Roman" w:hAnsi="Times New Roman"/>
                <w:sz w:val="19"/>
                <w:szCs w:val="19"/>
                <w:b w:val="1"/>
                <w:bCs w:val="1"/>
                <w:color w:val="auto"/>
              </w:rPr>
              <w:t>Maturities</w:t>
            </w:r>
          </w:p>
        </w:tc>
      </w:tr>
      <w:tr>
        <w:trPr>
          <w:trHeight w:val="33"/>
        </w:trPr>
        <w:tc>
          <w:tcPr>
            <w:tcW w:w="9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2025</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168</w:t>
            </w:r>
          </w:p>
        </w:tc>
      </w:tr>
      <w:tr>
        <w:trPr>
          <w:trHeight w:val="247"/>
        </w:trPr>
        <w:tc>
          <w:tcPr>
            <w:tcW w:w="9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2026</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w:t>
            </w:r>
          </w:p>
        </w:tc>
      </w:tr>
      <w:tr>
        <w:trPr>
          <w:trHeight w:val="33"/>
        </w:trPr>
        <w:tc>
          <w:tcPr>
            <w:tcW w:w="9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2027</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168</w:t>
            </w:r>
          </w:p>
        </w:tc>
      </w:tr>
      <w:tr>
        <w:trPr>
          <w:trHeight w:val="247"/>
        </w:trPr>
        <w:tc>
          <w:tcPr>
            <w:tcW w:w="9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2028</w:t>
            </w:r>
          </w:p>
        </w:tc>
        <w:tc>
          <w:tcPr>
            <w:tcW w:w="240" w:type="dxa"/>
            <w:vAlign w:val="bottom"/>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33"/>
        </w:trPr>
        <w:tc>
          <w:tcPr>
            <w:tcW w:w="9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2029</w:t>
            </w:r>
          </w:p>
        </w:tc>
        <w:tc>
          <w:tcPr>
            <w:tcW w:w="24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9"/>
        </w:trPr>
        <w:tc>
          <w:tcPr>
            <w:tcW w:w="96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Total</w:t>
            </w:r>
          </w:p>
        </w:tc>
        <w:tc>
          <w:tcPr>
            <w:tcW w:w="24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9"/>
                <w:szCs w:val="19"/>
                <w:color w:val="auto"/>
                <w:w w:val="8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673</w:t>
            </w:r>
          </w:p>
        </w:tc>
      </w:tr>
      <w:tr>
        <w:trPr>
          <w:trHeight w:val="22"/>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Allianz Tranche Right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issued the Allianz Tranche Right in which Allianz, at their option, can purchase up to a total of 50,000 additional shares of Series A Preferred Stock at $1,000 per share. See Note 1 (Description of the Business) for details. On May 13, 2025, Allianz exercised the Allianz Tranche Right to purchase an additional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18,471 shares of Series A Preferred Stock at the stated price for $18.5 million. As of June 30, 2025 and December 31, 2024, the Allianz Tranche Right of $2.2 million and $3.9 million, respectively, is classified as a liability in accordance with ASC 480, </w:t>
      </w:r>
      <w:r>
        <w:rPr>
          <w:rFonts w:ascii="Times New Roman" w:cs="Times New Roman" w:eastAsia="Times New Roman" w:hAnsi="Times New Roman"/>
          <w:sz w:val="19"/>
          <w:szCs w:val="19"/>
          <w:i w:val="1"/>
          <w:iCs w:val="1"/>
          <w:color w:val="auto"/>
        </w:rPr>
        <w:t>Liabilities</w:t>
      </w:r>
      <w:r>
        <w:rPr>
          <w:rFonts w:ascii="Times New Roman" w:cs="Times New Roman" w:eastAsia="Times New Roman" w:hAnsi="Times New Roman"/>
          <w:sz w:val="19"/>
          <w:szCs w:val="19"/>
          <w:color w:val="auto"/>
        </w:rPr>
        <w:t>, and is recorded in the line item Preferred stock tranche liability on the Company’s Condensed Consolidated Statement of Financial Position. For the three and six months ended June 30, 2025, the change in fair value of the Allianz Tranche Right is $(0.8) million and $1.8 million, respectively, which is recorded in the line item Gain (loss) on preferred stock liability in the Condensed Consolidated Statement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Agreement</w:t>
      </w:r>
    </w:p>
    <w:p>
      <w:pPr>
        <w:spacing w:after="0" w:line="2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Subsequent to entering into the Credit Agreement and prior to the pay down of its debt in its entirety (see discussion below), the Company entered into multiple amendments during 2023 and 2024, which included a reduction of the aggregate commitment amount under the Revolving Credit Facility from $150.0 million to $110.0 million.</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Term Loans and Revolving Credit Facility bore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ranged between 1.0% and 2.0% for base rate loans and between 2.0% and 3.0% for SOFR loans. The Company paid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was subject to quarterly amortization payments and matured on December 31, 2024. The Revolving Credit Facility terminated on December 31, 2024. As security for the Term Loans and Revolving Credit Facility, the borrower and the guarantors thereunder pledged substantially all of their assets, subject to agreed-upon exclusions. The guarantor group consisted of the Company’s U.S. and non-U.S. subsidiaries, subject to an agreed-upon materiality threshold.</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December 19, 2024, the Company paid off its debt outstanding in the amount of $133.4 million related to the BMO Credit Facility, with the proceeds raised from the Allianz Transaction and the Constellation Transaction (see Note 1 (Description of the Business)). This debt was due to terminate on December 31, 2024. The Company recognized a write-off of the deferred issuance costs related to the extinguishment of this debt in the amount of $4.5 million, which was recorded in the line Interest expense in the Condensed Consolidated Statement of Operations during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Retirement Plans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are summarized in the following 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9"/>
                <w:szCs w:val="19"/>
                <w:color w:val="auto"/>
              </w:rPr>
            </w:pPr>
          </w:p>
        </w:tc>
        <w:tc>
          <w:tcPr>
            <w:tcW w:w="3100" w:type="dxa"/>
            <w:vAlign w:val="bottom"/>
            <w:gridSpan w:val="3"/>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60" w:type="dxa"/>
            <w:vAlign w:val="bottom"/>
            <w:gridSpan w:val="4"/>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1"/>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60" w:type="dxa"/>
            <w:vAlign w:val="bottom"/>
          </w:tcPr>
          <w:p>
            <w:pPr>
              <w:spacing w:after="0"/>
              <w:rPr>
                <w:sz w:val="19"/>
                <w:szCs w:val="19"/>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 Contributions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255"/>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As of June 30, 2025, $1.0 million in contributions was payable, which is included in Accounts payable and accrued expenses on the Condensed Consolidated Statement of Financial Position.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Related Party Transactions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Related party transactions include the below:</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Related Party Receivables</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 Line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As of June 30,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Item</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5"/>
                <w:szCs w:val="15"/>
                <w:b w:val="1"/>
                <w:bCs w:val="1"/>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56"/>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06"/>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Due from Certain TWMH Members, TIG GP Members and TIG</w:t>
            </w:r>
          </w:p>
        </w:tc>
        <w:tc>
          <w:tcPr>
            <w:tcW w:w="100" w:type="dxa"/>
            <w:vAlign w:val="bottom"/>
          </w:tcPr>
          <w:p>
            <w:pPr>
              <w:spacing w:after="0"/>
              <w:rPr>
                <w:sz w:val="17"/>
                <w:szCs w:val="17"/>
                <w:color w:val="auto"/>
              </w:rPr>
            </w:pPr>
          </w:p>
        </w:tc>
        <w:tc>
          <w:tcPr>
            <w:tcW w:w="3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34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MGMT Members</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Equity Method Investees</w:t>
            </w: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3,089</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from Alvarium related fee arrangements</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Fees receivable, net</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from TIG related fee arrangements</w:t>
            </w: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 receivable, net</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42"/>
        </w:trPr>
        <w:tc>
          <w:tcPr>
            <w:tcW w:w="4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Related Party Investments</w:t>
            </w:r>
          </w:p>
        </w:tc>
        <w:tc>
          <w:tcPr>
            <w:tcW w:w="10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Equity method investment with Allianz</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Equity method investments</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20,300</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Related Party Payables</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Due to Certain TWMH Members, TIG GP Members and TIG MGMT</w:t>
            </w:r>
          </w:p>
        </w:tc>
        <w:tc>
          <w:tcPr>
            <w:tcW w:w="1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member distribution payable</w:t>
            </w:r>
          </w:p>
        </w:tc>
        <w:tc>
          <w:tcPr>
            <w:tcW w:w="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Members</w:t>
            </w:r>
          </w:p>
        </w:tc>
        <w:tc>
          <w:tcPr>
            <w:tcW w:w="10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to Certain Non-Controlling Interest Holders in Connection with</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TRA liability</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(30,382)</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(28,765)</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 Tax Receivable Agreements</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to Certain TWMH Members, TIG GP Members, TIG MGMT</w:t>
            </w:r>
          </w:p>
        </w:tc>
        <w:tc>
          <w:tcPr>
            <w:tcW w:w="1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Earn-out liabilities, at fair value</w:t>
            </w:r>
          </w:p>
        </w:tc>
        <w:tc>
          <w:tcPr>
            <w:tcW w:w="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(17,711)</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(23,848)</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Members and Alvarium Shareholders in connection with the Business</w:t>
            </w:r>
          </w:p>
        </w:tc>
        <w:tc>
          <w:tcPr>
            <w:tcW w:w="10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Combination Earn-out</w:t>
            </w:r>
          </w:p>
        </w:tc>
        <w:tc>
          <w:tcPr>
            <w:tcW w:w="10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to Equity Method Investees</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EEA earn-out liability</w:t>
            </w: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Earn-out liabilities, at fair value</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(23,579)</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(29,871)</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PW deferred consideration</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Envoi earn-out consideration liability</w:t>
            </w: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Earn-out liabilities, at fair value</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(9,750)</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Envoi earn-out growth consideration liability</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Earn-out liabilities, at fair value</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Kontora earn-out liability</w:t>
            </w:r>
          </w:p>
        </w:tc>
        <w:tc>
          <w:tcPr>
            <w:tcW w:w="10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Earn-out liabilities, at fair value</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Preferred stock tranche liability</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tranche liability</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(2,150)</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(3,940)</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Mezzanine Equity</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Series A Preferred Stock</w:t>
            </w:r>
          </w:p>
        </w:tc>
        <w:tc>
          <w:tcPr>
            <w:tcW w:w="10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Series A Redeemable Cumulative Convertible</w:t>
            </w:r>
          </w:p>
        </w:tc>
        <w:tc>
          <w:tcPr>
            <w:tcW w:w="260" w:type="dxa"/>
            <w:vAlign w:val="bottom"/>
            <w:shd w:val="clear" w:color="auto" w:fill="CCEEFF"/>
          </w:tcPr>
          <w:p>
            <w:pPr>
              <w:jc w:val="right"/>
              <w:ind w:right="15"/>
              <w:spacing w:after="0" w:line="193" w:lineRule="exact"/>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164,914</w:t>
            </w:r>
          </w:p>
        </w:tc>
        <w:tc>
          <w:tcPr>
            <w:tcW w:w="340" w:type="dxa"/>
            <w:vAlign w:val="bottom"/>
            <w:shd w:val="clear" w:color="auto" w:fill="CCEEFF"/>
          </w:tcPr>
          <w:p>
            <w:pPr>
              <w:jc w:val="right"/>
              <w:ind w:right="136"/>
              <w:spacing w:after="0" w:line="193"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142,858</w:t>
            </w:r>
          </w:p>
        </w:tc>
        <w:tc>
          <w:tcPr>
            <w:tcW w:w="0" w:type="dxa"/>
            <w:vAlign w:val="bottom"/>
          </w:tcPr>
          <w:p>
            <w:pPr>
              <w:spacing w:after="0"/>
              <w:rPr>
                <w:sz w:val="1"/>
                <w:szCs w:val="1"/>
                <w:color w:val="auto"/>
              </w:rPr>
            </w:pPr>
          </w:p>
        </w:tc>
      </w:tr>
      <w:tr>
        <w:trPr>
          <w:trHeight w:val="226"/>
        </w:trPr>
        <w:tc>
          <w:tcPr>
            <w:tcW w:w="48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Series C Preferred Stock</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Series C Redeemable Cumulative Convertible</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168,681</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160,808</w:t>
            </w:r>
          </w:p>
        </w:tc>
        <w:tc>
          <w:tcPr>
            <w:tcW w:w="0" w:type="dxa"/>
            <w:vAlign w:val="bottom"/>
          </w:tcPr>
          <w:p>
            <w:pPr>
              <w:spacing w:after="0"/>
              <w:rPr>
                <w:sz w:val="1"/>
                <w:szCs w:val="1"/>
                <w:color w:val="auto"/>
              </w:rPr>
            </w:pPr>
          </w:p>
        </w:tc>
      </w:tr>
      <w:tr>
        <w:trPr>
          <w:trHeight w:val="219"/>
        </w:trPr>
        <w:tc>
          <w:tcPr>
            <w:tcW w:w="4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Shareholders’ Equity</w:t>
            </w: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Delayed share purchase agreement</w:t>
            </w:r>
          </w:p>
        </w:tc>
        <w:tc>
          <w:tcPr>
            <w:tcW w:w="10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Allianz Warrants, net of issuance costs</w:t>
            </w:r>
          </w:p>
        </w:tc>
        <w:tc>
          <w:tcPr>
            <w:tcW w:w="1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6,591</w:t>
            </w:r>
          </w:p>
        </w:tc>
        <w:tc>
          <w:tcPr>
            <w:tcW w:w="3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6,591</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Constellation Warrants, net of issuance costs</w:t>
            </w:r>
          </w:p>
        </w:tc>
        <w:tc>
          <w:tcPr>
            <w:tcW w:w="1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w:t>
            </w:r>
          </w:p>
        </w:tc>
        <w:tc>
          <w:tcPr>
            <w:tcW w:w="0" w:type="dxa"/>
            <w:vAlign w:val="bottom"/>
          </w:tcPr>
          <w:p>
            <w:pPr>
              <w:spacing w:after="0"/>
              <w:rPr>
                <w:sz w:val="1"/>
                <w:szCs w:val="1"/>
                <w:color w:val="auto"/>
              </w:rPr>
            </w:pPr>
          </w:p>
        </w:tc>
      </w:tr>
      <w:tr>
        <w:trPr>
          <w:trHeight w:val="26"/>
        </w:trPr>
        <w:tc>
          <w:tcPr>
            <w:tcW w:w="4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Due from TWMH Members</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paid back in full to the Company as of December 31, 2022. On March 14, 2024, a certain member repaid their note totaling $0.7 million.</w:t>
      </w:r>
    </w:p>
    <w:p>
      <w:pPr>
        <w:spacing w:after="0" w:line="19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For the three months ended June 30, 2025 and June 30, 2024, the Company recognized $56 thousand and $58 thousand, respectively, and for the six months ended June 30, 2025 and June 30, 2024, the Company recognized $112 thousand and $116 thousand, respectively, of forgiveness of principal debt and accrued interest within Compensation and employee benefits expense on the Condensed Consolidated Statement of Operations.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 Consolidated Statement of Financial Condition. As of June 30, 2025 and December 31, 2024, the balances of loans to members was $0.3 million and $0.4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Method Investees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 recognized Management/advisory fees, Compensation and employee benefits, Other income/fees and Interest income from its equity method investees on the Condensed Consolidated Statement of Operations, as summarized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440" w:type="dxa"/>
            <w:vAlign w:val="bottom"/>
            <w:gridSpan w:val="6"/>
          </w:tcPr>
          <w:p>
            <w:pPr>
              <w:ind w:left="6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9"/>
                <w:szCs w:val="19"/>
                <w:color w:val="auto"/>
              </w:rPr>
            </w:pPr>
          </w:p>
        </w:tc>
        <w:tc>
          <w:tcPr>
            <w:tcW w:w="3460" w:type="dxa"/>
            <w:vAlign w:val="bottom"/>
            <w:gridSpan w:val="4"/>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40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1"/>
        </w:trPr>
        <w:tc>
          <w:tcPr>
            <w:tcW w:w="4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60" w:type="dxa"/>
            <w:vAlign w:val="bottom"/>
          </w:tcPr>
          <w:p>
            <w:pPr>
              <w:spacing w:after="0"/>
              <w:rPr>
                <w:sz w:val="19"/>
                <w:szCs w:val="19"/>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60" w:type="dxa"/>
            <w:vAlign w:val="bottom"/>
          </w:tcPr>
          <w:p>
            <w:pPr>
              <w:spacing w:after="0"/>
              <w:rPr>
                <w:sz w:val="19"/>
                <w:szCs w:val="19"/>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4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Management/advisory fees</w:t>
            </w:r>
          </w:p>
        </w:tc>
        <w:tc>
          <w:tcPr>
            <w:tcW w:w="1360" w:type="dxa"/>
            <w:vAlign w:val="bottom"/>
            <w:tcBorders>
              <w:bottom w:val="single" w:sz="8" w:color="CCEEFF"/>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income/fees</w:t>
            </w:r>
          </w:p>
        </w:tc>
        <w:tc>
          <w:tcPr>
            <w:tcW w:w="136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r>
      <w:tr>
        <w:trPr>
          <w:trHeight w:val="26"/>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2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36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6"/>
        </w:trPr>
        <w:tc>
          <w:tcPr>
            <w:tcW w:w="40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Due to Certain TIG GP Members and TIG MGMT Members</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Certain TIG GP and TIG MGMT Members were issued a distribution from the legacy partnership businesses in connection with the Business Combination. This was treated as a partnership distribution and is presented as Accrued member distributions payable on the Condensed Consolidated Statement of Financial Condition. As of June 30, 2025 and December 31, 2024, the balance of Accrued member distributions payable was $3.3 million and $3.4 million,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On the Closing Date, the Company entered into the Tax Receivable Agreement. The TRA generally provides for certain payments and makes certain arrangements with respect to certain tax benefits to be derived by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Company and its subsidiaries as the result of the Business Combination and future exchanges by such TWMH Members, TIG GP Members and TIG MGMT Members of each of their Class B Unit of Umbrella paired with a share of Class B Common Stock (collectively, the “Paired Interests”) for Class A Common Stock in accordance with the Umbrella LLC Agreement and the making of payments under the TRA.</w:t>
      </w:r>
    </w:p>
    <w:p>
      <w:pPr>
        <w:spacing w:after="0" w:line="1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TRA is recognized on the Condensed Consolidated Statement of Financial Condition as the TRA Liability. The value of the TRA Liability as of June 30, 2025 and December 31, 2024 was $30.4 million and $28.8 million, respectively. As of June 30, 2025 and December 31, 2024, the Company carried $9.8 million and $9.4 million, respectively, of its TRA Liability at fair value, as it is contingent consideration from the Business Combination. The remaining portion related to the TRA Exchange of $20.6 million and $19.4 million as of June 30, 2025 and December 31, 2024, respectively, is recorded at its carrying value. For the three months ended June 30, 2025 and June 30, 2024, the Company recognized a loss of $(0.7) million and a gain of $0.4 million, respectively, and for the six months ended June 30, 2025 and June 30, 2024, the Company recognized a loss of $(0.4) million and a gain of $6.3 million, respectively, which is recorded in Gain (loss) on TRA in the Condensed Consolidated Statement of Operations.</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As of June 30, 2025, holders of Class B Units have exchanged a total of 9,922,737 Class B Paired Interests with the Company, for shares of Class A Common Stock on a 1:1 basis totaling an amount equal to the weighted average price of $5.79 multiplied by the total number of shares of Class A Common Stock received at the time of the transactions. For the six months ended June 30, 2025, the Company did not make any tax distributions to Class B Units 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 Earn-out Liability</w:t>
      </w:r>
    </w:p>
    <w:p>
      <w:pPr>
        <w:spacing w:after="0" w:line="2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June 30, 2025 and December 31, 2024, the fair value of the Business Combination Earn-out Liability was $17.7 million and $23.8 million, respectively, and is reported in Earn-out liabilities, at fair value, in the Condensed Consolidated Statement of Financial Position. The Company recognized the change in fair value of $(5.4) million and $(1.2) million for the three months ended June 30, 2025 and June 30, 2024, respectively, and $6.1 million and $38.3 million for the six months ended June 30, 2025 and June 30, 2024, respectively, which is recorded in Gain (loss) on earnout liabilities in the Condensed Consolidated Statement of Operations and in Fair value (gain) loss on earnout liability in the Condensed Consolidated Statement of Cash Flows in the period of change.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EEA Earn-out Liability</w:t>
      </w:r>
    </w:p>
    <w:p>
      <w:pPr>
        <w:spacing w:after="0" w:line="2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(or EEA earn-out liability). During the quarter ended June 30, 2025, a cash payment of $7.4 million related to this contingent consideration was made. As of June 30, 2025 and December 31, 2024, the EEA earn-out liability of $23.6 million and $29.9 million, respectively, is reported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Earn-out liabilities, at fair value, in the Condensed Consolidated Statement of Financial Position. The fair value will be remeasured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Company recognized the change in fair value of $(1.4) million and $(0.7) million for the three months ended June 30, 2025 and June 30, 2024, respectively, and $(1.1) million and $(0.7) million for the six months ended June 30, 2025 and June 30, 2024, respectively, which is recorded in Gain (loss) on earnout liabilities in the Condensed Consolidated Statement of Operations and in Fair value (gain) loss on earnout liability in the Condensed Consolidated Statement of Cash Flows in the period of 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Envoi Earn-out Liabilities</w:t>
      </w:r>
    </w:p>
    <w:p>
      <w:pPr>
        <w:spacing w:after="0" w:line="24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June 30, 2025 and December 31, 2024, the Envoi earn-out consideration liability of $9.8 million and $9.6 million, respectively, and the Envoi earn-out growth consideration liability of $1.2 million and $1.3 million, respectively, are reported in the Earn-out liabilities, at fair value, in the Condensed Consolidated Statement of Financial Position. The Company recognized the change in fair value for the Envoi earn-out consideration liability and the Envoi earn-out growth consideration liability of $0.4 million and $110.0 thousand, respectively, for the three months ended June 30, 2025, and $0.2 million and $140.0 thousand, respectively, for the six months ended June 30, 2025, which is recorded in Gain (loss) on earnout liabilities in the Condensed Consolidated Statement of Operations and in Fair value (gain) loss on earnout liability in the Condensed Consolidated Statement of Cash Flows in the period of 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Kontora Earn-out Consideration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tied to certain revenue streams acquired in the Kontora Acquisition between the Closing Date and December 31, 2035. As of June 30, 2025, the Kontora earn-out liability of $6.2 million is reported in the Earn-out liabilities, at fair value, in the Condensed Consolidated Statement of Financial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Pointwise Deferred Consideration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 Consolidated Statement of Financial Position. The deferred consideration was paid during the first quarter ended March 31, 2025, in cash and equity totaling $3.0 million. For the six months ended June 30, 2025, the Company recognized the change in fair value for the deferred consideration liability 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$372.6 thousand, of which $390.7 thousand is recorded in Gain (loss) on earnout liabilities and $(18.1) thousand is recorded in Interest expense, both in the Condensed Consolidated Statement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Fees Receivable, net</w:t>
      </w:r>
    </w:p>
    <w:p>
      <w:pPr>
        <w:spacing w:after="0" w:line="2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The Company recognizes fees at the time of transfer of promised goods or services to customers in an amount that reflects the consideration to which the Company expects to be entitled in exchange for those goods or services. Fees recognized are calculated based on contractual terms, including the transaction price, whether a distinct performance obligation has been satisfied and control is transferred to the customer, and when collection of the revenue is assessed as probable. Such fees are recognized in the Condensed Consolidated Statement of Financial Condition as Fees Receivable, net. As of June 30, 2025 and December 31, 2024, fees due from Alvarium related fee arrangements were $30.0 thousand and $116.0 thousand, respectively. Additionally, as of June 30, 2025 and December 31, 2024, management and incentive fees receivable due from TIG related fee agreements were $0.7 million and $0.8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Allianz Transactions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July 31, 2024, the Company closed on the Allianz Transaction which resulted in the issuance of 140,000 shares of Series A Preferred Stock, 19,318,580.96 shares of Class A Common Stock, the Allianz Warrants to purchase 5,000,000 shares of Class A Common Stock, and the Allianz Tranche Right which permits Allianz, at its option, to purchase up to 50,000 additional shares of Series A Preferred Stock up to an aggregate amount equal to $50 million.</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Additionally, the Company’s board of directors established a Transaction Committee for purposes of reviewing and assessing all proposals, plans, or recommendations by the Company’s management with respect to potential or proposed merger, acquisition or investment (including minority investments and investments into any funds); (ii) material asset purchase (including the hiring of groups of key employees of target businesses in lieu of acquiring legal entities or property); (iii) divestiture or disposition of a material asset or a material portion of any business; and (iv) financing of any of the foregoing.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Pursuant to the Allianz Investor Rights Agreement, Allianz has the right to nominate two directors (the “Investor Designees”) until such time as Allianz ceases to own at least 50% of the initial shares of Class A Common Stock. For so long as Allianz is permitted to designate the Investor Designees, one Investor Designee will serve as a member of the Transaction Committee and each Investor Designee will serve as a member of at least one other Board committee.</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Based on Allianz’s rights under the Investor Rights Agreement, including to hold Board seats, the Company has concluded that Allianz represents a related party. As of both June 30, 2025 and December 31, 2024, the Allianz Warrants of $6.6 million are recorded as a component of equity in the line item Additional paid-in capital on the Company’s Condensed Consolidated Statement of Financial Position.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May 13, 2025, Allianz exercised the Allianz Tranche Right to purchase an additional 18,471 shares of Series A Preferred Stock at $1,000 per share. As of June 30, 2025 and December 31, 2024, the Allianz Tranche Right of $2.2 million and $3.9 million, respectively, is recorded in the line item Preferred stock tranche liability on the Company’s Condensed Consolidated Statement of Financial Position. For the three and six months ended June 30, 2025, the change in fair value of the Allianz Tranche Right is $(0.8) million and $1.8 million, respectively, and is recorded in the line item Gain (loss) on preferred stock tranche liability in the Condensed Consolidated Statement of Operations.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On June 30, 2025, the Company’s board of directors declared dividends payable in kind to Allianz that were comprised of 50% shares of Series A Preferred Stock and 50% in shares of Class A Common Stock. The Series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 Preferred Stock of 164,914, inclusive of dividends paid in kind, is classified outside of permanent equity as mezzanine equity in the accompanying Condensed Consolidated Statement of Financial Position and is presented net of issuance costs and inclusive of accrued dividends. An additional 1,523,289 shares of Class A Common Stock were issued to Allianz as part of the 50% dividends paid in kind. Refer to Note 1 (Description of the Business), Note 7 (Fair Value Disclosures), and Note 13 (Debt, net of unamortized deferred financing cost) for additional details around instruments related to the Allianz Transaction.</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As of December 31, 2024, the Company entered into an equity method investment of $20.3 million with Allianz, which was recorded in the line item Equity method investments on the Company’s Condensed Consolidated Statement of Financial Position. The equity method investment was sold at cost along with an immaterial gain as of the first quarter ended March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Constellation Transaction</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During the first quarter ended March 31, 2024, the Company entered into an agreement with Constellation for the sale and issuance of 150,000 shares of Series C Preferred Stock that occurred in two transactions, the first of which closed on March 27, 2024, for the sale of 115,000 shares and the second of which closed on May 15, 2024, for the sale of 35,000 shares. The Series C Preferred Stock will receive cumulative, compounding dividends at a rate of 9.75% per year on the aggregate purchase price of $150 million, subject to annual adjustments based on the stock price of the Class A Common Stock during the fourth quarter of each applicable year (subject to a maximum rate of 9.75%) on the sum of (i) $1,000 per share plus, (ii) once compounded, any compounded dividends thereon ($1,000 per share plus accumulated compounded dividends and accrued but unpaid dividends through any date of determination).</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Dividends will be paid (at the option of the Company) as payment in kind increases in the stated value of the issued shares of Series C Preferred Stock or in cash. The Series C Preferred Stock will also participate with any dividends or distributions declared on the Class A Common Stock. As of June 30, 2025, the 150,000 outstanding shares of Series C Preferred Stock represent 7.5% of the total voting power of all shares.</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Additionally, the Company issued the Constellation Warrants to purchase 2,000,000 shares of the Company’s Class A Common Stock at an exercise price of $7.40 per share. On March 27, 2024 and May 15, 2024, the Company completed the initial and additional issuances of Constellation Warrants to purchase 1,533,333 shares and 466,667 shares, respectively, of the Company’s Class A Common Stock. No Constellation Warrants were exercised during the six months ended June 30, 2025. As of both June 30, 2025 and December 31, 2024, the Constellation Warrants of $3.0 million, are recorded as a component of equity in the line item Additional paid-in capital on the Company’s Condensed Consolidated Statement of Financial Position.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Segment Reporting</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Effective as of September 30, 2024, certain changes were made to the composition of our operating segment information related to the strategic review of our Real Estate Businesses. We determined this change was necessary to align external reporting with how management views the current state of the business in addition to how our chief operating decision maker (“CODM”), currently, our Chief Executive Officer, assesses the Company’s performance and allocation of resources. The CODM considers segment revenue as a key metric to assist with the evaluation of strategic business decisions, including potential acquisitions or divestitures and whether to invest in certain products or services, and expense management.</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 maintains two operating segments: Wealth and Capital Solutions includes the results Wealth Management business, the internally managed event driven strategy, and our stakes in three externally managed alternative investment strategies. International Real Estate includes the businesses previously reported as Real Estate Co-investment and Real Estate Fund Management, as well as all current and former Alvarium International Asset Management businesses. A corporate reconciling column (“Corporate”) has been included to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provide a reconciliation between our total reportable segment activities and consolidated amounts. Corporate does not qualify to be reported as an operating segment.</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Prior period amounts have been recast to conform to the Company’s current period segment presentation. The Company’s operating segment information was prepared using the following methodologies and generally represents the information that is relied upon by management in its decision-making process.</w:t>
      </w:r>
    </w:p>
    <w:p>
      <w:pPr>
        <w:spacing w:after="0" w:line="139" w:lineRule="exact"/>
        <w:rPr>
          <w:sz w:val="20"/>
          <w:szCs w:val="20"/>
          <w:color w:val="auto"/>
        </w:rPr>
      </w:pPr>
    </w:p>
    <w:p>
      <w:pPr>
        <w:ind w:left="900" w:hanging="287"/>
        <w:spacing w:after="0"/>
        <w:tabs>
          <w:tab w:leader="none" w:pos="9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Revenues and expenses directly associated with each operating segment are included in determining net income/(loss) by segment.</w:t>
      </w:r>
    </w:p>
    <w:p>
      <w:pPr>
        <w:spacing w:after="0" w:line="176" w:lineRule="exact"/>
        <w:rPr>
          <w:rFonts w:ascii="Times New Roman" w:cs="Times New Roman" w:eastAsia="Times New Roman" w:hAnsi="Times New Roman"/>
          <w:sz w:val="19"/>
          <w:szCs w:val="19"/>
          <w:color w:val="auto"/>
        </w:rPr>
      </w:pPr>
    </w:p>
    <w:p>
      <w:pPr>
        <w:ind w:left="920" w:hanging="307"/>
        <w:spacing w:after="0" w:line="278" w:lineRule="auto"/>
        <w:tabs>
          <w:tab w:leader="none" w:pos="909"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Indirect expenses (such as general and administrative expenses including executive and indirect overhead costs) not directly associated with specific operating segments are allocated to the operating segments’ statement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Expenses</w:t>
      </w:r>
    </w:p>
    <w:p>
      <w:pPr>
        <w:spacing w:after="0" w:line="2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expense categories that are regularly reviewed by the CODM are presented in the Company's Condensed Consolidated Statement of Operations. Items regularly reviewed consist of non-compensation expenses, such as professional fees, sales, distribution and marketing, travel and entertainment, systems, technology and telephone, occupancy costs and general, administrative, and other.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Note 1 (Description of the Business) and the tables below for more detail on unallocated items.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present the financial information for the Company’s segments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For the Three Months Ended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Revenue by Segment</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International Real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International Real</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3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49,238</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49,989</w:t>
            </w:r>
          </w:p>
        </w:tc>
        <w:tc>
          <w:tcPr>
            <w:tcW w:w="16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46,249</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47,029</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7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52,376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53,127</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48,401</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49,453</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3"/>
        </w:trPr>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For the Six Months Ended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2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Revenue by Segment</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International Real</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International Real</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3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3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Management/advisory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94,012</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95,639</w:t>
            </w:r>
          </w:p>
        </w:tc>
        <w:tc>
          <w:tcPr>
            <w:tcW w:w="16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88,335</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93,253</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80"/>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from investments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6,410</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income/fees</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173"/>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109,462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111,090</w:t>
            </w: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95,006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100,265</w:t>
            </w:r>
          </w:p>
        </w:tc>
        <w:tc>
          <w:tcPr>
            <w:tcW w:w="0" w:type="dxa"/>
            <w:vAlign w:val="bottom"/>
          </w:tcPr>
          <w:p>
            <w:pPr>
              <w:spacing w:after="0"/>
              <w:rPr>
                <w:sz w:val="1"/>
                <w:szCs w:val="1"/>
                <w:color w:val="auto"/>
              </w:rPr>
            </w:pPr>
          </w:p>
        </w:tc>
      </w:tr>
      <w:tr>
        <w:trPr>
          <w:trHeight w:val="36"/>
        </w:trPr>
        <w:tc>
          <w:tcPr>
            <w:tcW w:w="2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700" w:type="dxa"/>
            <w:vAlign w:val="bottom"/>
            <w:vMerge w:val="restart"/>
          </w:tcPr>
          <w:p>
            <w:pPr>
              <w:ind w:left="2180"/>
              <w:spacing w:after="0"/>
              <w:rPr>
                <w:sz w:val="20"/>
                <w:szCs w:val="20"/>
                <w:color w:val="auto"/>
              </w:rPr>
            </w:pPr>
            <w:r>
              <w:rPr>
                <w:rFonts w:ascii="Times New Roman" w:cs="Times New Roman" w:eastAsia="Times New Roman" w:hAnsi="Times New Roman"/>
                <w:sz w:val="17"/>
                <w:szCs w:val="17"/>
                <w:b w:val="1"/>
                <w:bCs w:val="1"/>
                <w:color w:val="auto"/>
              </w:rPr>
              <w:t>Assets by Segment</w:t>
            </w:r>
          </w:p>
        </w:tc>
        <w:tc>
          <w:tcPr>
            <w:tcW w:w="40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7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260" w:type="dxa"/>
            <w:vAlign w:val="bottom"/>
          </w:tcPr>
          <w:p>
            <w:pPr>
              <w:spacing w:after="0"/>
              <w:rPr>
                <w:sz w:val="19"/>
                <w:szCs w:val="19"/>
                <w:color w:val="auto"/>
              </w:rPr>
            </w:pPr>
          </w:p>
        </w:tc>
        <w:tc>
          <w:tcPr>
            <w:tcW w:w="24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As of December 31, 2024</w:t>
            </w:r>
          </w:p>
        </w:tc>
        <w:tc>
          <w:tcPr>
            <w:tcW w:w="0" w:type="dxa"/>
            <w:vAlign w:val="bottom"/>
          </w:tcPr>
          <w:p>
            <w:pPr>
              <w:spacing w:after="0"/>
              <w:rPr>
                <w:sz w:val="1"/>
                <w:szCs w:val="1"/>
                <w:color w:val="auto"/>
              </w:rPr>
            </w:pPr>
          </w:p>
        </w:tc>
      </w:tr>
      <w:tr>
        <w:trPr>
          <w:trHeight w:val="26"/>
        </w:trPr>
        <w:tc>
          <w:tcPr>
            <w:tcW w:w="5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Wealth &amp; Capital Solutions</w:t>
            </w:r>
          </w:p>
        </w:tc>
        <w:tc>
          <w:tcPr>
            <w:tcW w:w="40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1,160,272</w:t>
            </w:r>
          </w:p>
        </w:tc>
        <w:tc>
          <w:tcPr>
            <w:tcW w:w="0" w:type="dxa"/>
            <w:vAlign w:val="bottom"/>
          </w:tcPr>
          <w:p>
            <w:pPr>
              <w:spacing w:after="0"/>
              <w:rPr>
                <w:sz w:val="1"/>
                <w:szCs w:val="1"/>
                <w:color w:val="auto"/>
              </w:rPr>
            </w:pPr>
          </w:p>
        </w:tc>
      </w:tr>
      <w:tr>
        <w:trPr>
          <w:trHeight w:val="228"/>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 Real Estate</w:t>
            </w: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13,353</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23,738</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71,823</w:t>
            </w:r>
          </w:p>
        </w:tc>
        <w:tc>
          <w:tcPr>
            <w:tcW w:w="0" w:type="dxa"/>
            <w:vAlign w:val="bottom"/>
          </w:tcPr>
          <w:p>
            <w:pPr>
              <w:spacing w:after="0"/>
              <w:rPr>
                <w:sz w:val="1"/>
                <w:szCs w:val="1"/>
                <w:color w:val="auto"/>
              </w:rPr>
            </w:pPr>
          </w:p>
        </w:tc>
      </w:tr>
      <w:tr>
        <w:trPr>
          <w:trHeight w:val="247"/>
        </w:trPr>
        <w:tc>
          <w:tcPr>
            <w:tcW w:w="5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1,242,771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1,255,833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Earnings Per Share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table below presents the Company’s treatment for basic and diluted earnings (loss) per share for instruments outstanding of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Potentially dilutive instruments are only considered in the calculation to the extent they would be dilutive.</w:t>
      </w:r>
    </w:p>
    <w:p>
      <w:pPr>
        <w:spacing w:after="0" w:line="24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b w:val="1"/>
          <w:bCs w:val="1"/>
          <w:color w:val="auto"/>
        </w:rPr>
        <w:t>For the Three and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34290</wp:posOffset>
            </wp:positionV>
            <wp:extent cx="49568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681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38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5"/>
                <w:szCs w:val="15"/>
                <w:b w:val="1"/>
                <w:bCs w:val="1"/>
                <w:color w:val="auto"/>
              </w:rPr>
              <w:t>June 30, 2025</w:t>
            </w:r>
          </w:p>
        </w:tc>
        <w:tc>
          <w:tcPr>
            <w:tcW w:w="180" w:type="dxa"/>
            <w:vAlign w:val="bottom"/>
          </w:tcPr>
          <w:p>
            <w:pPr>
              <w:spacing w:after="0"/>
              <w:rPr>
                <w:sz w:val="18"/>
                <w:szCs w:val="18"/>
                <w:color w:val="auto"/>
              </w:rPr>
            </w:pPr>
          </w:p>
        </w:tc>
        <w:tc>
          <w:tcPr>
            <w:tcW w:w="380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5"/>
                <w:szCs w:val="15"/>
                <w:b w:val="1"/>
                <w:bCs w:val="1"/>
                <w:color w:val="auto"/>
              </w:rPr>
              <w:t>June 30, 2024</w:t>
            </w:r>
          </w:p>
        </w:tc>
      </w:tr>
      <w:tr>
        <w:trPr>
          <w:trHeight w:val="228"/>
        </w:trPr>
        <w:tc>
          <w:tcPr>
            <w:tcW w:w="3440" w:type="dxa"/>
            <w:vAlign w:val="bottom"/>
          </w:tcPr>
          <w:p>
            <w:pPr>
              <w:spacing w:after="0"/>
              <w:rPr>
                <w:sz w:val="19"/>
                <w:szCs w:val="19"/>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Basic</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Basic</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Diluted</w:t>
            </w:r>
          </w:p>
        </w:tc>
      </w:tr>
      <w:tr>
        <w:trPr>
          <w:trHeight w:val="26"/>
        </w:trPr>
        <w:tc>
          <w:tcPr>
            <w:tcW w:w="3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7"/>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0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Included</w:t>
            </w: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Included</w:t>
            </w: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Included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Included</w:t>
            </w:r>
          </w:p>
        </w:tc>
      </w:tr>
      <w:tr>
        <w:trPr>
          <w:trHeight w:val="255"/>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Class B Common Stock </w:t>
            </w:r>
            <w:r>
              <w:rPr>
                <w:rFonts w:ascii="Times New Roman" w:cs="Times New Roman" w:eastAsia="Times New Roman" w:hAnsi="Times New Roman"/>
                <w:sz w:val="22"/>
                <w:szCs w:val="22"/>
                <w:color w:val="auto"/>
                <w:vertAlign w:val="superscript"/>
              </w:rPr>
              <w:t>(1)</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If-converted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If-converted method</w:t>
            </w:r>
          </w:p>
        </w:tc>
      </w:tr>
      <w:tr>
        <w:trPr>
          <w:trHeight w:val="213"/>
        </w:trPr>
        <w:tc>
          <w:tcPr>
            <w:tcW w:w="3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More dilutive of two-</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04"/>
        </w:trPr>
        <w:tc>
          <w:tcPr>
            <w:tcW w:w="3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class method or if-</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46"/>
        </w:trPr>
        <w:tc>
          <w:tcPr>
            <w:tcW w:w="3440" w:type="dxa"/>
            <w:vAlign w:val="bottom"/>
            <w:shd w:val="clear" w:color="auto" w:fill="CCEEFF"/>
          </w:tcPr>
          <w:p>
            <w:pPr>
              <w:ind w:left="20"/>
              <w:spacing w:after="0" w:line="246" w:lineRule="exact"/>
              <w:rPr>
                <w:sz w:val="20"/>
                <w:szCs w:val="20"/>
                <w:color w:val="auto"/>
              </w:rPr>
            </w:pPr>
            <w:r>
              <w:rPr>
                <w:rFonts w:ascii="Times New Roman" w:cs="Times New Roman" w:eastAsia="Times New Roman" w:hAnsi="Times New Roman"/>
                <w:sz w:val="17"/>
                <w:szCs w:val="17"/>
                <w:color w:val="auto"/>
              </w:rPr>
              <w:t xml:space="preserve">Series A Preferred Stock </w:t>
            </w:r>
            <w:r>
              <w:rPr>
                <w:rFonts w:ascii="Times New Roman" w:cs="Times New Roman" w:eastAsia="Times New Roman" w:hAnsi="Times New Roman"/>
                <w:sz w:val="22"/>
                <w:szCs w:val="22"/>
                <w:color w:val="auto"/>
                <w:vertAlign w:val="superscript"/>
              </w:rPr>
              <w:t>(2)</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Two-class method</w:t>
            </w:r>
          </w:p>
        </w:tc>
        <w:tc>
          <w:tcPr>
            <w:tcW w:w="1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converted method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13"/>
        </w:trPr>
        <w:tc>
          <w:tcPr>
            <w:tcW w:w="3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More dilutive of two-</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More dilutive of two-</w:t>
            </w:r>
          </w:p>
        </w:tc>
      </w:tr>
      <w:tr>
        <w:trPr>
          <w:trHeight w:val="204"/>
        </w:trPr>
        <w:tc>
          <w:tcPr>
            <w:tcW w:w="3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class method or if-</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class method or if-</w:t>
            </w:r>
          </w:p>
        </w:tc>
      </w:tr>
      <w:tr>
        <w:trPr>
          <w:trHeight w:val="246"/>
        </w:trPr>
        <w:tc>
          <w:tcPr>
            <w:tcW w:w="3440" w:type="dxa"/>
            <w:vAlign w:val="bottom"/>
          </w:tcPr>
          <w:p>
            <w:pPr>
              <w:ind w:left="20"/>
              <w:spacing w:after="0" w:line="246" w:lineRule="exact"/>
              <w:rPr>
                <w:sz w:val="20"/>
                <w:szCs w:val="20"/>
                <w:color w:val="auto"/>
              </w:rPr>
            </w:pPr>
            <w:r>
              <w:rPr>
                <w:rFonts w:ascii="Times New Roman" w:cs="Times New Roman" w:eastAsia="Times New Roman" w:hAnsi="Times New Roman"/>
                <w:sz w:val="17"/>
                <w:szCs w:val="17"/>
                <w:color w:val="auto"/>
              </w:rPr>
              <w:t xml:space="preserve">Series C Preferred Stock </w:t>
            </w:r>
            <w:r>
              <w:rPr>
                <w:rFonts w:ascii="Times New Roman" w:cs="Times New Roman" w:eastAsia="Times New Roman" w:hAnsi="Times New Roman"/>
                <w:sz w:val="22"/>
                <w:szCs w:val="22"/>
                <w:color w:val="auto"/>
                <w:vertAlign w:val="superscript"/>
              </w:rPr>
              <w:t>(3)</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Two-class method</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converted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Two-class method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converted method</w:t>
            </w:r>
          </w:p>
        </w:tc>
      </w:tr>
      <w:tr>
        <w:trPr>
          <w:trHeight w:val="213"/>
        </w:trPr>
        <w:tc>
          <w:tcPr>
            <w:tcW w:w="3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More dilutive of two-</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04"/>
        </w:trPr>
        <w:tc>
          <w:tcPr>
            <w:tcW w:w="34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class method or if-</w:t>
            </w: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46"/>
        </w:trPr>
        <w:tc>
          <w:tcPr>
            <w:tcW w:w="3440" w:type="dxa"/>
            <w:vAlign w:val="bottom"/>
            <w:shd w:val="clear" w:color="auto" w:fill="CCEEFF"/>
          </w:tcPr>
          <w:p>
            <w:pPr>
              <w:ind w:left="20"/>
              <w:spacing w:after="0" w:line="246" w:lineRule="exact"/>
              <w:rPr>
                <w:sz w:val="20"/>
                <w:szCs w:val="20"/>
                <w:color w:val="auto"/>
              </w:rPr>
            </w:pPr>
            <w:r>
              <w:rPr>
                <w:rFonts w:ascii="Times New Roman" w:cs="Times New Roman" w:eastAsia="Times New Roman" w:hAnsi="Times New Roman"/>
                <w:sz w:val="17"/>
                <w:szCs w:val="17"/>
                <w:color w:val="auto"/>
              </w:rPr>
              <w:t xml:space="preserve">Allianz Tranche Right </w:t>
            </w:r>
            <w:r>
              <w:rPr>
                <w:rFonts w:ascii="Times New Roman" w:cs="Times New Roman" w:eastAsia="Times New Roman" w:hAnsi="Times New Roman"/>
                <w:sz w:val="22"/>
                <w:szCs w:val="22"/>
                <w:color w:val="auto"/>
                <w:vertAlign w:val="superscript"/>
              </w:rPr>
              <w:t>(4)</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9"/>
              </w:rPr>
              <w:t>converted method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55"/>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Allianz Warrants</w:t>
            </w:r>
            <w:r>
              <w:rPr>
                <w:rFonts w:ascii="Times New Roman" w:cs="Times New Roman" w:eastAsia="Times New Roman" w:hAnsi="Times New Roman"/>
                <w:sz w:val="22"/>
                <w:szCs w:val="22"/>
                <w:color w:val="auto"/>
                <w:vertAlign w:val="superscript"/>
              </w:rPr>
              <w:t>(5)</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r>
      <w:tr>
        <w:trPr>
          <w:trHeight w:val="25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Constellation Warrants</w:t>
            </w:r>
            <w:r>
              <w:rPr>
                <w:rFonts w:ascii="Times New Roman" w:cs="Times New Roman" w:eastAsia="Times New Roman" w:hAnsi="Times New Roman"/>
                <w:sz w:val="22"/>
                <w:szCs w:val="22"/>
                <w:color w:val="auto"/>
                <w:vertAlign w:val="superscript"/>
              </w:rPr>
              <w:t>(5)</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Treasury stock method</w:t>
            </w:r>
          </w:p>
        </w:tc>
      </w:tr>
      <w:tr>
        <w:trPr>
          <w:trHeight w:val="255"/>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Earn-Out Shares</w:t>
            </w:r>
            <w:r>
              <w:rPr>
                <w:rFonts w:ascii="Times New Roman" w:cs="Times New Roman" w:eastAsia="Times New Roman" w:hAnsi="Times New Roman"/>
                <w:sz w:val="22"/>
                <w:szCs w:val="22"/>
                <w:color w:val="auto"/>
                <w:vertAlign w:val="superscript"/>
              </w:rPr>
              <w:t>(6)</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Excluded</w:t>
            </w:r>
          </w:p>
        </w:tc>
      </w:tr>
      <w:tr>
        <w:trPr>
          <w:trHeight w:val="255"/>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PW Deferred Consideration Shares</w:t>
            </w:r>
            <w:r>
              <w:rPr>
                <w:rFonts w:ascii="Times New Roman" w:cs="Times New Roman" w:eastAsia="Times New Roman" w:hAnsi="Times New Roman"/>
                <w:sz w:val="22"/>
                <w:szCs w:val="22"/>
                <w:color w:val="auto"/>
                <w:vertAlign w:val="superscript"/>
              </w:rPr>
              <w:t>(7)</w:t>
            </w:r>
          </w:p>
        </w:tc>
        <w:tc>
          <w:tcPr>
            <w:tcW w:w="2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Included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Included</w:t>
            </w:r>
          </w:p>
        </w:tc>
        <w:tc>
          <w:tcPr>
            <w:tcW w:w="19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Included</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Included</w:t>
            </w:r>
          </w:p>
        </w:tc>
      </w:tr>
      <w:tr>
        <w:trPr>
          <w:trHeight w:val="255"/>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Acquisition-Related Awards</w:t>
            </w:r>
            <w:r>
              <w:rPr>
                <w:rFonts w:ascii="Times New Roman" w:cs="Times New Roman" w:eastAsia="Times New Roman" w:hAnsi="Times New Roman"/>
                <w:sz w:val="22"/>
                <w:szCs w:val="22"/>
                <w:color w:val="auto"/>
                <w:vertAlign w:val="superscript"/>
              </w:rPr>
              <w:t>(8)</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Treasury stock method</w:t>
            </w: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20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Treasury stock method</w:t>
            </w:r>
          </w:p>
        </w:tc>
      </w:tr>
      <w:tr>
        <w:trPr>
          <w:trHeight w:val="307"/>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Unvested PRSUs </w:t>
            </w:r>
            <w:r>
              <w:rPr>
                <w:rFonts w:ascii="Times New Roman" w:cs="Times New Roman" w:eastAsia="Times New Roman" w:hAnsi="Times New Roman"/>
                <w:sz w:val="22"/>
                <w:szCs w:val="22"/>
                <w:color w:val="auto"/>
                <w:vertAlign w:val="superscript"/>
              </w:rPr>
              <w:t>(9)</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Excluded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Treasury stock method</w:t>
            </w:r>
          </w:p>
        </w:tc>
        <w:tc>
          <w:tcPr>
            <w:tcW w:w="1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Excluded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Treasury stock method</w:t>
            </w:r>
          </w:p>
        </w:tc>
      </w:tr>
    </w:tbl>
    <w:p>
      <w:pPr>
        <w:spacing w:after="0" w:line="216" w:lineRule="exact"/>
        <w:rPr>
          <w:sz w:val="20"/>
          <w:szCs w:val="20"/>
          <w:color w:val="auto"/>
        </w:rPr>
      </w:pPr>
    </w:p>
    <w:p>
      <w:pPr>
        <w:jc w:val="both"/>
        <w:ind w:firstLine="2"/>
        <w:spacing w:after="0" w:line="284" w:lineRule="auto"/>
        <w:tabs>
          <w:tab w:leader="none" w:pos="141" w:val="left"/>
        </w:tabs>
        <w:numPr>
          <w:ilvl w:val="0"/>
          <w:numId w:val="5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3"/>
          <w:szCs w:val="13"/>
          <w:color w:val="auto"/>
        </w:rPr>
        <w:t>The if-converted method for instruments related to the Company’s Business Combination and Envoi earn-out liability includes adding back to the numerator any related income or loss allocations to noncontrolling interest, as well as any incremental tax expense had the instruments converted into shares of Class A Common Stock as of the beginning of the period.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1,028,652 of Class B shares were converted into Class A Common Stock. For the six months ended June 30, 2024, no adjustments were made related to the Class B Common Stock.</w:t>
      </w:r>
    </w:p>
    <w:p>
      <w:pPr>
        <w:spacing w:after="0" w:line="95" w:lineRule="exact"/>
        <w:rPr>
          <w:sz w:val="20"/>
          <w:szCs w:val="20"/>
          <w:color w:val="auto"/>
        </w:rPr>
      </w:pPr>
    </w:p>
    <w:p>
      <w:pPr>
        <w:jc w:val="both"/>
        <w:ind w:firstLine="2"/>
        <w:spacing w:after="0" w:line="251" w:lineRule="auto"/>
        <w:tabs>
          <w:tab w:leader="none" w:pos="157" w:val="left"/>
        </w:tabs>
        <w:numPr>
          <w:ilvl w:val="0"/>
          <w:numId w:val="5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On July 31, 2024, the Company issued shares of Series A Preferred Stock and warrants for shares of Class A Common Stock. The Series A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and six months ended June 30, 2025, the shares of Series A Preferred Stock were excluded from the Company’s diluted earnings per share calculation as the effects were determined to be anti-dilutive.</w:t>
      </w:r>
    </w:p>
    <w:p>
      <w:pPr>
        <w:spacing w:after="0" w:line="63" w:lineRule="exact"/>
        <w:rPr>
          <w:rFonts w:ascii="Times New Roman" w:cs="Times New Roman" w:eastAsia="Times New Roman" w:hAnsi="Times New Roman"/>
          <w:sz w:val="19"/>
          <w:szCs w:val="19"/>
          <w:b w:val="1"/>
          <w:bCs w:val="1"/>
          <w:color w:val="auto"/>
          <w:vertAlign w:val="superscript"/>
        </w:rPr>
      </w:pPr>
    </w:p>
    <w:p>
      <w:pPr>
        <w:jc w:val="both"/>
        <w:ind w:firstLine="2"/>
        <w:spacing w:after="0" w:line="233" w:lineRule="auto"/>
        <w:tabs>
          <w:tab w:leader="none" w:pos="161" w:val="left"/>
        </w:tabs>
        <w:numPr>
          <w:ilvl w:val="0"/>
          <w:numId w:val="5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During the first quarter ended March 31, 2024, the Company issued shares of Series C Preferred Stock and warrants for shares of Class A Common Stock. The Series C Preferred Stock is entitled to participate in dividends declared on common stock on an as-converted basis. This participation right requires application of the two-class method to calculate basic earnings per share. The two-class method requires income available to common stockholders for the period to be allocated between all participating instruments based upon their respective rights to receive dividends as if all income for the period had been distributed. Basic earnings per share is calculated using the proportion of net income available to be distributed to the common shareholders. Dilutive earnings per share is calculated using the more dilutive of the two-class method or the if-converted method. For the three and six months ended June 30, 2025 and June 30, 2024, the shares of Series C Preferred Stock were excluded from the Company’s diluted earnings per share calculation as the effects were determined to be anti-dilutive.</w:t>
      </w:r>
    </w:p>
    <w:p>
      <w:pPr>
        <w:spacing w:after="0" w:line="70" w:lineRule="exact"/>
        <w:rPr>
          <w:rFonts w:ascii="Times New Roman" w:cs="Times New Roman" w:eastAsia="Times New Roman" w:hAnsi="Times New Roman"/>
          <w:sz w:val="20"/>
          <w:szCs w:val="20"/>
          <w:b w:val="1"/>
          <w:bCs w:val="1"/>
          <w:color w:val="auto"/>
          <w:vertAlign w:val="superscript"/>
        </w:rPr>
      </w:pPr>
    </w:p>
    <w:p>
      <w:pPr>
        <w:jc w:val="both"/>
        <w:ind w:firstLine="2"/>
        <w:spacing w:after="0" w:line="342" w:lineRule="auto"/>
        <w:tabs>
          <w:tab w:leader="none" w:pos="141"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Allianz Tranche Right was issued as part of the Allianz Transaction, which grants Allianz the right, but not the obligation, to purchase up to 50,000 additional shares of Series A Preferred Stock at an aggregate purchase price of up to $50 million. Any additional shares of Series A Preferred Stock issued to Allianz will abide under the same conditions and terms as under the Investment as described in Note 1 (Description of the Business). The Allianz Tranche Right is classified as a contingently convertible instrument and will be included in our diluted earnings per share if the right has been exercised within the reporting period. For the three and six months ended June 30, 2025, an additional 18,471 shares under the Allianz Tranche Right had been issued; however, these shares were excluded from the Company’s diluted earnings per share calculation as the effects were determined to be anti-dilutive.</w:t>
      </w:r>
    </w:p>
    <w:p>
      <w:pPr>
        <w:spacing w:after="0" w:line="19" w:lineRule="exact"/>
        <w:rPr>
          <w:rFonts w:ascii="Times New Roman" w:cs="Times New Roman" w:eastAsia="Times New Roman" w:hAnsi="Times New Roman"/>
          <w:sz w:val="16"/>
          <w:szCs w:val="16"/>
          <w:color w:val="auto"/>
          <w:vertAlign w:val="superscript"/>
        </w:rPr>
      </w:pPr>
    </w:p>
    <w:p>
      <w:pPr>
        <w:jc w:val="both"/>
        <w:ind w:firstLine="2"/>
        <w:spacing w:after="0" w:line="277" w:lineRule="auto"/>
        <w:tabs>
          <w:tab w:leader="none" w:pos="141"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As mentioned in footnotes 2 and 3 above, the Company issued shares of Series A and C Preferred Stock in addition to warrants for Class A Shares to Allianz and Constellation. The warrants do not participate in dividends declared on common stock and are excluded from the calculation of basic earnings per share. Since the warrants are classified as a component of equity and can be exercised in exchange for Class A Shares, application of the treasury stock method for calculation of diluted earnings per share is applied. For the three and six months ended June 30, 2025, the warrants were excluded from the Company’s diluted earnings per share calculation as the effects were determined to be anti-dilutive.</w:t>
      </w:r>
    </w:p>
    <w:p>
      <w:pPr>
        <w:spacing w:after="0" w:line="59" w:lineRule="exact"/>
        <w:rPr>
          <w:rFonts w:ascii="Times New Roman" w:cs="Times New Roman" w:eastAsia="Times New Roman" w:hAnsi="Times New Roman"/>
          <w:sz w:val="16"/>
          <w:szCs w:val="16"/>
          <w:color w:val="auto"/>
          <w:vertAlign w:val="superscript"/>
        </w:rPr>
      </w:pPr>
    </w:p>
    <w:p>
      <w:pPr>
        <w:jc w:val="both"/>
        <w:ind w:firstLine="2"/>
        <w:spacing w:after="0"/>
        <w:tabs>
          <w:tab w:leader="none" w:pos="153" w:val="left"/>
        </w:tabs>
        <w:numPr>
          <w:ilvl w:val="0"/>
          <w:numId w:val="5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Earn-Out Shares are the portion of estimated contingent consideration related to our Business Combination, EEA earn-out liability, and Envoi growth-consideration liability that could be paid out in Class A Common Stock. Earn-Out Shares are excluded from the calculation of basic earnings per share if it’s determined that the contingency period has not been completed as of the current reporting period. As of June 30, 2025, 618,453 shares of Class A Common Stock were issued as part of the EEA earn-out liability and included in the Company’s basic earnings per share calculation.</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The treasury stock method is applied for calculating diluted earnings per share since our Earn-Outs are classified as liabilities and remeasured at fair value each period and includes reversing the income statement effect of the fair value remeasurement for the period. See Note 3 (Business Combinations and Divestitures) for additional information related to our Earn-Outs. For the three and six months ended June 30, 2025 and June 30, 2024, the Earn-Out Shares were excluded from the Company’s diluted earnings per share calculation as the effects were determined to be anti-dilutive.</w:t>
      </w:r>
    </w:p>
    <w:p>
      <w:pPr>
        <w:spacing w:after="0" w:line="59" w:lineRule="exact"/>
        <w:rPr>
          <w:sz w:val="20"/>
          <w:szCs w:val="20"/>
          <w:color w:val="auto"/>
        </w:rPr>
      </w:pPr>
    </w:p>
    <w:p>
      <w:pPr>
        <w:jc w:val="both"/>
        <w:ind w:firstLine="2"/>
        <w:spacing w:after="0" w:line="274" w:lineRule="auto"/>
        <w:tabs>
          <w:tab w:leader="none" w:pos="141" w:val="left"/>
        </w:tabs>
        <w:numPr>
          <w:ilvl w:val="0"/>
          <w:numId w:val="5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PW Deferred Consideration Shares relate to the portion of deferred consideration payable in Class A Common Stock upon meeting certain revenue thresholds related to our PW acquisition. See Note 3 (Business Combinations and Divestitures) for additional information. During the first quarter ended March 31, 2025, the PW Deferred Consideration Shares were issued to the sellers and are included in the Company’s basic earnings per share. There are no further contingent shares outstanding related to the PW Deferred Consideration Shares. Refer to Note 3 (Business Combinations) for further details.</w:t>
      </w:r>
    </w:p>
    <w:p>
      <w:pPr>
        <w:spacing w:after="0" w:line="238" w:lineRule="exact"/>
        <w:rPr>
          <w:rFonts w:ascii="Times New Roman" w:cs="Times New Roman" w:eastAsia="Times New Roman" w:hAnsi="Times New Roman"/>
          <w:sz w:val="16"/>
          <w:szCs w:val="16"/>
          <w:color w:val="auto"/>
          <w:vertAlign w:val="superscript"/>
        </w:rPr>
      </w:pPr>
    </w:p>
    <w:p>
      <w:pPr>
        <w:jc w:val="both"/>
        <w:ind w:firstLine="2"/>
        <w:spacing w:after="0" w:line="226" w:lineRule="auto"/>
        <w:tabs>
          <w:tab w:leader="none" w:pos="174" w:val="left"/>
        </w:tabs>
        <w:numPr>
          <w:ilvl w:val="0"/>
          <w:numId w:val="5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Acquisition-Related Awards include the Holbein Earn-Ins, EEA Equity Awards, Envoi Equity Awards, and Kontora Earn-Ins. Certain compensatory awards related to the PW acquisition (the “PW Equity Awards”) were reclassified to be paid out fully in cash rather than equity as of June 30, 2025. As such, the PW Equity Awards are excluded from the Company’s earnings (loss) per share calculations.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For the three months and six ended June 30, 2025, 1,686,763 and 436,816 shares of Class A Common Stock were issued as part of the Holbein and EEA Earn-Ins, respectively, and included in the Company’s basic earnings per share for the reporting period. Service periods related to the Holbein Earn-Ins and EEA Equity Awards had not been completed as of the three and six months ended June 30, 2024 and therefore such shares were excluded from the calculation of basic earnings (loss) per share.</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In calculating the Company’s diluted earnings (loss) per share, the Company utilized the treasury stock method to determine the potential number of dilutive shares for the three and six months ended June 30, 2025 and June 30, 2024 for the Acquisition-Related Awards. For the three and six months ended June 30, 2025, the EEA Equity Awards and Envoi Equity Awards were excluded from the Company’s diluted earnings per share calculation as the effects were determined to be anti-dilutive. Refer to Note 5 (Equity-Based Compensation) for additional details for the Acquisition-Related Awards.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2"/>
        <w:spacing w:after="0" w:line="230" w:lineRule="auto"/>
        <w:tabs>
          <w:tab w:leader="none" w:pos="161"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second quarter ended June 30, 2024 and June 30, 2025, the Company granted PRSUs to selected members of AlTi’s executive team. Vesting of the PRSUs is based on meeting certain market conditions and the requisite service period. Unvested PRSUs would be excluded from Basic EPS calculation, but once vested, they would be included in the Basic EPS calculation. The PRSUs would be included in the computation of diluted EPS using the treasury stock method. Assumed proceeds under the treasury stock method consist of unamortized compensation cost. If dilutive, the unvested restricted stock would be considered outstanding as of the later of the beginning of the period or the grant date for diluted EPS computation purposes. If anti-dilutive, it should be excluded from the diluted EPS computation. For the three and six months ended June 30, 2025, the PRSUs were excluded from the Company’s diluted earnings per share calculation as the effects were determined to be anti-dilutive. See discussion of PRSUs in Note 5 (Equity-Based Compensation).</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 based on income attributable to common shareholders: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5"/>
          </w:tcPr>
          <w:p>
            <w:pPr>
              <w:ind w:left="36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00" w:type="dxa"/>
            <w:vAlign w:val="bottom"/>
          </w:tcPr>
          <w:p>
            <w:pPr>
              <w:spacing w:after="0"/>
              <w:rPr>
                <w:sz w:val="19"/>
                <w:szCs w:val="19"/>
                <w:color w:val="auto"/>
              </w:rPr>
            </w:pPr>
          </w:p>
        </w:tc>
        <w:tc>
          <w:tcPr>
            <w:tcW w:w="3040" w:type="dxa"/>
            <w:vAlign w:val="bottom"/>
            <w:gridSpan w:val="4"/>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0"/>
        </w:trPr>
        <w:tc>
          <w:tcPr>
            <w:tcW w:w="466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(Dollars in Thousands, except share data)</w:t>
            </w: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Pr>
          <w:p>
            <w:pPr>
              <w:spacing w:after="0"/>
              <w:rPr>
                <w:sz w:val="20"/>
                <w:szCs w:val="20"/>
                <w:color w:val="auto"/>
              </w:rPr>
            </w:pPr>
          </w:p>
        </w:tc>
        <w:tc>
          <w:tcPr>
            <w:tcW w:w="138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0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controlling interest - basic and</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2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11,031</w:t>
            </w: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available to the Company - diluted</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(32,660)</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(12,700)</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(36,412)</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6"/>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of Class A Common Stock outstanding -</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99,915,503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71,738,190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97,413,553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69,228,309</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of Class A Common Stock outstanding -</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99,915,503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71,738,190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97,413,553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119,355,038</w:t>
            </w:r>
          </w:p>
        </w:tc>
      </w:tr>
      <w:tr>
        <w:trPr>
          <w:trHeight w:val="26"/>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per Class A Common Stock - basic</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per Class A Common Stock - diluted</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following table presents securities that would have been considered in the calculation of diluted earnings per share if the company had reported net income attributable to common shareholders. As income attributable to common shareholders is in a net loss position, these securities were not evaluated for potential dilution: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19"/>
                <w:szCs w:val="19"/>
                <w:color w:val="auto"/>
              </w:rPr>
            </w:pPr>
          </w:p>
        </w:tc>
        <w:tc>
          <w:tcPr>
            <w:tcW w:w="3420" w:type="dxa"/>
            <w:vAlign w:val="bottom"/>
            <w:gridSpan w:val="4"/>
          </w:tcPr>
          <w:p>
            <w:pPr>
              <w:ind w:left="6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3320" w:type="dxa"/>
            <w:vAlign w:val="bottom"/>
            <w:gridSpan w:val="3"/>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r>
      <w:tr>
        <w:trPr>
          <w:trHeight w:val="26"/>
        </w:trPr>
        <w:tc>
          <w:tcPr>
            <w:tcW w:w="45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1"/>
        </w:trPr>
        <w:tc>
          <w:tcPr>
            <w:tcW w:w="450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6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June 30, 2024</w:t>
            </w:r>
          </w:p>
        </w:tc>
      </w:tr>
      <w:tr>
        <w:trPr>
          <w:trHeight w:val="26"/>
        </w:trPr>
        <w:tc>
          <w:tcPr>
            <w:tcW w:w="45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B Common Stock and Class B Units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47,475,580</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48,270,404</w:t>
            </w:r>
          </w:p>
        </w:tc>
        <w:tc>
          <w:tcPr>
            <w:tcW w:w="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Allianz and Constellation Warrants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7,000,000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w:t>
            </w:r>
          </w:p>
        </w:tc>
      </w:tr>
      <w:tr>
        <w:trPr>
          <w:trHeight w:val="26"/>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38,344,289</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36,950,614</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Earn-Outs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13,458,069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10,459,204</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13,747,059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10,396,318</w:t>
            </w:r>
          </w:p>
        </w:tc>
      </w:tr>
      <w:tr>
        <w:trPr>
          <w:trHeight w:val="26"/>
        </w:trPr>
        <w:tc>
          <w:tcPr>
            <w:tcW w:w="4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5"/>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Awards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1,311,287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1,358,933</w:t>
            </w:r>
          </w:p>
        </w:tc>
        <w:tc>
          <w:tcPr>
            <w:tcW w:w="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Awards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814,384</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2,127,636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2,376,487</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(19) Commitments and Contingencies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of June 30, 2025 and December 31, 2024, the liability associated with the TRA was approximately $30.4 million and $28.8 million, respectively. Payments under the TRA that are on account of liabilities arising in connection with the Business Combination will be revalued at the end of each reporting period with the gain or loss recognized in earnings. As of June 30, 2025 and December 31, 2024, the Company carried $9.8 million and $9.4 million, respectively, of its TRA liability at fair value, as it is contingent consideration from the Business Combination. The remaining portion of the TRA liability is carried at a value equal to the expected future payments under the TRA.</w:t>
      </w:r>
    </w:p>
    <w:p>
      <w:pPr>
        <w:spacing w:after="0" w:line="1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In connection with the TRA, certain parties to the Business Combination who received Class B Units in Umbrella have the ability to exchange Class B Units in Umbrella (along with their paired shares of Class B Common Stock)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 under ASC 450, </w:t>
      </w:r>
      <w:r>
        <w:rPr>
          <w:rFonts w:ascii="Times New Roman" w:cs="Times New Roman" w:eastAsia="Times New Roman" w:hAnsi="Times New Roman"/>
          <w:sz w:val="19"/>
          <w:szCs w:val="19"/>
          <w:i w:val="1"/>
          <w:iCs w:val="1"/>
          <w:color w:val="auto"/>
        </w:rPr>
        <w:t>Contingencies</w:t>
      </w:r>
      <w:r>
        <w:rPr>
          <w:rFonts w:ascii="Times New Roman" w:cs="Times New Roman" w:eastAsia="Times New Roman" w:hAnsi="Times New Roman"/>
          <w:sz w:val="19"/>
          <w:szCs w:val="19"/>
          <w:color w:val="auto"/>
        </w:rPr>
        <w:t>.</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of June 30, 2025, holders of Class B Units have exchanged a total of 9,922,737 Class B Paired Interests with the Company, for shares of Class A Common Stock on a 1:1 basis totaling an amount equal to the weighted average price of $5.79 multiplied by the total number of shares of Class A Common Stock received at the time of the transactions.</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of June 30, 2025, assuming no material changes in the relevant tax laws and that the Company generates sufficient taxable income to realize the full tax benefit of the increased amortization resulting from the increase in tax basis of certain of AlTi’s assets, we expect to pay approximately $30.4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 Earn-out Liability</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Business Combination Earn-out Securities, comprised of 3.3 million Class A Shares, 7.1 million shares of Class B Common Stock, and 7.1 million Class B Units (one Class B share and one Class B Unit comprising a Paired Interest, as described in Note 3 (Business Combinations and Divestitures)), are payable to the Sponsor and the selling shareholders of TWMH, TIG, and Alvarium upon the achievement of certain vesting conditions in accordance with the terms of the Business Combination Agreement. Upon the Company’s Class A Share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As of June 30, 2025 and December 31, 2024, the fair value of the earn-out shares was $17.7 million and $23.8 million, respectively. See Note 2 (Summary of Significant Accounting Policies) for additional detail.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EEA Earn-out Liability</w:t>
      </w:r>
    </w:p>
    <w:p>
      <w:pPr>
        <w:spacing w:after="0" w:line="2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On April 1, 2024, the Company acquired all of the issued and outstanding ownership and membership interests of EEA. The EEA Acquisition was accounted for using the acquisition method of accounting and the fair value of the total purchase consideration transferred was $93.1 million. The total purchase consideration transferred includes estimated contingent consideration of $23.3 million, for which the Company may be required to make additional cash payments contingent on the future EBITDA performance targets between the closing date and the fifth anniversary of the closing date. As of June 30, 2025 and December 31, 2024, the EEA earn-out liability of $23.6 million and $29.9 million, respectively, is reported in Earn-out liabilities, at fair value, in the Condensed Consolidated Statement of Financial Position. Since the EEA earn-out liability meets the definition of a derivative, it is recorded at fair value as a derivative liability on the Condensed Consolidated Statement of Financial Position and measured at fair value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to be recognized in Gain (loss) on earnout liabilities in the Condensed Consolidated Statement of Operations and in Fair value (gain) loss on earnout liability in the Condensed Consolidated Statement of Cash Flows in the period of change. See Note 2 (Summary of Significant Accounting Policies) for additional detail.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Pointwise Deferred Consideration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 Consolidated Statement of Financial Position. The deferred consideration was paid during the first quarter ended March 31, 2025, in cash and equity totaling $3.0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Envoi Earn-out Liability</w:t>
      </w:r>
    </w:p>
    <w:p>
      <w:pPr>
        <w:spacing w:after="0" w:line="2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as of the acquisition date, which is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June 30, 2025 and December 31, 2024, the Envoi earn-out consideration liability of $9.8 million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$9.6 million, respectively, and the Envoi earn-out growth consideration liability of $1.2 million and $1.3 million, respectively, are reported in the Earn-out liabilities, at fair value, in the Condensed Consolidated Statement of Financial Position. The fair values will be remeasured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which changes in the fair value of the Envoi earn-out liability recognized in Gain (loss) on earnout liabilities in the Condensed Consolidated Statement of Operations and in Fair value (gain) loss on earnout liability in the Condensed Consolidated Statement of Cash Flows in the period of change. See Note 2 (Summary of Significant Accounting Policies) for additional detail.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Kontora Earn-out Consideration</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April 30, 2025, the Company acquired all of the issued and outstanding ownership interests of Kontora. The Kontora Acquisition was accounted for using the acquisition method of accounting and the fair value of the total purchase consideration transferred was $15.7 million. Included in the total purchase consideration is contingent consideration of $5.7 million, comprised of the Kontora earn-out liability, for which the Company may be required to make additional cash payments contingent upon Kontora meeting certain revenue requirements between the closing date and December 31, 2035. As of June 30, 2025, the Kontora earn-out liability of $6.2 million is reported in the Earn-out liabilities, at fair value, in the Condensed Consolidated Statement of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Letter of Credit</w:t>
      </w:r>
    </w:p>
    <w:p>
      <w:pPr>
        <w:spacing w:after="0" w:line="2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December 19, 2024, the Company entered into a letter of credit (the “Facility Agreement”) with BMO Harris Bank N.A. for the purpose of issuing instruments under this Facility Agreement through December 19, 2025 (the “Termination Date”). The Company will deposit a cash collateral equal to 102% of the amount of each instrument issued. The aggregate outstanding face amount of all issued instruments shall not exceed $5.0 million and shall have an expiry date of no later than one year from the Termination Date. Upon an issuance, the Company will pay a commitment fee equal to (i) the actual daily amount of the unused commitment, multiplied by (ii) 0.3% (the “Commitment Fee”). The Commitment Fee shall be calculated on the basis of a year of 365 days and shall be payable quarterly in arrears on the last day of each fiscal quarter. As of both June 30, 2025 and December 31, 2024, the Company has existing letters of credit in the amount of $3.4 million under the Facility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From time to time, we may be named as a defendant in legal or regulatory actions. Although there can be no assurance of the outcome of such matters, management’s current assessment is that no loss contingency reserve is required to be recorded as of June 30, 2025 for any potential liability related to any current legal or regulatory proceeding or claim that would individually or in the aggregate materially affect our results of operations, financial condition, or cash flows.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July 11, 2025, after conducting the previously announced strategic review of the International Real Estate Businesses, the Company announced the appointment of Teneo to conduct an orderly wind-down of its IRE business. Potential litigation related to that business, including Home REIT and HLIF below, may be impacted by the appointment of the administrator.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Home REIT</w:t>
      </w: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Home REIT is a real estate investment trust company listed on the London Stock Exchange. AFM UK was its alternative investment fund manager (“AIFM”) until August 21, 2023 and AHRA was its investment adviser until June 30, 2023. Services are no longer provided by any AlTi companies or any legacy Alvarium companies to Home REIT. AFM UK is a wholly owned subsidiary of the Company. AHRA was owned by ARE (another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wholly owned subsidiary of the Company) up until December 30, 2022, when it was sold. AlTi was formed on January 3, 2023, through the Business Combination that included certain legacy Alvarium companies, including AFM UK. While the sale of AHRA occurred prior to the Business Combination, under GAAP, its results were required to be consolidated in our financial statements until June 30, 2023, when it was deconsolidated. For UK regulatory purposes, up until June 30, 2023, AHRA was permitted to perform certain limited regulated activities as an “appointed representative” of its regulated principal firm, ARE (which is authorized and regulated by the UK FCA).</w:t>
      </w:r>
    </w:p>
    <w:p>
      <w:pPr>
        <w:spacing w:after="0" w:line="13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Since November 2022, Home REIT and AHRA have been the subject of a series of allegations in the UK media regarding Home REIT’s operations, triggered by a report issued by a short seller. Home REIT’s stock price fell materially as a result and its shares are currently suspended from trading.</w:t>
      </w:r>
    </w:p>
    <w:p>
      <w:pPr>
        <w:spacing w:after="0" w:line="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On October 6, 2023, pre-action steps were commenced by a law firm acting on behalf of a group of current and former shareholders in Home REIT (in the UK, pre-action correspondence is required under the Practice Direction on Pre-Action Protocols and Conduct contained in the United Kingdom’s Ministry of Justice Civil Procedure Rules prior to a claimant commencing litigation). In the pre-action correspondence, the claimant group alleges that there were misstatements in Home REIT’s offering documents and certain other public filings between 2020 and 2022 and asserts potential claims against AFM UK and ARE (as well as against Home REIT itself and its directors, among others) in connection with such matters and the historic management and advisory services provided to Home REIT by certain legacy Alvarium companies. It is not possible at this point in time for us to reliably assess AFM UK’s and/or ARE’s potential exposure, though they may potentially be material. Our intent is that any litigation or other action commenced by current and/or former shareholders of Home REIT against AFM UK and/or ARE will be defended vigorously. However, if any claims were commenced, we would anticipate that such claims may involve complex questions of law and fact, and significant legal expenses may be incurred in defending such litigation.</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On April 12, 2024, pre-action steps were commenced by Home REIT and its directors against AFM UK and ARE. This relates to the historic management of Home REIT by certain legacy Alvarium companies. In the pre-action correspondence, Home REIT and its directors assert potential</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claims against AFM UK and ARE and state their intention to bring claims against those entities: (i) for a 100% contribution to any losses incurred by Home REIT or its directors if current or former shareholders in Home REIT issue claims against them as outlined in the preceding paragraph; and (ii) on a standalone basis, for losses they assert have been incurred by Home REIT as a result of alleged breaches of contractual, tortious and fiduciary duties, unlawful means conspiracy and deceit by AFM UK and/or AHRA, and, in the case of ARE, they assert that ARE is liable to Home REIT for any acts or omissions of AHRA under the UK’s appointed representative regime. It is not possible at this point in time for us to reliably assess AFM UK’s and ARE’s potential exposure, though they may potentially be material. Our intent is that any litigation or other action commenced by Home REIT and/or its directors against AFM UK and/or ARE will be defended vigorously. However, if any claims were commenced, we would anticipate that such claims may involve complex questions of law and fact, and significant legal expenses may be incurred in defending such litigation.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HLIF is a private fund which pursues a similar investment strategy to Home REIT. In the period from June 30, 2022 to December 31, 2023, the estimated value of its underlying real estate investment portfolio declined by approximately 50%, due to a decrease in the timely collection of rents on the underlying portfolio, but also due to higher interest rates and other macro-economic factors. HLIF is managed by AFM UK as its AIFM and ‘authorized corporate director’ and is advised by SHIA. Like AHRA, SHIA was permitted to perform certain limited regulated activities as an “appointed representative” of its regulated principal firm, ARE.</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February 2024, the UK FCA commenced investigations into the historic performance of certain group entities, in their services to Home REIT and/or HLIF, and whether they breached certain civil or criminal regulatory rules and/or principles. The investigations relate to the historic management of Home REIT and/or HLIF by certain legacy Alvarium companies. The investigations are focused primarily on whether any false or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misleading statements were made in relation to Home REIT and/or HLIF and/or whether these group entities breached other FCA rules and/or principles. ARE and AFM UK have voluntarily requested the imposition of requirements by the UK FCA which primarily involves the companies agreeing to maintain their current assets and not undertaking any new business without UK FCA consent. The commencement of the investigations does not mean that the UK FCA has determined that any such breaches have occurred. However, it is possible that the UK FCA may determine that certain breaches have occurred, and it may seek to impose financial penalties or other outcomes on one or more group entities, that may potentially be material. We intend to cooperate fully with the UK FCA as it conducts the investigations. We are not able to estimate how long it might take for the UK FCA to complete such investigations, but it is possible that the investigations may continue for a prolonged period, potentially over several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Potential Redress in Relation to Real Estate Products</w:t>
      </w:r>
    </w:p>
    <w:p>
      <w:pPr>
        <w:spacing w:after="0" w:line="218"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9"/>
          <w:szCs w:val="19"/>
          <w:color w:val="auto"/>
        </w:rPr>
        <w:t>As part of ongoing examinations with regulators and our review of client relationships, it is reasonably possible that payments may be made to a limited number of our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Tolleson Wealth Management</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Company was involved in a dispute with Tolleson related to alleged improper solicitation of Tolleson’s clients and employees. Certain former Tolleson employees who joined AlTi were party to Tolleson employment agreements which contained a one-year client and employee non-solicit and a lost client fee clause requiring payment for lost revenue.</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In September 2024, despite offers by the Company to pay for the departed clients, Tolleson filed a lawsuit against AlTi and the former Tolleson employees. The parties reached an agreement later in September 2024, dismissing the litigation and agreeing to mediation.</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and Tolleson entered a binding settlement agreement on February 19, 2025, memorializing the terms agreed to in mediation and concluding this matter. On March 13, 2025, the settlement amount of $5.1 million was paid by the Company to Tolleson.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of June 30, 2025 and December 31, 2024, there were 101,567,545 and 93,686,980, respectively, shares of Class A Common Stock outstanding. Of those shares, 754,968 are subject to performance targets under the terms of the Business Combination Earn-out as of both June 30, 2025 and December 31, 2024. The holders of the Class A Common Stock represent the controlling interest of the Company.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Class B Common Stock</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Upon the Closing of the Business Combination, the Company issued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 As of June 30, 2025 and December 31, 2024, there were 45,110,224 and 46,138,876, respectively, shares of Class B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Treasury Stock</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From time to time, the Company may repurchase common shares related to its equity-based compensation award programs. During the second quarter ended June 30, 2025 the Company reissued, from Treasury Stock, 817,730 shares of Class A Common Stock which were repurchased and classified as Treasury Stock on the Condensed Consolidated Statement of Financial Position during the first quarter ended March 31, 2025. Treasury Stock was recorded at cost, representing the market price on the repurchase date, and was accounted for as a reduction of shareholders’ equity. As of June 30, 2025, there was no Treasury Stock outstanding.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Series A Preferred Stock</w:t>
      </w:r>
    </w:p>
    <w:p>
      <w:pPr>
        <w:spacing w:after="0" w:line="2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As part of the Allianz Transaction, the Company issued 140,000 shares of Series A Preferred Stock to Allianz, which is classified outside of permanent equity as mezzanine equity in the accompanying Condensed Consolidated Statement of Financial Position as they are not mandatorily redeemable as of June 30, 2025. As of June 30, 2025, the Series A Preferred Stock amounts to 164,914, which is inclusive of dividends paid in 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Series C Preferred Stock</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connection with the Constellation Transaction, the Company issued 150,000 shares of Series C Preferred Stock to Constellation. The Series C Preferred Stock is classified outside of permanent equity as mezzanine equity in the accompanying Condensed Consolidated Statement of Financial Position as they are not mandatorily redeemable as of June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Allianz and Constellation Warrants</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In connection with the Constellation and Allianz Transactions, the Company evaluated the Constellation and Allianz Warrants in accordance with ASC 815-40, </w:t>
      </w:r>
      <w:r>
        <w:rPr>
          <w:rFonts w:ascii="Times New Roman" w:cs="Times New Roman" w:eastAsia="Times New Roman" w:hAnsi="Times New Roman"/>
          <w:sz w:val="19"/>
          <w:szCs w:val="19"/>
          <w:i w:val="1"/>
          <w:iCs w:val="1"/>
          <w:color w:val="auto"/>
        </w:rPr>
        <w:t>Contracts in an Entity’s Own Equity,</w:t>
      </w:r>
      <w:r>
        <w:rPr>
          <w:rFonts w:ascii="Times New Roman" w:cs="Times New Roman" w:eastAsia="Times New Roman" w:hAnsi="Times New Roman"/>
          <w:sz w:val="19"/>
          <w:szCs w:val="19"/>
          <w:color w:val="auto"/>
        </w:rPr>
        <w:t xml:space="preserve"> and concluded that the warrants are derivatives that meet the equity classification criteria. As of June 30, 2025 and December 31, 2024, the Constellation and Allianz Warrants of $3.0 million and $6.6 million, respectively, are recorded as a component of equity net of issuance costs in the line item Additional paid-in capital on the Company’s Condensed Consolidated Statement of Financial Position.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 Subsequent Events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Management evaluated events and transactions through the date of issuance of these financial statements. Based on management’s evaluation there are no events subsequent to June 30, 2025 that require adjustment to or disclosure in the condensed consolidated financial statements, except as noted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Wind-down of the International Real Estate Business</w:t>
      </w:r>
    </w:p>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On July 11, 2025, after conducting the previously announced strategic review of the International Real Estate Businesses, the Company announced the appointment of Teneo to conduct an orderly wind-down of its IRE business. The International Real Estate Businesses, which was an independently-managed arranger and distributor of real estate transactions, has been reliant on funding from the rest of the Company’s business for some time. The Board and management fully and carefully considered all options, including a solvent exit. However, as a result of ongoing losses in the International Real Estate Businesses, it was agreed that it was no longer in the interests of the Company, its wider business and its stockholders, clients and other stakeholders to support the ongoing losses.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The Company’s priority is to work with the Teneo team to ensure that the International Real Estate Businesses’ investments continue to be monitored and reviewed in line with the Company’s duties to its investors, 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9"/>
          <w:szCs w:val="19"/>
          <w:b w:val="1"/>
          <w:bCs w:val="1"/>
          <w:color w:val="auto"/>
        </w:rPr>
        <w:t>AlTi Global,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dedicated team remains in place to execute the IRE business’s investor reporting, asset management and compliance obligations. At this time, the Company is unable to reasonably estimate the potential costs associated with the winding-down of the IRE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b w:val="1"/>
          <w:bCs w:val="1"/>
          <w:color w:val="auto"/>
        </w:rPr>
        <w:t>MANAGEMENT’S DISCUSSION AND ANALYSIS OF FINANCIAL CONDITION AND RESULTS OF OPERATIONS OF ALTI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GLOBAL, INC.</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i w:val="1"/>
          <w:iCs w:val="1"/>
          <w:color w:val="auto"/>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condensed consolidated audited financial statements and the related notes included in this Quarterly Report.</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Amounts and percentages presented throughout our discussion and analysis of the financial condition and results of operations may reflect rounded results in thousands (unless otherwise indicated) and consequently, totals may not appear to sum.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Business</w:t>
      </w:r>
    </w:p>
    <w:p>
      <w:pPr>
        <w:spacing w:after="0" w:line="2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AlTi is an independent global wealth manager providing entrepreneurs, multi-generational families, institutions, and emerging next-generation leaders with fiduciary advisory services, underscored by a commitment to impact or values-aligned investing. We manage or advise approximately $97.2 billion in combined assets as of June 30, 2025. We have approximately 520 professionals operating in 19 cities in 9 countries across three continents as of June 30, 2025. We provide holistic solutions for our wealth management and Outsourced Chief Investment Officer (“OCIO”) clients through an array of services, including discretionary investment management services, non-discretionary investment advisory services, estate and wealth planning, trust and fiduciary, governance and education, philanthropy and purposeful giving, and family office services. We also provide our wealth management clients with access to alternative investment opportunities, including investments in strategies and asset classes to which they would otherwise likely not be able to gain exposure.</w:t>
      </w:r>
    </w:p>
    <w:p>
      <w:pPr>
        <w:spacing w:after="0" w:line="1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Separately, we have one internally managed fund and stakes in three externally-managed funds in our alternatives platform, with a largely institutional client base.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Fee Structure</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Our services generate a diverse array of revenue streams that fall broadly into four categories: (i) recurring management, advisory, trustee, or administration fees (“management fees”); (ii) performance or incentive fees; (iii) distributions from investments and (iv) other income or fees:</w:t>
      </w:r>
    </w:p>
    <w:p>
      <w:pPr>
        <w:spacing w:after="0" w:line="105" w:lineRule="exact"/>
        <w:rPr>
          <w:sz w:val="20"/>
          <w:szCs w:val="20"/>
          <w:color w:val="auto"/>
        </w:rPr>
      </w:pPr>
    </w:p>
    <w:p>
      <w:pPr>
        <w:jc w:val="both"/>
        <w:ind w:left="620" w:hanging="313"/>
        <w:spacing w:after="0" w:line="251" w:lineRule="auto"/>
        <w:tabs>
          <w:tab w:leader="none" w:pos="609"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 advisory fees are historically more predictable across market conditions than our other revenue sources. These fees are recurring in nature (usually being annual or quarterly fees) and are earned from investment management, investment advisory, trusts, and family office services. The recurring nature of these fees is underpinned by the client retention rate of wealth management services which means that these fees are also relatively stable.</w:t>
      </w:r>
    </w:p>
    <w:p>
      <w:pPr>
        <w:spacing w:after="0" w:line="206" w:lineRule="exact"/>
        <w:rPr>
          <w:rFonts w:ascii="Times New Roman" w:cs="Times New Roman" w:eastAsia="Times New Roman" w:hAnsi="Times New Roman"/>
          <w:sz w:val="19"/>
          <w:szCs w:val="19"/>
          <w:color w:val="auto"/>
        </w:rPr>
      </w:pPr>
    </w:p>
    <w:p>
      <w:pPr>
        <w:jc w:val="both"/>
        <w:ind w:left="620" w:hanging="313"/>
        <w:spacing w:after="0" w:line="254" w:lineRule="auto"/>
        <w:tabs>
          <w:tab w:leader="none" w:pos="6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These fees, being performance related, are variable in nature and more susceptible to impact from exogenous factors. As a result, performance and incentive fees provide potential upside to our revenues in the future and, in our view, can be highly accretive to our profitability.</w:t>
      </w:r>
    </w:p>
    <w:p>
      <w:pPr>
        <w:spacing w:after="0" w:line="142" w:lineRule="exact"/>
        <w:rPr>
          <w:rFonts w:ascii="Times New Roman" w:cs="Times New Roman" w:eastAsia="Times New Roman" w:hAnsi="Times New Roman"/>
          <w:sz w:val="18"/>
          <w:szCs w:val="18"/>
          <w:color w:val="auto"/>
        </w:rPr>
      </w:pPr>
    </w:p>
    <w:p>
      <w:pPr>
        <w:jc w:val="both"/>
        <w:ind w:left="620" w:hanging="313"/>
        <w:spacing w:after="0" w:line="269" w:lineRule="auto"/>
        <w:tabs>
          <w:tab w:leader="none" w:pos="61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Distributions from investments are generated from the equity interests we have in three external managers. Distributions from each external manager are recorded upon receipt of the distribution. These distributions are generated through our equity interest in the external manager’s management fees and incentive fees. The management fee component of the distributions is recurring in nature, while the incentive portion, which is performance based, is more susceptible to impact from exogenous factors.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82" w:name="page83"/>
    <w:bookmarkEnd w:id="82"/>
    <w:p>
      <w:pPr>
        <w:jc w:val="both"/>
        <w:ind w:left="620" w:hanging="313"/>
        <w:spacing w:after="0" w:line="257" w:lineRule="auto"/>
        <w:tabs>
          <w:tab w:leader="none" w:pos="60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income or fees included primarily transaction fees from businesses we are in the process of exiting such as brokerage and placement agency services. Transaction fees are generally non-recurring in nature, are typically commission based, and are payable on the successful completion of a transaction.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Wealth &amp; Capital Solutions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Management Fees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Investment management or advisory fees are the primary source of revenue in our Wealth &amp; Capital Solutions segment. These fees are generally calculated on the basis of a percentage of the value of each client’s assets (AUM or AUA) and are charged using either an average daily balance or ending balance, quarterly in arrears. Fees from internal fund management and advisory services related to our capital solutions platform are approximately 0.75% to 1.5% of the net asset value of the underlying investments.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AUM refers to the market value of all assets that we manage, provide discretionary investment advisory services on, and have execution responsibility for, including both billable assets (on which we charge fees) and non-billable assets (exempt from fees, such as cash and cash equivalents in certain client agreements). AUM also includes assets managed or supervised by operating partner subsidiaries, affiliates, and joint ventures in which the Company holds a majority or minority stake. AUA consists of all assets we oversee and report on, regardless of whether fees are charged. While billable assets are those on which we charge fees, non-billable assets—such as cash and cash equivalents in certain agreed-upon situations, personally owned real estate, and other designated assets—are exempt. Our calculations of AUM and AUA may differ from those used by other wealth managers, and as a result, these measures may not be comparable to similar metrics presented by others in the industry.</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fees vary depending upon the level and complexity of client assets and the services being provided. The fee typically covers investment advisory services and basic estate and wealth planning services. The more complex estate and wealth planning services, as well as our Trustee service, and certain extended family office services, are typically billed separately, as a fixed or time-based amount.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Incentive Fees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TIG Arbitrage is entitled to receive incentive fees from the assets it manages if certain performance returns have been achieved. These incentive fees range from 15% to 20% of net profits. In compliance with ASC 606, we recognize these fees only when it is probable that a significant revenue reversal will not occur. Our incentive fees are not subject to clawback provisions.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selected jurisdictions, certain wealth management clients pay performance or incentive fees, in addition to management fees, if their portfolio achieves returns in excess of an agreed benchmark or hurdle rate. Typically, such fees are paid annually upon crystallization and are not accrued prior to being earned.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Distributions from Investments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Distributions from investments are earned through our profit or revenue sharing arrangements with the External Strategic Managers. Our economic interests in the External Strategic Managers are as follows:</w:t>
      </w:r>
    </w:p>
    <w:p>
      <w:pPr>
        <w:spacing w:after="0" w:line="67" w:lineRule="exact"/>
        <w:rPr>
          <w:sz w:val="20"/>
          <w:szCs w:val="20"/>
          <w:color w:val="auto"/>
        </w:rPr>
      </w:pPr>
    </w:p>
    <w:p>
      <w:pPr>
        <w:ind w:left="600" w:hanging="293"/>
        <w:spacing w:after="0"/>
        <w:tabs>
          <w:tab w:leader="none" w:pos="6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Real Estate Bridge Lending Strategy—21% profit share;</w:t>
      </w:r>
    </w:p>
    <w:p>
      <w:pPr>
        <w:spacing w:after="0" w:line="87"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European Equities—25% revenue share; and</w:t>
      </w:r>
    </w:p>
    <w:p>
      <w:pPr>
        <w:spacing w:after="0" w:line="99"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Asian Credit and Special Situations—12% revenue share</w:t>
      </w:r>
    </w:p>
    <w:p>
      <w:pPr>
        <w:spacing w:after="0" w:line="1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The External Strategic Managers distributions from investments are all driven by a management fee component while the distributions from European Equities and Asian Credit and Special Situations also have an incentive fee component depending on performance. Depending on the fund, the incentive fee component can range from 15% to 35% of the net profit/income, in excess of a 10% return hurdle.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b w:val="1"/>
          <w:bCs w:val="1"/>
          <w:i w:val="1"/>
          <w:iCs w:val="1"/>
          <w:color w:val="auto"/>
        </w:rPr>
        <w:t>International Real Estate Income</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earn management fees through private real estate fund advisory and recurring fees. These fees, governed by an investment advisory agreement, are calculated on a sliding scale based on the fund’s net asset value. As a sponsor of private market transactions, the Co-Investment businesses generate income from debt and equity structures, including arrangement, management, advisory, performance, and transaction fees. If we established feeder vehicles for clients, additional administration and advisory fees also applied.</w:t>
      </w:r>
    </w:p>
    <w:p>
      <w:pPr>
        <w:spacing w:after="0" w:line="18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9"/>
          <w:szCs w:val="19"/>
          <w:color w:val="auto"/>
        </w:rPr>
        <w:t>On July 11, 2025, after conducting the previously announced strategic review of the International Real Estate Businesses, the Company announced the appointment of Teneo to conduct an orderly wind-down of its IRE business. Income related to that business may be impacted by the appointment of the administrator.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 Trends and Business Environment</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Our business performance is directly and indirectly influenced by U.S. and to a lesser extent, global financial market and macroeconomic conditions including economic growth, interest rates and inflation. These factors shape market behavior and client decision-making, which in turn impact the demand for our wealth management services and the composition of assets under management.</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second quarter of 2025 was marked by significant volatility and a strong rebound in global equity markets. After recovering from the April tariff shocks, U.S. and global markets delivered strong gains in the quarter. The S&amp;P 500, Nasdaq Composite and MSCI ACWI ex USA index returned 10.9%, 18%, and 12%, respectively, as of June 30, 2025.</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According to the U.S. Bureau of Economic Analysis, real GDP advanced at an annual rate of 3% in the second quarter of 2025 and marked a significant turnaround from the first quarter final estimate of (0.5)%.</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Inflation also remained elevated in the quarter as tariffs boosted prices for imported goods. According to the U.S. Bureau of Economic Analysis, core Personal Consumption Expenditures (PCE) price index—a key inflation gauge—rose at an annualized rate of 2.6% in the twelve months through June, after increasing 2.4% in May.</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the second quarter of the year, the unemployment rate remained relatively stable. At June, the rate was 4.1% according to the U.S. Bureau of Labor Statistics.</w:t>
      </w:r>
    </w:p>
    <w:p>
      <w:pPr>
        <w:spacing w:after="0" w:line="1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Our operations are also impacted by interest rates, which cause the value of our clients’ portfolios to fluctuate, and consequently impact our revenue. Changes in interest rates are largely influenced by Federal Reserve policy decisions to address the state of the economy, specifically employment and inflation. In its June 2025 meeting, the Federal Reserve maintained the federal funds rate in the range of 4.25% to 4.50%, a decision reflecting a cautious stance amidst ongoing global and domestic uncertainties.</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We continue to monitor developments related to these macroeconomic factors and assess their potential impact on both financial markets and our business. A slowdown in inflows or sustained market declines could negatively affect our future results, potentially leading to reduced management fees. At this time, the full impact of these events on financial markets, the broader economy, and our financial statements remains uncertain. For more information, please refer to Part I, Item 1A. “Risk Factors” of our Annual Report for previously disclosed risk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Managing Business Performance and Key Financial Measures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Non-US GAAP Financial Measures</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We use Adjusted Net Income and Adjusted EBITDA as non-US GAAP financial measures, which do not have uniform definitions. Adjusted EBITDA is derived from and reconciled to, but not equivalent to, its most directly comparable US GAAP measure of net income (loss). Adjusted Net Income represents net income (loss) before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color w:val="auto"/>
        </w:rPr>
        <w:t>taxes adjusted for the components outlined in the following table which presents the non-US GAAP financial measures for the periods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9"/>
                <w:szCs w:val="19"/>
                <w:b w:val="1"/>
                <w:bCs w:val="1"/>
                <w:color w:val="auto"/>
              </w:rPr>
              <w:t>For the Three Months Ended</w:t>
            </w:r>
          </w:p>
        </w:tc>
        <w:tc>
          <w:tcPr>
            <w:tcW w:w="220" w:type="dxa"/>
            <w:vAlign w:val="bottom"/>
          </w:tcPr>
          <w:p>
            <w:pPr>
              <w:spacing w:after="0"/>
              <w:rPr>
                <w:sz w:val="19"/>
                <w:szCs w:val="19"/>
                <w:color w:val="auto"/>
              </w:rPr>
            </w:pPr>
          </w:p>
        </w:tc>
        <w:tc>
          <w:tcPr>
            <w:tcW w:w="1520" w:type="dxa"/>
            <w:vAlign w:val="bottom"/>
          </w:tcPr>
          <w:p>
            <w:pPr>
              <w:jc w:val="center"/>
              <w:ind w:right="127"/>
              <w:spacing w:after="0"/>
              <w:rPr>
                <w:sz w:val="20"/>
                <w:szCs w:val="20"/>
                <w:color w:val="auto"/>
              </w:rPr>
            </w:pPr>
            <w:r>
              <w:rPr>
                <w:rFonts w:ascii="Times New Roman" w:cs="Times New Roman" w:eastAsia="Times New Roman" w:hAnsi="Times New Roman"/>
                <w:sz w:val="19"/>
                <w:szCs w:val="19"/>
                <w:b w:val="1"/>
                <w:bCs w:val="1"/>
                <w:color w:val="auto"/>
                <w:w w:val="99"/>
              </w:rPr>
              <w:t>Favorable</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2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center"/>
              <w:ind w:right="107"/>
              <w:spacing w:after="0"/>
              <w:rPr>
                <w:sz w:val="20"/>
                <w:szCs w:val="20"/>
                <w:color w:val="auto"/>
              </w:rPr>
            </w:pPr>
            <w:r>
              <w:rPr>
                <w:rFonts w:ascii="Times New Roman" w:cs="Times New Roman" w:eastAsia="Times New Roman" w:hAnsi="Times New Roman"/>
                <w:sz w:val="19"/>
                <w:szCs w:val="19"/>
                <w:b w:val="1"/>
                <w:bCs w:val="1"/>
                <w:color w:val="auto"/>
                <w:w w:val="98"/>
              </w:rPr>
              <w:t>(Unfavorable)</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w:t>
            </w:r>
          </w:p>
        </w:tc>
        <w:tc>
          <w:tcPr>
            <w:tcW w:w="280" w:type="dxa"/>
            <w:vAlign w:val="bottom"/>
          </w:tcPr>
          <w:p>
            <w:pPr>
              <w:spacing w:after="0"/>
              <w:rPr>
                <w:sz w:val="23"/>
                <w:szCs w:val="23"/>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60" w:type="dxa"/>
            <w:vAlign w:val="bottom"/>
          </w:tcPr>
          <w:p>
            <w:pPr>
              <w:spacing w:after="0"/>
              <w:rPr>
                <w:sz w:val="23"/>
                <w:szCs w:val="23"/>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220" w:type="dxa"/>
            <w:vAlign w:val="bottom"/>
          </w:tcPr>
          <w:p>
            <w:pPr>
              <w:spacing w:after="0"/>
              <w:rPr>
                <w:sz w:val="23"/>
                <w:szCs w:val="23"/>
                <w:color w:val="auto"/>
              </w:rPr>
            </w:pPr>
          </w:p>
        </w:tc>
        <w:tc>
          <w:tcPr>
            <w:tcW w:w="1520" w:type="dxa"/>
            <w:vAlign w:val="bottom"/>
          </w:tcPr>
          <w:p>
            <w:pPr>
              <w:jc w:val="center"/>
              <w:ind w:right="127"/>
              <w:spacing w:after="0"/>
              <w:rPr>
                <w:sz w:val="20"/>
                <w:szCs w:val="20"/>
                <w:color w:val="auto"/>
              </w:rPr>
            </w:pPr>
            <w:r>
              <w:rPr>
                <w:rFonts w:ascii="Times New Roman" w:cs="Times New Roman" w:eastAsia="Times New Roman" w:hAnsi="Times New Roman"/>
                <w:sz w:val="19"/>
                <w:szCs w:val="19"/>
                <w:b w:val="1"/>
                <w:bCs w:val="1"/>
                <w:color w:val="auto"/>
                <w:w w:val="96"/>
              </w:rPr>
              <w:t>$ Change</w:t>
            </w:r>
          </w:p>
        </w:tc>
        <w:tc>
          <w:tcPr>
            <w:tcW w:w="0" w:type="dxa"/>
            <w:vAlign w:val="bottom"/>
          </w:tcPr>
          <w:p>
            <w:pPr>
              <w:spacing w:after="0"/>
              <w:rPr>
                <w:sz w:val="1"/>
                <w:szCs w:val="1"/>
                <w:color w:val="auto"/>
              </w:rPr>
            </w:pPr>
          </w:p>
        </w:tc>
      </w:tr>
      <w:tr>
        <w:trPr>
          <w:trHeight w:val="247"/>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Management/advisory fees</w:t>
            </w:r>
          </w:p>
        </w:tc>
        <w:tc>
          <w:tcPr>
            <w:tcW w:w="28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49,989</w:t>
            </w:r>
          </w:p>
        </w:tc>
        <w:tc>
          <w:tcPr>
            <w:tcW w:w="100" w:type="dxa"/>
            <w:vAlign w:val="bottom"/>
          </w:tcPr>
          <w:p>
            <w:pPr>
              <w:spacing w:after="0"/>
              <w:rPr>
                <w:sz w:val="21"/>
                <w:szCs w:val="21"/>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w w:val="8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47,029</w:t>
            </w:r>
          </w:p>
        </w:tc>
        <w:tc>
          <w:tcPr>
            <w:tcW w:w="80" w:type="dxa"/>
            <w:vAlign w:val="bottom"/>
          </w:tcPr>
          <w:p>
            <w:pPr>
              <w:spacing w:after="0"/>
              <w:rPr>
                <w:sz w:val="21"/>
                <w:szCs w:val="21"/>
                <w:color w:val="auto"/>
              </w:rPr>
            </w:pPr>
          </w:p>
        </w:tc>
        <w:tc>
          <w:tcPr>
            <w:tcW w:w="22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2,960</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Incentive fees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401</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Distributions from investments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Other income/fees</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(111)</w:t>
            </w:r>
          </w:p>
        </w:tc>
        <w:tc>
          <w:tcPr>
            <w:tcW w:w="0" w:type="dxa"/>
            <w:vAlign w:val="bottom"/>
          </w:tcPr>
          <w:p>
            <w:pPr>
              <w:spacing w:after="0"/>
              <w:rPr>
                <w:sz w:val="1"/>
                <w:szCs w:val="1"/>
                <w:color w:val="auto"/>
              </w:rPr>
            </w:pPr>
          </w:p>
        </w:tc>
      </w:tr>
      <w:tr>
        <w:trPr>
          <w:trHeight w:val="240"/>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53,127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49,453</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3,674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(9,368)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(20,675)</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4,851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(4,849)</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Income tax expense (benefit)</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(3,953)</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Depreciation &amp;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3,813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806</w:t>
            </w:r>
          </w:p>
        </w:tc>
        <w:tc>
          <w:tcPr>
            <w:tcW w:w="0" w:type="dxa"/>
            <w:vAlign w:val="bottom"/>
          </w:tcPr>
          <w:p>
            <w:pPr>
              <w:spacing w:after="0"/>
              <w:rPr>
                <w:sz w:val="1"/>
                <w:szCs w:val="1"/>
                <w:color w:val="auto"/>
              </w:rPr>
            </w:pPr>
          </w:p>
        </w:tc>
      </w:tr>
      <w:tr>
        <w:trPr>
          <w:trHeight w:val="240"/>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EBITDA Reported</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(30,131)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(28,671)</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Stock based compensation (a)</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5,593</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Stock based compensation - Legacy (b)</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Transaction expenses (c)</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8,353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Change in fair value on investments and non-recurring realized</w:t>
            </w:r>
          </w:p>
        </w:tc>
        <w:tc>
          <w:tcPr>
            <w:tcW w:w="280" w:type="dxa"/>
            <w:vAlign w:val="bottom"/>
            <w:shd w:val="clear" w:color="auto" w:fill="CCEEFF"/>
          </w:tcPr>
          <w:p>
            <w:pPr>
              <w:spacing w:after="0"/>
              <w:rPr>
                <w:sz w:val="20"/>
                <w:szCs w:val="2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(3,948)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(10,961)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7,013</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gain/losses on sales (d)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Change in fair value of earnout liabilities (e)</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Change in fair value of TRA liability (f)</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1,137</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Organization streamlining cost (g)</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9,573</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Impairment (non-cash) (h)</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6,167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(5,869)</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Losses on EMI/Carried Interest (non-cash) (i)</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(4,159)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4,383</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EMI Adjustments (Interest, Depreciation, Taxes &amp; Amortization) (j)</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Change in fair value of Preferred stock tranche liability (k)</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750</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Adjusted EBITDA</w:t>
            </w:r>
          </w:p>
        </w:tc>
        <w:tc>
          <w:tcPr>
            <w:tcW w:w="2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9"/>
                <w:szCs w:val="19"/>
                <w:color w:val="auto"/>
                <w:w w:val="8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5,467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(1,714)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20" w:type="dxa"/>
            <w:vAlign w:val="bottom"/>
            <w:gridSpan w:val="5"/>
            <w:vMerge w:val="restart"/>
          </w:tcPr>
          <w:p>
            <w:pPr>
              <w:ind w:left="680"/>
              <w:spacing w:after="0"/>
              <w:rPr>
                <w:sz w:val="20"/>
                <w:szCs w:val="20"/>
                <w:color w:val="auto"/>
              </w:rPr>
            </w:pPr>
            <w:r>
              <w:rPr>
                <w:rFonts w:ascii="Times New Roman" w:cs="Times New Roman" w:eastAsia="Times New Roman" w:hAnsi="Times New Roman"/>
                <w:sz w:val="19"/>
                <w:szCs w:val="19"/>
                <w:b w:val="1"/>
                <w:bCs w:val="1"/>
                <w:color w:val="auto"/>
              </w:rPr>
              <w:t>For the Six Months Ended</w:t>
            </w:r>
          </w:p>
        </w:tc>
        <w:tc>
          <w:tcPr>
            <w:tcW w:w="220" w:type="dxa"/>
            <w:vAlign w:val="bottom"/>
          </w:tcPr>
          <w:p>
            <w:pPr>
              <w:spacing w:after="0"/>
              <w:rPr>
                <w:sz w:val="19"/>
                <w:szCs w:val="19"/>
                <w:color w:val="auto"/>
              </w:rPr>
            </w:pPr>
          </w:p>
        </w:tc>
        <w:tc>
          <w:tcPr>
            <w:tcW w:w="1520" w:type="dxa"/>
            <w:vAlign w:val="bottom"/>
          </w:tcPr>
          <w:p>
            <w:pPr>
              <w:jc w:val="center"/>
              <w:ind w:right="127"/>
              <w:spacing w:after="0"/>
              <w:rPr>
                <w:sz w:val="20"/>
                <w:szCs w:val="20"/>
                <w:color w:val="auto"/>
              </w:rPr>
            </w:pPr>
            <w:r>
              <w:rPr>
                <w:rFonts w:ascii="Times New Roman" w:cs="Times New Roman" w:eastAsia="Times New Roman" w:hAnsi="Times New Roman"/>
                <w:sz w:val="19"/>
                <w:szCs w:val="19"/>
                <w:b w:val="1"/>
                <w:bCs w:val="1"/>
                <w:color w:val="auto"/>
                <w:w w:val="99"/>
              </w:rPr>
              <w:t>Favorable</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20" w:type="dxa"/>
            <w:vAlign w:val="bottom"/>
            <w:gridSpan w:val="5"/>
            <w:vMerge w:val="continue"/>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center"/>
              <w:ind w:right="107"/>
              <w:spacing w:after="0"/>
              <w:rPr>
                <w:sz w:val="20"/>
                <w:szCs w:val="20"/>
                <w:color w:val="auto"/>
              </w:rPr>
            </w:pPr>
            <w:r>
              <w:rPr>
                <w:rFonts w:ascii="Times New Roman" w:cs="Times New Roman" w:eastAsia="Times New Roman" w:hAnsi="Times New Roman"/>
                <w:sz w:val="19"/>
                <w:szCs w:val="19"/>
                <w:b w:val="1"/>
                <w:bCs w:val="1"/>
                <w:color w:val="auto"/>
                <w:w w:val="98"/>
              </w:rPr>
              <w:t>(Unfavorable)</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54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w:t>
            </w:r>
          </w:p>
        </w:tc>
        <w:tc>
          <w:tcPr>
            <w:tcW w:w="280" w:type="dxa"/>
            <w:vAlign w:val="bottom"/>
          </w:tcPr>
          <w:p>
            <w:pPr>
              <w:spacing w:after="0"/>
              <w:rPr>
                <w:sz w:val="23"/>
                <w:szCs w:val="23"/>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60" w:type="dxa"/>
            <w:vAlign w:val="bottom"/>
          </w:tcPr>
          <w:p>
            <w:pPr>
              <w:spacing w:after="0"/>
              <w:rPr>
                <w:sz w:val="23"/>
                <w:szCs w:val="23"/>
                <w:color w:val="auto"/>
              </w:rPr>
            </w:pP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220" w:type="dxa"/>
            <w:vAlign w:val="bottom"/>
          </w:tcPr>
          <w:p>
            <w:pPr>
              <w:spacing w:after="0"/>
              <w:rPr>
                <w:sz w:val="23"/>
                <w:szCs w:val="23"/>
                <w:color w:val="auto"/>
              </w:rPr>
            </w:pPr>
          </w:p>
        </w:tc>
        <w:tc>
          <w:tcPr>
            <w:tcW w:w="1520" w:type="dxa"/>
            <w:vAlign w:val="bottom"/>
          </w:tcPr>
          <w:p>
            <w:pPr>
              <w:jc w:val="center"/>
              <w:ind w:right="127"/>
              <w:spacing w:after="0"/>
              <w:rPr>
                <w:sz w:val="20"/>
                <w:szCs w:val="20"/>
                <w:color w:val="auto"/>
              </w:rPr>
            </w:pPr>
            <w:r>
              <w:rPr>
                <w:rFonts w:ascii="Times New Roman" w:cs="Times New Roman" w:eastAsia="Times New Roman" w:hAnsi="Times New Roman"/>
                <w:sz w:val="19"/>
                <w:szCs w:val="19"/>
                <w:b w:val="1"/>
                <w:bCs w:val="1"/>
                <w:color w:val="auto"/>
                <w:w w:val="96"/>
              </w:rPr>
              <w:t>$ Change</w:t>
            </w:r>
          </w:p>
        </w:tc>
        <w:tc>
          <w:tcPr>
            <w:tcW w:w="0" w:type="dxa"/>
            <w:vAlign w:val="bottom"/>
          </w:tcPr>
          <w:p>
            <w:pPr>
              <w:spacing w:after="0"/>
              <w:rPr>
                <w:sz w:val="1"/>
                <w:szCs w:val="1"/>
                <w:color w:val="auto"/>
              </w:rPr>
            </w:pPr>
          </w:p>
        </w:tc>
      </w:tr>
      <w:tr>
        <w:trPr>
          <w:trHeight w:val="247"/>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Revenues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Management/advisory fees</w:t>
            </w:r>
          </w:p>
        </w:tc>
        <w:tc>
          <w:tcPr>
            <w:tcW w:w="28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95,639</w:t>
            </w:r>
          </w:p>
        </w:tc>
        <w:tc>
          <w:tcPr>
            <w:tcW w:w="100" w:type="dxa"/>
            <w:vAlign w:val="bottom"/>
          </w:tcPr>
          <w:p>
            <w:pPr>
              <w:spacing w:after="0"/>
              <w:rPr>
                <w:sz w:val="21"/>
                <w:szCs w:val="21"/>
                <w:color w:val="auto"/>
              </w:rPr>
            </w:pPr>
          </w:p>
        </w:tc>
        <w:tc>
          <w:tcPr>
            <w:tcW w:w="26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w w:val="8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93,253</w:t>
            </w:r>
          </w:p>
        </w:tc>
        <w:tc>
          <w:tcPr>
            <w:tcW w:w="80" w:type="dxa"/>
            <w:vAlign w:val="bottom"/>
          </w:tcPr>
          <w:p>
            <w:pPr>
              <w:spacing w:after="0"/>
              <w:rPr>
                <w:sz w:val="21"/>
                <w:szCs w:val="21"/>
                <w:color w:val="auto"/>
              </w:rPr>
            </w:pPr>
          </w:p>
        </w:tc>
        <w:tc>
          <w:tcPr>
            <w:tcW w:w="22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Incentive fees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216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334</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Distributions from investments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8,464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Other income/fees</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386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(359)</w:t>
            </w:r>
          </w:p>
        </w:tc>
        <w:tc>
          <w:tcPr>
            <w:tcW w:w="0" w:type="dxa"/>
            <w:vAlign w:val="bottom"/>
          </w:tcPr>
          <w:p>
            <w:pPr>
              <w:spacing w:after="0"/>
              <w:rPr>
                <w:sz w:val="1"/>
                <w:szCs w:val="1"/>
                <w:color w:val="auto"/>
              </w:rPr>
            </w:pPr>
          </w:p>
        </w:tc>
      </w:tr>
      <w:tr>
        <w:trPr>
          <w:trHeight w:val="240"/>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111,090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100,265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10,825</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Net income (loss)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12,717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(45,642)</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Interest expense</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9,691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(9,538)</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Income tax expense (benefit)</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(5,928)</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Depreciation &amp;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8,968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6,380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2,588</w:t>
            </w:r>
          </w:p>
        </w:tc>
        <w:tc>
          <w:tcPr>
            <w:tcW w:w="0" w:type="dxa"/>
            <w:vAlign w:val="bottom"/>
          </w:tcPr>
          <w:p>
            <w:pPr>
              <w:spacing w:after="0"/>
              <w:rPr>
                <w:sz w:val="1"/>
                <w:szCs w:val="1"/>
                <w:color w:val="auto"/>
              </w:rPr>
            </w:pPr>
          </w:p>
        </w:tc>
      </w:tr>
      <w:tr>
        <w:trPr>
          <w:trHeight w:val="240"/>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EBITDA Reported</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(30,125)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28,395</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(58,520)</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Stock based compensation (a)</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6,114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Stock based compensation - Legacy (b)</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Transaction expenses (c)</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(3,004)</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Change in fair value on investments and non-recurring realized</w:t>
            </w:r>
          </w:p>
        </w:tc>
        <w:tc>
          <w:tcPr>
            <w:tcW w:w="280" w:type="dxa"/>
            <w:vAlign w:val="bottom"/>
            <w:shd w:val="clear" w:color="auto" w:fill="CCEEFF"/>
          </w:tcPr>
          <w:p>
            <w:pPr>
              <w:spacing w:after="0"/>
              <w:rPr>
                <w:sz w:val="20"/>
                <w:szCs w:val="2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(7,903)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8,388</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gain/losses on sales (d)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Change in fair value of earnout liabilities (e)</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32,347</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Change in fair value of TRA liability (f)</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(6,322)</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6,766</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Organization streamlining cost (g)</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10,928</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Impairment (non-cash) (h)</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2,223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6,227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(4,004)</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Losses on EMI/Carried Interest (non-cash) (i)</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4,232</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color w:val="auto"/>
              </w:rPr>
              <w:t>EMI Adjustments (Interest, Depreciation, Taxes &amp; Amortization) (j)</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984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(675)</w:t>
            </w:r>
          </w:p>
        </w:tc>
        <w:tc>
          <w:tcPr>
            <w:tcW w:w="0" w:type="dxa"/>
            <w:vAlign w:val="bottom"/>
          </w:tcPr>
          <w:p>
            <w:pPr>
              <w:spacing w:after="0"/>
              <w:rPr>
                <w:sz w:val="1"/>
                <w:szCs w:val="1"/>
                <w:color w:val="auto"/>
              </w:rPr>
            </w:pPr>
          </w:p>
        </w:tc>
      </w:tr>
      <w:tr>
        <w:trPr>
          <w:trHeight w:val="247"/>
        </w:trPr>
        <w:tc>
          <w:tcPr>
            <w:tcW w:w="54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Change in fair value of Preferred stock tranche liability (k)</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(1,790)</w:t>
            </w:r>
          </w:p>
        </w:tc>
        <w:tc>
          <w:tcPr>
            <w:tcW w:w="0" w:type="dxa"/>
            <w:vAlign w:val="bottom"/>
          </w:tcPr>
          <w:p>
            <w:pPr>
              <w:spacing w:after="0"/>
              <w:rPr>
                <w:sz w:val="1"/>
                <w:szCs w:val="1"/>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Adjusted EBITDA</w:t>
            </w:r>
          </w:p>
        </w:tc>
        <w:tc>
          <w:tcPr>
            <w:tcW w:w="2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9"/>
                <w:szCs w:val="19"/>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13,144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9"/>
                <w:szCs w:val="19"/>
                <w:color w:val="auto"/>
                <w:w w:val="8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12,285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9"/>
                <w:szCs w:val="19"/>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859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0" w:hanging="293"/>
        <w:spacing w:after="0"/>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non-cash expense related to awards of Class A Common stock (approved post-Business Combination).</w:t>
      </w:r>
    </w:p>
    <w:p>
      <w:pPr>
        <w:spacing w:after="0" w:line="23" w:lineRule="exact"/>
        <w:rPr>
          <w:rFonts w:ascii="Times New Roman" w:cs="Times New Roman" w:eastAsia="Times New Roman" w:hAnsi="Times New Roman"/>
          <w:sz w:val="19"/>
          <w:szCs w:val="19"/>
          <w:color w:val="auto"/>
        </w:rPr>
      </w:pPr>
    </w:p>
    <w:p>
      <w:pPr>
        <w:ind w:left="600" w:hanging="293"/>
        <w:spacing w:after="0" w:line="231" w:lineRule="auto"/>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non-cash expense related to awards of Class A Common stock (approved pre-Business Combination).</w:t>
      </w:r>
    </w:p>
    <w:p>
      <w:pPr>
        <w:jc w:val="both"/>
        <w:ind w:left="620" w:hanging="313"/>
        <w:spacing w:after="0" w:line="244" w:lineRule="auto"/>
        <w:tabs>
          <w:tab w:leader="none" w:pos="61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transaction expenses related to the Business Combination, subsequent acquisitions or divestitures, and issuance of preferred and common stock, including compensation arrangements, legal fees, accounting advisory fees, litigation settlements, technology implementations, consultancy fees, and M&amp;A-related audit fees among others.</w:t>
      </w:r>
    </w:p>
    <w:p>
      <w:pPr>
        <w:spacing w:after="0" w:line="1"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unrealized gains/losses related to Investments held at fair value.</w:t>
      </w:r>
    </w:p>
    <w:p>
      <w:pPr>
        <w:spacing w:after="0" w:line="4"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fair value of the earnout liabilities.</w:t>
      </w:r>
    </w:p>
    <w:p>
      <w:pPr>
        <w:spacing w:after="0" w:line="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unrealized gains/losses related primarily to the TRA liability.</w:t>
      </w:r>
    </w:p>
    <w:p>
      <w:pPr>
        <w:spacing w:after="0" w:line="10" w:lineRule="exact"/>
        <w:rPr>
          <w:rFonts w:ascii="Times New Roman" w:cs="Times New Roman" w:eastAsia="Times New Roman" w:hAnsi="Times New Roman"/>
          <w:sz w:val="19"/>
          <w:szCs w:val="19"/>
          <w:color w:val="auto"/>
        </w:rPr>
      </w:pPr>
    </w:p>
    <w:p>
      <w:pPr>
        <w:ind w:left="620" w:hanging="313"/>
        <w:spacing w:after="0" w:line="244" w:lineRule="auto"/>
        <w:tabs>
          <w:tab w:leader="none" w:pos="60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cost to implement organization change to derive cost synergy, including consulting fees, severance charges, technology implementation costs, and bad debt expense related to strategic portfolio realignment.</w:t>
      </w:r>
    </w:p>
    <w:p>
      <w:pPr>
        <w:spacing w:after="0" w:line="1"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impairment of carried interest/equity method investments.</w:t>
      </w:r>
    </w:p>
    <w:p>
      <w:pPr>
        <w:spacing w:after="0" w:line="4" w:lineRule="exact"/>
        <w:rPr>
          <w:rFonts w:ascii="Times New Roman" w:cs="Times New Roman" w:eastAsia="Times New Roman" w:hAnsi="Times New Roman"/>
          <w:sz w:val="19"/>
          <w:szCs w:val="19"/>
          <w:color w:val="auto"/>
        </w:rPr>
      </w:pPr>
    </w:p>
    <w:p>
      <w:pPr>
        <w:ind w:left="620" w:hanging="313"/>
        <w:spacing w:after="0"/>
        <w:tabs>
          <w:tab w:leader="none" w:pos="62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amortization of the step-up in equity method investments.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86" w:name="page87"/>
    <w:bookmarkEnd w:id="86"/>
    <w:p>
      <w:pPr>
        <w:ind w:left="620" w:hanging="313"/>
        <w:spacing w:after="0"/>
        <w:tabs>
          <w:tab w:leader="none" w:pos="62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reported interest, depreciation, amortization, and tax adjustments of the Company’s equity method investments.</w:t>
      </w:r>
    </w:p>
    <w:p>
      <w:pPr>
        <w:spacing w:after="0" w:line="23" w:lineRule="exact"/>
        <w:rPr>
          <w:rFonts w:ascii="Times New Roman" w:cs="Times New Roman" w:eastAsia="Times New Roman" w:hAnsi="Times New Roman"/>
          <w:sz w:val="19"/>
          <w:szCs w:val="19"/>
          <w:color w:val="auto"/>
        </w:rPr>
      </w:pPr>
    </w:p>
    <w:p>
      <w:pPr>
        <w:ind w:left="640" w:hanging="333"/>
        <w:spacing w:after="0"/>
        <w:tabs>
          <w:tab w:leader="none" w:pos="64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fair value of Preferred stock tranche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Reconciliation of Consolidated US GAAP Financial Measures to Certain Non-US GAAP Measures</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use Adjusted Net Income and Adjusted EBITDA as non-US GAAP measures to assess and track our performance. Adjusted Net Income and Adjusted EBITDA as presented in this Quarterly Report are supplemental measures of our performance that are not required by, or presented in accordance with, US GAAP.</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following table presents the reconciliation of net income as reported in our Condensed Consolidated Statement of Operations to Adjusted Net Income and Adjusted EBITDA for the periods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International Real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80" w:type="dxa"/>
            <w:vAlign w:val="bottom"/>
          </w:tcPr>
          <w:p>
            <w:pPr>
              <w:spacing w:after="0"/>
              <w:rPr>
                <w:sz w:val="13"/>
                <w:szCs w:val="13"/>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International Real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3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4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Solutions</w:t>
            </w:r>
          </w:p>
        </w:tc>
        <w:tc>
          <w:tcPr>
            <w:tcW w:w="8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Adjusted Net Income and Adjusted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(9,393)</w:t>
            </w:r>
          </w:p>
        </w:tc>
        <w:tc>
          <w:tcPr>
            <w:tcW w:w="10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(34,752)</w:t>
            </w:r>
          </w:p>
        </w:tc>
        <w:tc>
          <w:tcPr>
            <w:tcW w:w="2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13,581</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(11,918)</w:t>
            </w:r>
          </w:p>
        </w:tc>
        <w:tc>
          <w:tcPr>
            <w:tcW w:w="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based compensation (a)</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180"/>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 - Legacy (b)</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Transaction expenses (c)</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0" w:type="dxa"/>
            <w:vAlign w:val="bottom"/>
          </w:tcPr>
          <w:p>
            <w:pPr>
              <w:spacing w:after="0"/>
              <w:rPr>
                <w:sz w:val="1"/>
                <w:szCs w:val="1"/>
                <w:color w:val="auto"/>
              </w:rPr>
            </w:pPr>
          </w:p>
        </w:tc>
      </w:tr>
      <w:tr>
        <w:trPr>
          <w:trHeight w:val="171"/>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in fair value of (gains)/losses 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 (d)</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Changes in fair value of (gains)/losses on</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investments and non-recurring realized</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0" w:type="dxa"/>
            <w:vAlign w:val="bottom"/>
          </w:tcPr>
          <w:p>
            <w:pPr>
              <w:spacing w:after="0"/>
              <w:rPr>
                <w:sz w:val="1"/>
                <w:szCs w:val="1"/>
                <w:color w:val="auto"/>
              </w:rPr>
            </w:pPr>
          </w:p>
        </w:tc>
      </w:tr>
      <w:tr>
        <w:trPr>
          <w:trHeight w:val="179"/>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gain/losses on sales (e)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9"/>
              </w:rPr>
              <w:t>Change in fair value of earnout liabilities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Organization streamlining cost (g)</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0" w:type="dxa"/>
            <w:vAlign w:val="bottom"/>
          </w:tcPr>
          <w:p>
            <w:pPr>
              <w:spacing w:after="0"/>
              <w:rPr>
                <w:sz w:val="1"/>
                <w:szCs w:val="1"/>
                <w:color w:val="auto"/>
              </w:rPr>
            </w:pPr>
          </w:p>
        </w:tc>
      </w:tr>
      <w:tr>
        <w:trPr>
          <w:trHeight w:val="180"/>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(non-cash) (h)</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(Gains)/Losses on EMI/Carried Interest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(i)</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0" w:type="dxa"/>
            <w:vAlign w:val="bottom"/>
          </w:tcPr>
          <w:p>
            <w:pPr>
              <w:spacing w:after="0"/>
              <w:rPr>
                <w:sz w:val="1"/>
                <w:szCs w:val="1"/>
                <w:color w:val="auto"/>
              </w:rPr>
            </w:pPr>
          </w:p>
        </w:tc>
      </w:tr>
      <w:tr>
        <w:trPr>
          <w:trHeight w:val="171"/>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EMI Adjustments (Interest, Depreciation,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 &amp; Amortization) (j)</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Preferred stock</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tranche liability (k)</w:t>
            </w: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income (loss) before taxes</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9,236</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(8,907)</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10,081</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Adjusted income tax (expense) benefit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0" w:type="dxa"/>
            <w:vAlign w:val="bottom"/>
          </w:tcPr>
          <w:p>
            <w:pPr>
              <w:spacing w:after="0"/>
              <w:rPr>
                <w:sz w:val="1"/>
                <w:szCs w:val="1"/>
                <w:color w:val="auto"/>
              </w:rPr>
            </w:pPr>
          </w:p>
        </w:tc>
      </w:tr>
      <w:tr>
        <w:trPr>
          <w:trHeight w:val="180"/>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tax adjustments</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25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0" w:type="dxa"/>
            <w:vAlign w:val="bottom"/>
          </w:tcPr>
          <w:p>
            <w:pPr>
              <w:spacing w:after="0"/>
              <w:rPr>
                <w:sz w:val="1"/>
                <w:szCs w:val="1"/>
                <w:color w:val="auto"/>
              </w:rPr>
            </w:pPr>
          </w:p>
        </w:tc>
      </w:tr>
      <w:tr>
        <w:trPr>
          <w:trHeight w:val="36"/>
        </w:trPr>
        <w:tc>
          <w:tcPr>
            <w:tcW w:w="25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5,467</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9"/>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International Real</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5"/>
              </w:rPr>
              <w:t>Wealth &amp;</w:t>
            </w: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International Real</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13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Capital</w:t>
            </w:r>
          </w:p>
        </w:tc>
        <w:tc>
          <w:tcPr>
            <w:tcW w:w="13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Solutions</w:t>
            </w:r>
          </w:p>
        </w:tc>
        <w:tc>
          <w:tcPr>
            <w:tcW w:w="260" w:type="dxa"/>
            <w:vAlign w:val="bottom"/>
          </w:tcPr>
          <w:p>
            <w:pPr>
              <w:spacing w:after="0"/>
              <w:rPr>
                <w:sz w:val="16"/>
                <w:szCs w:val="16"/>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Estate</w:t>
            </w:r>
          </w:p>
        </w:tc>
        <w:tc>
          <w:tcPr>
            <w:tcW w:w="14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5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Adjusted Net Income and Adjusted</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before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(10,894)</w:t>
            </w:r>
          </w:p>
        </w:tc>
        <w:tc>
          <w:tcPr>
            <w:tcW w:w="80" w:type="dxa"/>
            <w:vAlign w:val="bottom"/>
          </w:tcPr>
          <w:p>
            <w:pPr>
              <w:spacing w:after="0"/>
              <w:rPr>
                <w:sz w:val="15"/>
                <w:szCs w:val="15"/>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(39,246)</w:t>
            </w:r>
          </w:p>
        </w:tc>
        <w:tc>
          <w:tcPr>
            <w:tcW w:w="1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w:t>
            </w:r>
          </w:p>
        </w:tc>
        <w:tc>
          <w:tcPr>
            <w:tcW w:w="100" w:type="dxa"/>
            <w:vAlign w:val="bottom"/>
          </w:tcPr>
          <w:p>
            <w:pPr>
              <w:spacing w:after="0"/>
              <w:rPr>
                <w:sz w:val="15"/>
                <w:szCs w:val="15"/>
                <w:color w:val="auto"/>
              </w:rPr>
            </w:pPr>
          </w:p>
        </w:tc>
        <w:tc>
          <w:tcPr>
            <w:tcW w:w="2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Stock based compensation (a)</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10,089</w:t>
            </w:r>
          </w:p>
        </w:tc>
        <w:tc>
          <w:tcPr>
            <w:tcW w:w="0" w:type="dxa"/>
            <w:vAlign w:val="bottom"/>
          </w:tcPr>
          <w:p>
            <w:pPr>
              <w:spacing w:after="0"/>
              <w:rPr>
                <w:sz w:val="1"/>
                <w:szCs w:val="1"/>
                <w:color w:val="auto"/>
              </w:rPr>
            </w:pPr>
          </w:p>
        </w:tc>
      </w:tr>
      <w:tr>
        <w:trPr>
          <w:trHeight w:val="180"/>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 based compensation - Legacy (b)</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Transaction expenses (c)</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17,197</w:t>
            </w:r>
          </w:p>
        </w:tc>
        <w:tc>
          <w:tcPr>
            <w:tcW w:w="0" w:type="dxa"/>
            <w:vAlign w:val="bottom"/>
          </w:tcPr>
          <w:p>
            <w:pPr>
              <w:spacing w:after="0"/>
              <w:rPr>
                <w:sz w:val="1"/>
                <w:szCs w:val="1"/>
                <w:color w:val="auto"/>
              </w:rPr>
            </w:pPr>
          </w:p>
        </w:tc>
      </w:tr>
      <w:tr>
        <w:trPr>
          <w:trHeight w:val="171"/>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in fair value of (gains)/losses 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TRA (d)</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Changes in fair value of (gains)/losses on</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investments and non-recurring realized</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0" w:type="dxa"/>
            <w:vAlign w:val="bottom"/>
          </w:tcPr>
          <w:p>
            <w:pPr>
              <w:spacing w:after="0"/>
              <w:rPr>
                <w:sz w:val="1"/>
                <w:szCs w:val="1"/>
                <w:color w:val="auto"/>
              </w:rPr>
            </w:pPr>
          </w:p>
        </w:tc>
      </w:tr>
      <w:tr>
        <w:trPr>
          <w:trHeight w:val="179"/>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gain/losses on sales (e)</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(37,545)</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Organization streamlining cost (g)</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5,006</w:t>
            </w:r>
          </w:p>
        </w:tc>
        <w:tc>
          <w:tcPr>
            <w:tcW w:w="0" w:type="dxa"/>
            <w:vAlign w:val="bottom"/>
          </w:tcPr>
          <w:p>
            <w:pPr>
              <w:spacing w:after="0"/>
              <w:rPr>
                <w:sz w:val="1"/>
                <w:szCs w:val="1"/>
                <w:color w:val="auto"/>
              </w:rPr>
            </w:pPr>
          </w:p>
        </w:tc>
      </w:tr>
      <w:tr>
        <w:trPr>
          <w:trHeight w:val="180"/>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(non-cash) (h)</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(Gains)/Losses on EMI/Carried Interest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(non-cash) (i)</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0" w:type="dxa"/>
            <w:vAlign w:val="bottom"/>
          </w:tcPr>
          <w:p>
            <w:pPr>
              <w:spacing w:after="0"/>
              <w:rPr>
                <w:sz w:val="1"/>
                <w:szCs w:val="1"/>
                <w:color w:val="auto"/>
              </w:rPr>
            </w:pPr>
          </w:p>
        </w:tc>
      </w:tr>
      <w:tr>
        <w:trPr>
          <w:trHeight w:val="171"/>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EMI Adjustments (Interest, Depreciation,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Taxes &amp; Amortization) (j)</w:t>
            </w:r>
          </w:p>
        </w:tc>
        <w:tc>
          <w:tcPr>
            <w:tcW w:w="1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 of Preferred stock</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tranche liability (k)</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income (loss) before taxes</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24,355</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(6,739)</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(16,260)</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Adjusted income tax (expense) benefit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0" w:type="dxa"/>
            <w:vAlign w:val="bottom"/>
          </w:tcPr>
          <w:p>
            <w:pPr>
              <w:spacing w:after="0"/>
              <w:rPr>
                <w:sz w:val="1"/>
                <w:szCs w:val="1"/>
                <w:color w:val="auto"/>
              </w:rPr>
            </w:pPr>
          </w:p>
        </w:tc>
      </w:tr>
      <w:tr>
        <w:trPr>
          <w:trHeight w:val="173"/>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Income</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16,886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(5,857)</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(13,436)</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0" w:type="dxa"/>
            <w:vAlign w:val="bottom"/>
          </w:tcPr>
          <w:p>
            <w:pPr>
              <w:spacing w:after="0"/>
              <w:rPr>
                <w:sz w:val="1"/>
                <w:szCs w:val="1"/>
                <w:color w:val="auto"/>
              </w:rPr>
            </w:pPr>
          </w:p>
        </w:tc>
      </w:tr>
      <w:tr>
        <w:trPr>
          <w:trHeight w:val="180"/>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income tax adjustments</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80"/>
        </w:trPr>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6,380</w:t>
            </w:r>
          </w:p>
        </w:tc>
        <w:tc>
          <w:tcPr>
            <w:tcW w:w="0" w:type="dxa"/>
            <w:vAlign w:val="bottom"/>
          </w:tcPr>
          <w:p>
            <w:pPr>
              <w:spacing w:after="0"/>
              <w:rPr>
                <w:sz w:val="1"/>
                <w:szCs w:val="1"/>
                <w:color w:val="auto"/>
              </w:rPr>
            </w:pPr>
          </w:p>
        </w:tc>
      </w:tr>
      <w:tr>
        <w:trPr>
          <w:trHeight w:val="36"/>
        </w:trPr>
        <w:tc>
          <w:tcPr>
            <w:tcW w:w="2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non-cash expense related to awards of Class A Common stock (approved post-Business Combination).</w:t>
      </w:r>
    </w:p>
    <w:p>
      <w:pPr>
        <w:spacing w:after="0" w:line="2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non-cash expense related to awards of Class A Common stock (approved pre-Business Combination).</w:t>
      </w:r>
    </w:p>
    <w:p>
      <w:pPr>
        <w:spacing w:after="0" w:line="10" w:lineRule="exact"/>
        <w:rPr>
          <w:rFonts w:ascii="Times New Roman" w:cs="Times New Roman" w:eastAsia="Times New Roman" w:hAnsi="Times New Roman"/>
          <w:sz w:val="19"/>
          <w:szCs w:val="19"/>
          <w:color w:val="auto"/>
        </w:rPr>
      </w:pPr>
    </w:p>
    <w:p>
      <w:pPr>
        <w:jc w:val="both"/>
        <w:ind w:left="620" w:hanging="313"/>
        <w:spacing w:after="0" w:line="244" w:lineRule="auto"/>
        <w:tabs>
          <w:tab w:leader="none" w:pos="61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transaction expenses related to the Business Combination, subsequent acquisitions or divestitures, and issuance of preferred and common stock, including compensation arrangements, legal fees, accounting advisory fees, technology implementation costs, litigation settlements, and M&amp;A-related audit fees among others.</w:t>
      </w:r>
    </w:p>
    <w:p>
      <w:pPr>
        <w:spacing w:after="0" w:line="2"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unrealized gains/losses related primarily to the TRA liability.</w:t>
      </w:r>
    </w:p>
    <w:p>
      <w:pPr>
        <w:spacing w:after="0" w:line="3"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unrealized gains/losses related to Investments held at fair value.</w:t>
      </w:r>
    </w:p>
    <w:p>
      <w:pPr>
        <w:spacing w:after="0" w:line="4"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change in fair value of the earnout liabilities.</w:t>
      </w:r>
    </w:p>
    <w:p>
      <w:pPr>
        <w:spacing w:after="0" w:line="3" w:lineRule="exact"/>
        <w:rPr>
          <w:rFonts w:ascii="Times New Roman" w:cs="Times New Roman" w:eastAsia="Times New Roman" w:hAnsi="Times New Roman"/>
          <w:sz w:val="19"/>
          <w:szCs w:val="19"/>
          <w:color w:val="auto"/>
        </w:rPr>
      </w:pPr>
    </w:p>
    <w:p>
      <w:pPr>
        <w:ind w:left="620" w:hanging="313"/>
        <w:spacing w:after="0" w:line="248" w:lineRule="auto"/>
        <w:tabs>
          <w:tab w:leader="none" w:pos="60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cost to implement organization change to derive cost synergy, including consulting fees, severance charges, technology implementation costs, and bad debt expense related to strategic portfolio realignment.</w:t>
      </w:r>
    </w:p>
    <w:p>
      <w:pPr>
        <w:spacing w:after="0" w:line="1" w:lineRule="exact"/>
        <w:rPr>
          <w:rFonts w:ascii="Times New Roman" w:cs="Times New Roman" w:eastAsia="Times New Roman" w:hAnsi="Times New Roman"/>
          <w:sz w:val="19"/>
          <w:szCs w:val="19"/>
          <w:color w:val="auto"/>
        </w:rPr>
      </w:pPr>
    </w:p>
    <w:p>
      <w:pPr>
        <w:ind w:left="600" w:hanging="293"/>
        <w:spacing w:after="0"/>
        <w:tabs>
          <w:tab w:leader="none" w:pos="6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impairment of carried interest/equity method investments.</w:t>
      </w:r>
    </w:p>
    <w:p>
      <w:pPr>
        <w:spacing w:after="0" w:line="3" w:lineRule="exact"/>
        <w:rPr>
          <w:rFonts w:ascii="Times New Roman" w:cs="Times New Roman" w:eastAsia="Times New Roman" w:hAnsi="Times New Roman"/>
          <w:sz w:val="19"/>
          <w:szCs w:val="19"/>
          <w:color w:val="auto"/>
        </w:rPr>
      </w:pPr>
    </w:p>
    <w:p>
      <w:pPr>
        <w:ind w:left="620" w:hanging="313"/>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the amortization of the step-up in equity method investments.</w:t>
      </w:r>
    </w:p>
    <w:p>
      <w:pPr>
        <w:spacing w:after="0" w:line="4" w:lineRule="exact"/>
        <w:rPr>
          <w:rFonts w:ascii="Times New Roman" w:cs="Times New Roman" w:eastAsia="Times New Roman" w:hAnsi="Times New Roman"/>
          <w:sz w:val="19"/>
          <w:szCs w:val="19"/>
          <w:color w:val="auto"/>
        </w:rPr>
      </w:pPr>
    </w:p>
    <w:p>
      <w:pPr>
        <w:ind w:left="620" w:hanging="313"/>
        <w:spacing w:after="0"/>
        <w:tabs>
          <w:tab w:leader="none" w:pos="62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Add-back of reported interest, depreciation, amortization, and tax adjustments of the Company’s equity method investments.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9"/>
          <w:szCs w:val="19"/>
          <w:color w:val="auto"/>
        </w:rPr>
        <w:t>(k)  Add-back of the change in fair value of Preferred stock tranche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Metrics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monitor certain operating metrics that are common to the wealth and asset management industry, which are discussed below.</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480" w:type="dxa"/>
            <w:vAlign w:val="bottom"/>
            <w:tcBorders>
              <w:top w:val="single" w:sz="8" w:color="auto"/>
              <w:left w:val="single" w:sz="8" w:color="auto"/>
              <w:bottom w:val="single" w:sz="8" w:color="2F5496"/>
            </w:tcBorders>
            <w:shd w:val="clear" w:color="auto" w:fill="2F5496"/>
          </w:tcPr>
          <w:p>
            <w:pPr>
              <w:spacing w:after="0"/>
              <w:rPr>
                <w:sz w:val="23"/>
                <w:szCs w:val="23"/>
                <w:color w:val="auto"/>
              </w:rPr>
            </w:pPr>
          </w:p>
        </w:tc>
        <w:tc>
          <w:tcPr>
            <w:tcW w:w="5180" w:type="dxa"/>
            <w:vAlign w:val="bottom"/>
            <w:tcBorders>
              <w:top w:val="single" w:sz="8" w:color="auto"/>
              <w:bottom w:val="single" w:sz="8" w:color="2F5496"/>
              <w:right w:val="single" w:sz="8" w:color="auto"/>
            </w:tcBorders>
            <w:gridSpan w:val="3"/>
            <w:shd w:val="clear" w:color="auto" w:fill="2F5496"/>
          </w:tcPr>
          <w:p>
            <w:pPr>
              <w:ind w:left="360"/>
              <w:spacing w:after="0"/>
              <w:rPr>
                <w:sz w:val="20"/>
                <w:szCs w:val="20"/>
                <w:color w:val="auto"/>
              </w:rPr>
            </w:pPr>
            <w:r>
              <w:rPr>
                <w:rFonts w:ascii="Times New Roman" w:cs="Times New Roman" w:eastAsia="Times New Roman" w:hAnsi="Times New Roman"/>
                <w:sz w:val="17"/>
                <w:szCs w:val="17"/>
                <w:b w:val="1"/>
                <w:bCs w:val="1"/>
                <w:color w:val="FFFFFF"/>
              </w:rPr>
              <w:t>AlTi Global, Inc.</w:t>
            </w:r>
          </w:p>
        </w:tc>
      </w:tr>
      <w:tr>
        <w:trPr>
          <w:trHeight w:val="252"/>
        </w:trPr>
        <w:tc>
          <w:tcPr>
            <w:tcW w:w="3480" w:type="dxa"/>
            <w:vAlign w:val="bottom"/>
            <w:tcBorders>
              <w:top w:val="single" w:sz="8" w:color="auto"/>
              <w:left w:val="single" w:sz="8" w:color="auto"/>
              <w:bottom w:val="single" w:sz="8" w:color="2F5496"/>
            </w:tcBorders>
            <w:shd w:val="clear" w:color="auto" w:fill="2F5496"/>
          </w:tcPr>
          <w:p>
            <w:pPr>
              <w:spacing w:after="0"/>
              <w:rPr>
                <w:sz w:val="21"/>
                <w:szCs w:val="21"/>
                <w:color w:val="auto"/>
              </w:rPr>
            </w:pPr>
          </w:p>
        </w:tc>
        <w:tc>
          <w:tcPr>
            <w:tcW w:w="820" w:type="dxa"/>
            <w:vAlign w:val="bottom"/>
            <w:tcBorders>
              <w:top w:val="single" w:sz="8" w:color="auto"/>
              <w:bottom w:val="single" w:sz="8" w:color="2F5496"/>
              <w:right w:val="single" w:sz="8" w:color="2F5496"/>
            </w:tcBorders>
            <w:shd w:val="clear" w:color="auto" w:fill="2F5496"/>
          </w:tcPr>
          <w:p>
            <w:pPr>
              <w:jc w:val="right"/>
              <w:spacing w:after="0"/>
              <w:rPr>
                <w:sz w:val="20"/>
                <w:szCs w:val="20"/>
                <w:color w:val="auto"/>
              </w:rPr>
            </w:pPr>
            <w:r>
              <w:rPr>
                <w:rFonts w:ascii="Times New Roman" w:cs="Times New Roman" w:eastAsia="Times New Roman" w:hAnsi="Times New Roman"/>
                <w:sz w:val="17"/>
                <w:szCs w:val="17"/>
                <w:b w:val="1"/>
                <w:bCs w:val="1"/>
                <w:color w:val="FFFFFF"/>
              </w:rPr>
              <w:t>AUM:</w:t>
            </w:r>
          </w:p>
        </w:tc>
        <w:tc>
          <w:tcPr>
            <w:tcW w:w="80" w:type="dxa"/>
            <w:vAlign w:val="bottom"/>
            <w:tcBorders>
              <w:top w:val="single" w:sz="8" w:color="auto"/>
              <w:bottom w:val="single" w:sz="8" w:color="2F5496"/>
              <w:right w:val="single" w:sz="8" w:color="2F5496"/>
            </w:tcBorders>
            <w:shd w:val="clear" w:color="auto" w:fill="2F5496"/>
          </w:tcPr>
          <w:p>
            <w:pPr>
              <w:spacing w:after="0"/>
              <w:rPr>
                <w:sz w:val="21"/>
                <w:szCs w:val="21"/>
                <w:color w:val="auto"/>
              </w:rPr>
            </w:pPr>
          </w:p>
        </w:tc>
        <w:tc>
          <w:tcPr>
            <w:tcW w:w="4280" w:type="dxa"/>
            <w:vAlign w:val="bottom"/>
            <w:tcBorders>
              <w:top w:val="single" w:sz="8" w:color="auto"/>
              <w:bottom w:val="single" w:sz="8" w:color="2F5496"/>
              <w:right w:val="single" w:sz="8" w:color="auto"/>
            </w:tcBorders>
            <w:shd w:val="clear" w:color="auto" w:fill="2F5496"/>
          </w:tcPr>
          <w:p>
            <w:pPr>
              <w:spacing w:after="0"/>
              <w:rPr>
                <w:sz w:val="20"/>
                <w:szCs w:val="20"/>
                <w:color w:val="auto"/>
              </w:rPr>
            </w:pPr>
            <w:r>
              <w:rPr>
                <w:rFonts w:ascii="Times New Roman" w:cs="Times New Roman" w:eastAsia="Times New Roman" w:hAnsi="Times New Roman"/>
                <w:sz w:val="17"/>
                <w:szCs w:val="17"/>
                <w:b w:val="1"/>
                <w:bCs w:val="1"/>
                <w:color w:val="FFFFFF"/>
              </w:rPr>
              <w:t>$47.6 billion</w:t>
            </w:r>
          </w:p>
        </w:tc>
      </w:tr>
      <w:tr>
        <w:trPr>
          <w:trHeight w:val="252"/>
        </w:trPr>
        <w:tc>
          <w:tcPr>
            <w:tcW w:w="3480" w:type="dxa"/>
            <w:vAlign w:val="bottom"/>
            <w:tcBorders>
              <w:top w:val="single" w:sz="8" w:color="auto"/>
              <w:left w:val="single" w:sz="8" w:color="auto"/>
              <w:bottom w:val="single" w:sz="8" w:color="2F5496"/>
            </w:tcBorders>
            <w:shd w:val="clear" w:color="auto" w:fill="2F5496"/>
          </w:tcPr>
          <w:p>
            <w:pPr>
              <w:spacing w:after="0"/>
              <w:rPr>
                <w:sz w:val="21"/>
                <w:szCs w:val="21"/>
                <w:color w:val="auto"/>
              </w:rPr>
            </w:pPr>
          </w:p>
        </w:tc>
        <w:tc>
          <w:tcPr>
            <w:tcW w:w="820" w:type="dxa"/>
            <w:vAlign w:val="bottom"/>
            <w:tcBorders>
              <w:top w:val="single" w:sz="8" w:color="auto"/>
              <w:bottom w:val="single" w:sz="8" w:color="2F5496"/>
              <w:right w:val="single" w:sz="8" w:color="2F5496"/>
            </w:tcBorders>
            <w:shd w:val="clear" w:color="auto" w:fill="2F5496"/>
          </w:tcPr>
          <w:p>
            <w:pPr>
              <w:jc w:val="right"/>
              <w:spacing w:after="0"/>
              <w:rPr>
                <w:sz w:val="20"/>
                <w:szCs w:val="20"/>
                <w:color w:val="auto"/>
              </w:rPr>
            </w:pPr>
            <w:r>
              <w:rPr>
                <w:rFonts w:ascii="Times New Roman" w:cs="Times New Roman" w:eastAsia="Times New Roman" w:hAnsi="Times New Roman"/>
                <w:sz w:val="17"/>
                <w:szCs w:val="17"/>
                <w:b w:val="1"/>
                <w:bCs w:val="1"/>
                <w:color w:val="FFFFFF"/>
              </w:rPr>
              <w:t>AUA:</w:t>
            </w:r>
          </w:p>
        </w:tc>
        <w:tc>
          <w:tcPr>
            <w:tcW w:w="80" w:type="dxa"/>
            <w:vAlign w:val="bottom"/>
            <w:tcBorders>
              <w:top w:val="single" w:sz="8" w:color="auto"/>
              <w:bottom w:val="single" w:sz="8" w:color="2F5496"/>
              <w:right w:val="single" w:sz="8" w:color="2F5496"/>
            </w:tcBorders>
            <w:shd w:val="clear" w:color="auto" w:fill="2F5496"/>
          </w:tcPr>
          <w:p>
            <w:pPr>
              <w:spacing w:after="0"/>
              <w:rPr>
                <w:sz w:val="21"/>
                <w:szCs w:val="21"/>
                <w:color w:val="auto"/>
              </w:rPr>
            </w:pPr>
          </w:p>
        </w:tc>
        <w:tc>
          <w:tcPr>
            <w:tcW w:w="4280" w:type="dxa"/>
            <w:vAlign w:val="bottom"/>
            <w:tcBorders>
              <w:top w:val="single" w:sz="8" w:color="auto"/>
              <w:bottom w:val="single" w:sz="8" w:color="2F5496"/>
              <w:right w:val="single" w:sz="8" w:color="auto"/>
            </w:tcBorders>
            <w:shd w:val="clear" w:color="auto" w:fill="2F5496"/>
          </w:tcPr>
          <w:p>
            <w:pPr>
              <w:spacing w:after="0"/>
              <w:rPr>
                <w:sz w:val="20"/>
                <w:szCs w:val="20"/>
                <w:color w:val="auto"/>
              </w:rPr>
            </w:pPr>
            <w:r>
              <w:rPr>
                <w:rFonts w:ascii="Times New Roman" w:cs="Times New Roman" w:eastAsia="Times New Roman" w:hAnsi="Times New Roman"/>
                <w:sz w:val="17"/>
                <w:szCs w:val="17"/>
                <w:b w:val="1"/>
                <w:bCs w:val="1"/>
                <w:color w:val="FFFFFF"/>
              </w:rPr>
              <w:t>$97.2 billion</w:t>
            </w:r>
          </w:p>
        </w:tc>
      </w:tr>
      <w:tr>
        <w:trPr>
          <w:trHeight w:val="235"/>
        </w:trPr>
        <w:tc>
          <w:tcPr>
            <w:tcW w:w="34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4280" w:type="dxa"/>
            <w:vAlign w:val="bottom"/>
            <w:tcBorders>
              <w:top w:val="single" w:sz="8" w:color="auto"/>
              <w:bottom w:val="single" w:sz="8" w:color="auto"/>
            </w:tcBorders>
          </w:tcPr>
          <w:p>
            <w:pPr>
              <w:spacing w:after="0"/>
              <w:rPr>
                <w:sz w:val="20"/>
                <w:szCs w:val="20"/>
                <w:color w:val="auto"/>
              </w:rPr>
            </w:pPr>
          </w:p>
        </w:tc>
      </w:tr>
      <w:tr>
        <w:trPr>
          <w:trHeight w:val="202"/>
        </w:trPr>
        <w:tc>
          <w:tcPr>
            <w:tcW w:w="3480" w:type="dxa"/>
            <w:vAlign w:val="bottom"/>
            <w:tcBorders>
              <w:left w:val="single" w:sz="8" w:color="auto"/>
            </w:tcBorders>
            <w:shd w:val="clear" w:color="auto" w:fill="7B7B7B"/>
          </w:tcPr>
          <w:p>
            <w:pPr>
              <w:jc w:val="center"/>
              <w:ind w:left="735"/>
              <w:spacing w:after="0"/>
              <w:rPr>
                <w:sz w:val="20"/>
                <w:szCs w:val="20"/>
                <w:color w:val="auto"/>
              </w:rPr>
            </w:pPr>
            <w:r>
              <w:rPr>
                <w:rFonts w:ascii="Times New Roman" w:cs="Times New Roman" w:eastAsia="Times New Roman" w:hAnsi="Times New Roman"/>
                <w:sz w:val="17"/>
                <w:szCs w:val="17"/>
                <w:b w:val="1"/>
                <w:bCs w:val="1"/>
                <w:color w:val="FFFFFF"/>
                <w:w w:val="98"/>
              </w:rPr>
              <w:t>Wealth &amp; Capital Solutions</w:t>
            </w:r>
          </w:p>
        </w:tc>
        <w:tc>
          <w:tcPr>
            <w:tcW w:w="820" w:type="dxa"/>
            <w:vAlign w:val="bottom"/>
            <w:tcBorders>
              <w:right w:val="single" w:sz="8" w:color="auto"/>
            </w:tcBorders>
            <w:shd w:val="clear" w:color="auto" w:fill="7B7B7B"/>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28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International Real Estate</w:t>
            </w:r>
          </w:p>
        </w:tc>
      </w:tr>
      <w:tr>
        <w:trPr>
          <w:trHeight w:val="204"/>
        </w:trPr>
        <w:tc>
          <w:tcPr>
            <w:tcW w:w="3480" w:type="dxa"/>
            <w:vAlign w:val="bottom"/>
            <w:tcBorders>
              <w:left w:val="single" w:sz="8" w:color="auto"/>
            </w:tcBorders>
            <w:shd w:val="clear" w:color="auto" w:fill="7B7B7B"/>
          </w:tcPr>
          <w:p>
            <w:pPr>
              <w:jc w:val="center"/>
              <w:ind w:left="735"/>
              <w:spacing w:after="0"/>
              <w:rPr>
                <w:sz w:val="20"/>
                <w:szCs w:val="20"/>
                <w:color w:val="auto"/>
              </w:rPr>
            </w:pPr>
            <w:r>
              <w:rPr>
                <w:rFonts w:ascii="Times New Roman" w:cs="Times New Roman" w:eastAsia="Times New Roman" w:hAnsi="Times New Roman"/>
                <w:sz w:val="17"/>
                <w:szCs w:val="17"/>
                <w:b w:val="1"/>
                <w:bCs w:val="1"/>
                <w:color w:val="FFFFFF"/>
                <w:w w:val="99"/>
              </w:rPr>
              <w:t>AUM: $47.3 billion</w:t>
            </w:r>
          </w:p>
        </w:tc>
        <w:tc>
          <w:tcPr>
            <w:tcW w:w="820" w:type="dxa"/>
            <w:vAlign w:val="bottom"/>
            <w:tcBorders>
              <w:right w:val="single" w:sz="8" w:color="auto"/>
            </w:tcBorders>
            <w:shd w:val="clear" w:color="auto" w:fill="7B7B7B"/>
          </w:tcPr>
          <w:p>
            <w:pPr>
              <w:spacing w:after="0"/>
              <w:rPr>
                <w:sz w:val="17"/>
                <w:szCs w:val="17"/>
                <w:color w:val="auto"/>
              </w:rPr>
            </w:pPr>
          </w:p>
        </w:tc>
        <w:tc>
          <w:tcPr>
            <w:tcW w:w="80" w:type="dxa"/>
            <w:vAlign w:val="bottom"/>
            <w:tcBorders>
              <w:right w:val="single" w:sz="8" w:color="auto"/>
            </w:tcBorders>
            <w:shd w:val="clear" w:color="auto" w:fill="CCEEFF"/>
          </w:tcPr>
          <w:p>
            <w:pPr>
              <w:spacing w:after="0"/>
              <w:rPr>
                <w:sz w:val="17"/>
                <w:szCs w:val="17"/>
                <w:color w:val="auto"/>
              </w:rPr>
            </w:pPr>
          </w:p>
        </w:tc>
        <w:tc>
          <w:tcPr>
            <w:tcW w:w="4280" w:type="dxa"/>
            <w:vAlign w:val="bottom"/>
            <w:tcBorders>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AUM: $0.3 billion</w:t>
            </w:r>
          </w:p>
        </w:tc>
      </w:tr>
      <w:tr>
        <w:trPr>
          <w:trHeight w:val="230"/>
        </w:trPr>
        <w:tc>
          <w:tcPr>
            <w:tcW w:w="3480" w:type="dxa"/>
            <w:vAlign w:val="bottom"/>
            <w:tcBorders>
              <w:left w:val="single" w:sz="8" w:color="auto"/>
              <w:bottom w:val="single" w:sz="8" w:color="7B7B7B"/>
            </w:tcBorders>
            <w:shd w:val="clear" w:color="auto" w:fill="7B7B7B"/>
          </w:tcPr>
          <w:p>
            <w:pPr>
              <w:jc w:val="center"/>
              <w:ind w:left="735"/>
              <w:spacing w:after="0"/>
              <w:rPr>
                <w:sz w:val="20"/>
                <w:szCs w:val="20"/>
                <w:color w:val="auto"/>
              </w:rPr>
            </w:pPr>
            <w:r>
              <w:rPr>
                <w:rFonts w:ascii="Times New Roman" w:cs="Times New Roman" w:eastAsia="Times New Roman" w:hAnsi="Times New Roman"/>
                <w:sz w:val="17"/>
                <w:szCs w:val="17"/>
                <w:b w:val="1"/>
                <w:bCs w:val="1"/>
                <w:color w:val="FFFFFF"/>
                <w:w w:val="98"/>
              </w:rPr>
              <w:t>AUA: $87.8 billion</w:t>
            </w:r>
          </w:p>
        </w:tc>
        <w:tc>
          <w:tcPr>
            <w:tcW w:w="820" w:type="dxa"/>
            <w:vAlign w:val="bottom"/>
            <w:tcBorders>
              <w:bottom w:val="single" w:sz="8" w:color="7B7B7B"/>
              <w:right w:val="single" w:sz="8" w:color="auto"/>
            </w:tcBorders>
            <w:shd w:val="clear" w:color="auto" w:fill="7B7B7B"/>
          </w:tcPr>
          <w:p>
            <w:pPr>
              <w:spacing w:after="0"/>
              <w:rPr>
                <w:sz w:val="19"/>
                <w:szCs w:val="19"/>
                <w:color w:val="auto"/>
              </w:rPr>
            </w:pPr>
          </w:p>
        </w:tc>
        <w:tc>
          <w:tcPr>
            <w:tcW w:w="80" w:type="dxa"/>
            <w:vAlign w:val="bottom"/>
            <w:tcBorders>
              <w:bottom w:val="single" w:sz="8" w:color="CCEEFF"/>
              <w:right w:val="single" w:sz="8" w:color="auto"/>
            </w:tcBorders>
            <w:shd w:val="clear" w:color="auto" w:fill="CCEEFF"/>
          </w:tcPr>
          <w:p>
            <w:pPr>
              <w:spacing w:after="0"/>
              <w:rPr>
                <w:sz w:val="19"/>
                <w:szCs w:val="19"/>
                <w:color w:val="auto"/>
              </w:rPr>
            </w:pPr>
          </w:p>
        </w:tc>
        <w:tc>
          <w:tcPr>
            <w:tcW w:w="4280" w:type="dxa"/>
            <w:vAlign w:val="bottom"/>
            <w:tcBorders>
              <w:bottom w:val="single" w:sz="8" w:color="538135"/>
              <w:right w:val="single" w:sz="8" w:color="auto"/>
            </w:tcBorders>
            <w:shd w:val="clear" w:color="auto" w:fill="538135"/>
          </w:tcPr>
          <w:p>
            <w:pPr>
              <w:jc w:val="center"/>
              <w:spacing w:after="0"/>
              <w:rPr>
                <w:sz w:val="20"/>
                <w:szCs w:val="20"/>
                <w:color w:val="auto"/>
              </w:rPr>
            </w:pPr>
            <w:r>
              <w:rPr>
                <w:rFonts w:ascii="Times New Roman" w:cs="Times New Roman" w:eastAsia="Times New Roman" w:hAnsi="Times New Roman"/>
                <w:sz w:val="17"/>
                <w:szCs w:val="17"/>
                <w:b w:val="1"/>
                <w:bCs w:val="1"/>
                <w:color w:val="FFFFFF"/>
                <w:w w:val="99"/>
              </w:rPr>
              <w:t>AUA: $9.4 billion</w:t>
            </w:r>
          </w:p>
        </w:tc>
      </w:tr>
      <w:tr>
        <w:trPr>
          <w:trHeight w:val="20"/>
        </w:trPr>
        <w:tc>
          <w:tcPr>
            <w:tcW w:w="3480" w:type="dxa"/>
            <w:vAlign w:val="bottom"/>
            <w:tcBorders>
              <w:lef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2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Wealth Management &amp; Capital Solutions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Wealth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Wealth Management - AUM</w:t>
      </w:r>
    </w:p>
    <w:p>
      <w:pPr>
        <w:spacing w:after="0" w:line="2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from fees) in our AUM calculation (e.g., we have agreements 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 differ from the calculation methodologies of other wealth managers and, as a result, this measure may not be comparable to similar measures presented by other wealth managers.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table below presents the change in our total AUM for the wealth management businesses within the Wealth &amp; Capital Solutions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(Dollars in Millions)</w:t>
            </w:r>
          </w:p>
        </w:tc>
        <w:tc>
          <w:tcPr>
            <w:tcW w:w="240" w:type="dxa"/>
            <w:vAlign w:val="bottom"/>
          </w:tcPr>
          <w:p>
            <w:pPr>
              <w:spacing w:after="0"/>
              <w:rPr>
                <w:sz w:val="21"/>
                <w:szCs w:val="21"/>
                <w:color w:val="auto"/>
              </w:rPr>
            </w:pPr>
          </w:p>
        </w:tc>
        <w:tc>
          <w:tcPr>
            <w:tcW w:w="3500" w:type="dxa"/>
            <w:vAlign w:val="bottom"/>
            <w:gridSpan w:val="5"/>
          </w:tcPr>
          <w:p>
            <w:pPr>
              <w:ind w:left="420"/>
              <w:spacing w:after="0"/>
              <w:rPr>
                <w:sz w:val="20"/>
                <w:szCs w:val="20"/>
                <w:color w:val="auto"/>
              </w:rPr>
            </w:pPr>
            <w:r>
              <w:rPr>
                <w:rFonts w:ascii="Times New Roman" w:cs="Times New Roman" w:eastAsia="Times New Roman" w:hAnsi="Times New Roman"/>
                <w:sz w:val="19"/>
                <w:szCs w:val="19"/>
                <w:b w:val="1"/>
                <w:bCs w:val="1"/>
                <w:color w:val="auto"/>
              </w:rPr>
              <w:t>For the Three Months Ended</w:t>
            </w:r>
          </w:p>
        </w:tc>
        <w:tc>
          <w:tcPr>
            <w:tcW w:w="240" w:type="dxa"/>
            <w:vAlign w:val="bottom"/>
          </w:tcPr>
          <w:p>
            <w:pPr>
              <w:spacing w:after="0"/>
              <w:rPr>
                <w:sz w:val="21"/>
                <w:szCs w:val="21"/>
                <w:color w:val="auto"/>
              </w:rPr>
            </w:pPr>
          </w:p>
        </w:tc>
        <w:tc>
          <w:tcPr>
            <w:tcW w:w="3540" w:type="dxa"/>
            <w:vAlign w:val="bottom"/>
            <w:gridSpan w:val="4"/>
          </w:tcPr>
          <w:p>
            <w:pPr>
              <w:jc w:val="right"/>
              <w:ind w:right="747"/>
              <w:spacing w:after="0"/>
              <w:rPr>
                <w:sz w:val="20"/>
                <w:szCs w:val="20"/>
                <w:color w:val="auto"/>
              </w:rPr>
            </w:pPr>
            <w:r>
              <w:rPr>
                <w:rFonts w:ascii="Times New Roman" w:cs="Times New Roman" w:eastAsia="Times New Roman" w:hAnsi="Times New Roman"/>
                <w:sz w:val="19"/>
                <w:szCs w:val="19"/>
                <w:b w:val="1"/>
                <w:bCs w:val="1"/>
                <w:color w:val="auto"/>
              </w:rPr>
              <w:t>For the Six Months Ended</w:t>
            </w:r>
          </w:p>
        </w:tc>
        <w:tc>
          <w:tcPr>
            <w:tcW w:w="0" w:type="dxa"/>
            <w:vAlign w:val="bottom"/>
          </w:tcPr>
          <w:p>
            <w:pPr>
              <w:spacing w:after="0"/>
              <w:rPr>
                <w:sz w:val="1"/>
                <w:szCs w:val="1"/>
                <w:color w:val="auto"/>
              </w:rPr>
            </w:pPr>
          </w:p>
        </w:tc>
      </w:tr>
      <w:tr>
        <w:trPr>
          <w:trHeight w:val="33"/>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AUM</w:t>
            </w: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2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60" w:type="dxa"/>
            <w:vAlign w:val="bottom"/>
          </w:tcPr>
          <w:p>
            <w:pPr>
              <w:spacing w:after="0"/>
              <w:rPr>
                <w:sz w:val="20"/>
                <w:szCs w:val="20"/>
                <w:color w:val="auto"/>
              </w:rPr>
            </w:pPr>
          </w:p>
        </w:tc>
        <w:tc>
          <w:tcPr>
            <w:tcW w:w="1620" w:type="dxa"/>
            <w:vAlign w:val="bottom"/>
          </w:tcPr>
          <w:p>
            <w:pPr>
              <w:jc w:val="right"/>
              <w:ind w:right="307"/>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Beginning Balance:</w:t>
            </w:r>
          </w:p>
        </w:tc>
        <w:tc>
          <w:tcPr>
            <w:tcW w:w="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42,877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w w:val="83"/>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35,471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43,091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34,525</w:t>
            </w:r>
          </w:p>
        </w:tc>
        <w:tc>
          <w:tcPr>
            <w:tcW w:w="0" w:type="dxa"/>
            <w:vAlign w:val="bottom"/>
          </w:tcPr>
          <w:p>
            <w:pPr>
              <w:spacing w:after="0"/>
              <w:rPr>
                <w:sz w:val="1"/>
                <w:szCs w:val="1"/>
                <w:color w:val="auto"/>
              </w:rPr>
            </w:pPr>
          </w:p>
        </w:tc>
      </w:tr>
      <w:tr>
        <w:trPr>
          <w:trHeight w:val="247"/>
        </w:trPr>
        <w:tc>
          <w:tcPr>
            <w:tcW w:w="37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Net client change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9"/>
                <w:szCs w:val="19"/>
                <w:color w:val="auto"/>
              </w:rPr>
              <w:t>Cash Flow, net</w:t>
            </w:r>
          </w:p>
        </w:tc>
        <w:tc>
          <w:tcPr>
            <w:tcW w:w="2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(1,413)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(552)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(1,377)</w:t>
            </w:r>
          </w:p>
        </w:tc>
        <w:tc>
          <w:tcPr>
            <w:tcW w:w="0" w:type="dxa"/>
            <w:vAlign w:val="bottom"/>
          </w:tcPr>
          <w:p>
            <w:pPr>
              <w:spacing w:after="0"/>
              <w:rPr>
                <w:sz w:val="1"/>
                <w:szCs w:val="1"/>
                <w:color w:val="auto"/>
              </w:rPr>
            </w:pPr>
          </w:p>
        </w:tc>
      </w:tr>
      <w:tr>
        <w:trPr>
          <w:trHeight w:val="247"/>
        </w:trPr>
        <w:tc>
          <w:tcPr>
            <w:tcW w:w="37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Market Performance, net</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1,964</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9"/>
                <w:szCs w:val="19"/>
                <w:color w:val="auto"/>
              </w:rPr>
              <w:t>Assets subject to change in billing</w:t>
            </w:r>
          </w:p>
        </w:tc>
        <w:tc>
          <w:tcPr>
            <w:tcW w:w="240" w:type="dxa"/>
            <w:vAlign w:val="bottom"/>
            <w:shd w:val="clear" w:color="auto" w:fill="CCEEFF"/>
          </w:tcPr>
          <w:p>
            <w:pPr>
              <w:spacing w:after="0"/>
              <w:rPr>
                <w:sz w:val="20"/>
                <w:szCs w:val="20"/>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shd w:val="clear" w:color="auto" w:fill="CCEEFF"/>
          </w:tcPr>
          <w:p>
            <w:pPr>
              <w:spacing w:after="0"/>
              <w:rPr>
                <w:sz w:val="20"/>
                <w:szCs w:val="20"/>
                <w:color w:val="auto"/>
              </w:rPr>
            </w:pPr>
          </w:p>
        </w:tc>
        <w:tc>
          <w:tcPr>
            <w:tcW w:w="1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40" w:type="dxa"/>
            <w:vAlign w:val="bottom"/>
            <w:shd w:val="clear" w:color="auto" w:fill="CCEEFF"/>
          </w:tcPr>
          <w:p>
            <w:pPr>
              <w:spacing w:after="0"/>
              <w:rPr>
                <w:sz w:val="20"/>
                <w:szCs w:val="20"/>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shd w:val="clear" w:color="auto" w:fill="CCEEFF"/>
          </w:tcPr>
          <w:p>
            <w:pPr>
              <w:spacing w:after="0"/>
              <w:rPr>
                <w:sz w:val="20"/>
                <w:szCs w:val="20"/>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(415)</w:t>
            </w: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9"/>
                <w:szCs w:val="19"/>
                <w:color w:val="auto"/>
              </w:rPr>
              <w:t>methodology</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vMerge w:val="continue"/>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vMerge w:val="continue"/>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2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Prior Quarter Adj / Regulation change</w:t>
            </w:r>
          </w:p>
        </w:tc>
        <w:tc>
          <w:tcPr>
            <w:tcW w:w="24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33"/>
        </w:trPr>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3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9"/>
                <w:szCs w:val="19"/>
                <w:color w:val="auto"/>
              </w:rPr>
              <w:t>Acquisitions (dispositions)</w:t>
            </w:r>
          </w:p>
        </w:tc>
        <w:tc>
          <w:tcPr>
            <w:tcW w:w="2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1,378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5,784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1,378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5,711</w:t>
            </w:r>
          </w:p>
        </w:tc>
        <w:tc>
          <w:tcPr>
            <w:tcW w:w="0" w:type="dxa"/>
            <w:vAlign w:val="bottom"/>
          </w:tcPr>
          <w:p>
            <w:pPr>
              <w:spacing w:after="0"/>
              <w:rPr>
                <w:sz w:val="1"/>
                <w:szCs w:val="1"/>
                <w:color w:val="auto"/>
              </w:rPr>
            </w:pPr>
          </w:p>
        </w:tc>
      </w:tr>
      <w:tr>
        <w:trPr>
          <w:trHeight w:val="240"/>
        </w:trPr>
        <w:tc>
          <w:tcPr>
            <w:tcW w:w="372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Ending Balance:</w:t>
            </w:r>
          </w:p>
        </w:tc>
        <w:tc>
          <w:tcPr>
            <w:tcW w:w="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45,944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color w:val="auto"/>
                <w:w w:val="83"/>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40,383</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45,944</w:t>
            </w: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40,383</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Average AUM</w:t>
            </w:r>
          </w:p>
        </w:tc>
        <w:tc>
          <w:tcPr>
            <w:tcW w:w="2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44,411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w w:val="8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37,927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9"/>
                <w:szCs w:val="19"/>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44,518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37,454</w:t>
            </w:r>
          </w:p>
        </w:tc>
        <w:tc>
          <w:tcPr>
            <w:tcW w:w="0" w:type="dxa"/>
            <w:vAlign w:val="bottom"/>
          </w:tcPr>
          <w:p>
            <w:pPr>
              <w:spacing w:after="0"/>
              <w:rPr>
                <w:sz w:val="1"/>
                <w:szCs w:val="1"/>
                <w:color w:val="auto"/>
              </w:rPr>
            </w:pPr>
          </w:p>
        </w:tc>
      </w:tr>
      <w:tr>
        <w:trPr>
          <w:trHeight w:val="33"/>
        </w:trPr>
        <w:tc>
          <w:tcPr>
            <w:tcW w:w="3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Wealth Management - AUA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19"/>
          <w:szCs w:val="19"/>
          <w:color w:val="auto"/>
        </w:rPr>
        <w:t>AUA includes all assets we manage as defined above, oversee, and report on. We view AUA as a core metric to measure our investment and fundraising performance as it includes 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 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table below presents the change in our total AUA for the wealth management businesses within the Wealth &amp; Capital Solutions segment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ind w:left="20"/>
              <w:spacing w:after="0"/>
              <w:rPr>
                <w:sz w:val="20"/>
                <w:szCs w:val="20"/>
                <w:color w:val="auto"/>
              </w:rPr>
            </w:pPr>
            <w:r>
              <w:rPr>
                <w:rFonts w:ascii="Times New Roman" w:cs="Times New Roman" w:eastAsia="Times New Roman" w:hAnsi="Times New Roman"/>
                <w:sz w:val="19"/>
                <w:szCs w:val="19"/>
                <w:b w:val="1"/>
                <w:bCs w:val="1"/>
                <w:i w:val="1"/>
                <w:iCs w:val="1"/>
                <w:color w:val="auto"/>
              </w:rPr>
              <w:t>(Dollars in Millions)</w:t>
            </w:r>
          </w:p>
        </w:tc>
        <w:tc>
          <w:tcPr>
            <w:tcW w:w="200" w:type="dxa"/>
            <w:vAlign w:val="bottom"/>
          </w:tcPr>
          <w:p>
            <w:pPr>
              <w:spacing w:after="0"/>
              <w:rPr>
                <w:sz w:val="21"/>
                <w:szCs w:val="21"/>
                <w:color w:val="auto"/>
              </w:rPr>
            </w:pPr>
          </w:p>
        </w:tc>
        <w:tc>
          <w:tcPr>
            <w:tcW w:w="3220" w:type="dxa"/>
            <w:vAlign w:val="bottom"/>
            <w:gridSpan w:val="5"/>
          </w:tcPr>
          <w:p>
            <w:pPr>
              <w:ind w:left="300"/>
              <w:spacing w:after="0"/>
              <w:rPr>
                <w:sz w:val="20"/>
                <w:szCs w:val="20"/>
                <w:color w:val="auto"/>
              </w:rPr>
            </w:pPr>
            <w:r>
              <w:rPr>
                <w:rFonts w:ascii="Times New Roman" w:cs="Times New Roman" w:eastAsia="Times New Roman" w:hAnsi="Times New Roman"/>
                <w:sz w:val="19"/>
                <w:szCs w:val="19"/>
                <w:b w:val="1"/>
                <w:bCs w:val="1"/>
                <w:color w:val="auto"/>
              </w:rPr>
              <w:t>For the Three Months Ended</w:t>
            </w:r>
          </w:p>
        </w:tc>
        <w:tc>
          <w:tcPr>
            <w:tcW w:w="200" w:type="dxa"/>
            <w:vAlign w:val="bottom"/>
          </w:tcPr>
          <w:p>
            <w:pPr>
              <w:spacing w:after="0"/>
              <w:rPr>
                <w:sz w:val="21"/>
                <w:szCs w:val="21"/>
                <w:color w:val="auto"/>
              </w:rPr>
            </w:pPr>
          </w:p>
        </w:tc>
        <w:tc>
          <w:tcPr>
            <w:tcW w:w="3120" w:type="dxa"/>
            <w:vAlign w:val="bottom"/>
            <w:gridSpan w:val="4"/>
          </w:tcPr>
          <w:p>
            <w:pPr>
              <w:jc w:val="right"/>
              <w:ind w:right="507"/>
              <w:spacing w:after="0"/>
              <w:rPr>
                <w:sz w:val="20"/>
                <w:szCs w:val="20"/>
                <w:color w:val="auto"/>
              </w:rPr>
            </w:pPr>
            <w:r>
              <w:rPr>
                <w:rFonts w:ascii="Times New Roman" w:cs="Times New Roman" w:eastAsia="Times New Roman" w:hAnsi="Times New Roman"/>
                <w:sz w:val="19"/>
                <w:szCs w:val="19"/>
                <w:b w:val="1"/>
                <w:bCs w:val="1"/>
                <w:color w:val="auto"/>
              </w:rPr>
              <w:t>For the Six Months Ended</w:t>
            </w:r>
          </w:p>
        </w:tc>
        <w:tc>
          <w:tcPr>
            <w:tcW w:w="0" w:type="dxa"/>
            <w:vAlign w:val="bottom"/>
          </w:tcPr>
          <w:p>
            <w:pPr>
              <w:spacing w:after="0"/>
              <w:rPr>
                <w:sz w:val="1"/>
                <w:szCs w:val="1"/>
                <w:color w:val="auto"/>
              </w:rPr>
            </w:pPr>
          </w:p>
        </w:tc>
      </w:tr>
      <w:tr>
        <w:trPr>
          <w:trHeight w:val="33"/>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9"/>
                <w:szCs w:val="19"/>
                <w:b w:val="1"/>
                <w:bCs w:val="1"/>
                <w:color w:val="auto"/>
              </w:rPr>
              <w:t>AUA</w:t>
            </w: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5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00" w:type="dxa"/>
            <w:vAlign w:val="bottom"/>
          </w:tcPr>
          <w:p>
            <w:pPr>
              <w:spacing w:after="0"/>
              <w:rPr>
                <w:sz w:val="20"/>
                <w:szCs w:val="20"/>
                <w:color w:val="auto"/>
              </w:rPr>
            </w:pPr>
          </w:p>
        </w:tc>
        <w:tc>
          <w:tcPr>
            <w:tcW w:w="1420" w:type="dxa"/>
            <w:vAlign w:val="bottom"/>
          </w:tcPr>
          <w:p>
            <w:pPr>
              <w:jc w:val="right"/>
              <w:ind w:right="167"/>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53,500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60,473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51,036</w:t>
            </w:r>
          </w:p>
        </w:tc>
        <w:tc>
          <w:tcPr>
            <w:tcW w:w="0" w:type="dxa"/>
            <w:vAlign w:val="bottom"/>
          </w:tcPr>
          <w:p>
            <w:pPr>
              <w:spacing w:after="0"/>
              <w:rPr>
                <w:sz w:val="1"/>
                <w:szCs w:val="1"/>
                <w:color w:val="auto"/>
              </w:rPr>
            </w:pPr>
          </w:p>
        </w:tc>
      </w:tr>
      <w:tr>
        <w:trPr>
          <w:trHeight w:val="247"/>
        </w:trPr>
        <w:tc>
          <w:tcPr>
            <w:tcW w:w="45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Acquisitions</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0"/>
        </w:trPr>
        <w:tc>
          <w:tcPr>
            <w:tcW w:w="45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9"/>
                <w:szCs w:val="19"/>
                <w:color w:val="auto"/>
              </w:rPr>
              <w:t>Change</w:t>
            </w:r>
          </w:p>
        </w:tc>
        <w:tc>
          <w:tcPr>
            <w:tcW w:w="2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4,498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2,410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4,636</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4,874</w:t>
            </w:r>
          </w:p>
        </w:tc>
        <w:tc>
          <w:tcPr>
            <w:tcW w:w="0" w:type="dxa"/>
            <w:vAlign w:val="bottom"/>
          </w:tcPr>
          <w:p>
            <w:pPr>
              <w:spacing w:after="0"/>
              <w:rPr>
                <w:sz w:val="1"/>
                <w:szCs w:val="1"/>
                <w:color w:val="auto"/>
              </w:rPr>
            </w:pPr>
          </w:p>
        </w:tc>
      </w:tr>
      <w:tr>
        <w:trPr>
          <w:trHeight w:val="240"/>
        </w:trPr>
        <w:tc>
          <w:tcPr>
            <w:tcW w:w="45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Ending Balance: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55,910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80,826</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55,910</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Average AUA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70,719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54,705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70,650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53,473</w:t>
            </w:r>
          </w:p>
        </w:tc>
        <w:tc>
          <w:tcPr>
            <w:tcW w:w="0" w:type="dxa"/>
            <w:vAlign w:val="bottom"/>
          </w:tcPr>
          <w:p>
            <w:pPr>
              <w:spacing w:after="0"/>
              <w:rPr>
                <w:sz w:val="1"/>
                <w:szCs w:val="1"/>
                <w:color w:val="auto"/>
              </w:rPr>
            </w:pPr>
          </w:p>
        </w:tc>
      </w:tr>
      <w:tr>
        <w:trPr>
          <w:trHeight w:val="33"/>
        </w:trPr>
        <w:tc>
          <w:tcPr>
            <w:tcW w:w="4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Capital Solutions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Investments in Alternative Platforms - AUM/AUA</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Within the Alternatives platform, assets consist of assets managed by TIG Arbitrage (AUM $1.8 billion and $1.7 billion as of June 30, 2025 and December 31, 2024, respectively), and the External Strategic Managers (AUA $5.2 billion and $5.1 billion as of June 30, 2025 and December 31,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change in our total AUM/AUA by strategy and product for our alternatives platform for the three and six months ended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June 30, 2025 and June 30,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Alternatives Platform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Millions)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 at</w:t>
            </w:r>
          </w:p>
        </w:tc>
        <w:tc>
          <w:tcPr>
            <w:tcW w:w="16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5"/>
              </w:rPr>
              <w:t>AUM/AUA at June</w:t>
            </w:r>
          </w:p>
        </w:tc>
        <w:tc>
          <w:tcPr>
            <w:tcW w:w="1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April 1, 2025</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Appreciation</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Investments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External Strategic Managers: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Real Estate Bridge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Lending Strategy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0"/>
        </w:trPr>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Asian Credit and Special</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External Strategic Managers</w:t>
            </w: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36"/>
        </w:trPr>
        <w:tc>
          <w:tcPr>
            <w:tcW w:w="16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6"/>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Millions)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 at</w:t>
            </w:r>
          </w:p>
        </w:tc>
        <w:tc>
          <w:tcPr>
            <w:tcW w:w="16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5"/>
              </w:rPr>
              <w:t>AUM/AUA at June</w:t>
            </w:r>
          </w:p>
        </w:tc>
        <w:tc>
          <w:tcPr>
            <w:tcW w:w="1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8"/>
              </w:rPr>
              <w:t>April 1, 2024</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Appreciation</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Investments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External Strategic Managers: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Real Estate Bridge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Lending Strategy</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European Equities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Asian Credit and Special</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Situation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External Strategic Managers</w:t>
            </w: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6"/>
        </w:trPr>
        <w:tc>
          <w:tcPr>
            <w:tcW w:w="16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5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AUM/AUA at</w:t>
            </w:r>
          </w:p>
        </w:tc>
        <w:tc>
          <w:tcPr>
            <w:tcW w:w="140" w:type="dxa"/>
            <w:vAlign w:val="bottom"/>
          </w:tcPr>
          <w:p>
            <w:pPr>
              <w:spacing w:after="0"/>
              <w:rPr>
                <w:sz w:val="13"/>
                <w:szCs w:val="13"/>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5"/>
              </w:rPr>
              <w:t>AUM/AUA at June</w:t>
            </w:r>
          </w:p>
        </w:tc>
        <w:tc>
          <w:tcPr>
            <w:tcW w:w="140" w:type="dxa"/>
            <w:vAlign w:val="bottom"/>
          </w:tcPr>
          <w:p>
            <w:pPr>
              <w:spacing w:after="0"/>
              <w:rPr>
                <w:sz w:val="13"/>
                <w:szCs w:val="13"/>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21"/>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Millions)</w:t>
            </w: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January 1, 2025</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Appreciation</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Investments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External Strategic Managers:</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36"/>
        </w:trPr>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58"/>
        </w:trPr>
        <w:tc>
          <w:tcPr>
            <w:tcW w:w="164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Real Estate Bridge</w:t>
            </w: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04"/>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Lending Strategy</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European Equities</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r>
      <w:tr>
        <w:trPr>
          <w:trHeight w:val="36"/>
        </w:trPr>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58"/>
        </w:trPr>
        <w:tc>
          <w:tcPr>
            <w:tcW w:w="1640" w:type="dxa"/>
            <w:vAlign w:val="bottom"/>
            <w:shd w:val="clear" w:color="auto" w:fill="CCEEFF"/>
          </w:tcPr>
          <w:p>
            <w:pPr>
              <w:ind w:left="200"/>
              <w:spacing w:after="0" w:line="158" w:lineRule="exact"/>
              <w:rPr>
                <w:sz w:val="20"/>
                <w:szCs w:val="20"/>
                <w:color w:val="auto"/>
              </w:rPr>
            </w:pPr>
            <w:r>
              <w:rPr>
                <w:rFonts w:ascii="Times New Roman" w:cs="Times New Roman" w:eastAsia="Times New Roman" w:hAnsi="Times New Roman"/>
                <w:sz w:val="14"/>
                <w:szCs w:val="14"/>
                <w:color w:val="auto"/>
              </w:rPr>
              <w:t>Asian Credit and Special</w:t>
            </w: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24"/>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Situation</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80" w:type="dxa"/>
            <w:vAlign w:val="bottom"/>
            <w:tcBorders>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38"/>
        </w:trPr>
        <w:tc>
          <w:tcPr>
            <w:tcW w:w="16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External Strategic Managers</w:t>
            </w: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188"/>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4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6"/>
        </w:trPr>
        <w:tc>
          <w:tcPr>
            <w:tcW w:w="1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48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Millions)</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AUM/AUA at</w:t>
            </w:r>
          </w:p>
        </w:tc>
        <w:tc>
          <w:tcPr>
            <w:tcW w:w="140" w:type="dxa"/>
            <w:vAlign w:val="bottom"/>
          </w:tcPr>
          <w:p>
            <w:pPr>
              <w:spacing w:after="0"/>
              <w:rPr>
                <w:sz w:val="14"/>
                <w:szCs w:val="14"/>
                <w:color w:val="auto"/>
              </w:rPr>
            </w:pPr>
          </w:p>
        </w:tc>
        <w:tc>
          <w:tcPr>
            <w:tcW w:w="9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5"/>
              </w:rPr>
              <w:t>AUM/AUA at June</w:t>
            </w:r>
          </w:p>
        </w:tc>
        <w:tc>
          <w:tcPr>
            <w:tcW w:w="1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640" w:type="dxa"/>
            <w:vAlign w:val="bottom"/>
            <w:tcBorders>
              <w:bottom w:val="single" w:sz="8" w:color="CCEEFF"/>
            </w:tcBorders>
            <w:vMerge w:val="continue"/>
          </w:tcPr>
          <w:p>
            <w:pPr>
              <w:spacing w:after="0"/>
              <w:rPr>
                <w:sz w:val="18"/>
                <w:szCs w:val="18"/>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January 1, 2024</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9"/>
              </w:rPr>
              <w:t>Appreciation</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New Investments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Subscriptions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AUM/AUA</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TIG Arbitrage</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w w:val="94"/>
              </w:rPr>
              <w:t>(11)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0"/>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7"/>
              </w:rPr>
              <w:t>External Strategic Managers:</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Real Estate Bridge</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Lending Strategy</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w w:val="99"/>
              </w:rPr>
              <w:t>15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0"/>
        </w:trPr>
        <w:tc>
          <w:tcPr>
            <w:tcW w:w="1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European Equities</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center"/>
              <w:ind w:left="652"/>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36"/>
        </w:trPr>
        <w:tc>
          <w:tcPr>
            <w:tcW w:w="1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1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Asian Credit and Special</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Situation</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52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center"/>
              <w:ind w:left="652"/>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51"/>
        </w:trPr>
        <w:tc>
          <w:tcPr>
            <w:tcW w:w="164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color w:val="auto"/>
              </w:rPr>
              <w:t>External Strategic Managers</w:t>
            </w: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Subtotal</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52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center"/>
              <w:ind w:left="652"/>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6"/>
        </w:trPr>
        <w:tc>
          <w:tcPr>
            <w:tcW w:w="16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52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auto"/>
        </w:rPr>
        <w:t>International Real Estate - AUM/AUA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International Real Estate AUM/AUA includes the following:</w:t>
      </w:r>
    </w:p>
    <w:p>
      <w:pPr>
        <w:spacing w:after="0" w:line="176" w:lineRule="exact"/>
        <w:rPr>
          <w:sz w:val="20"/>
          <w:szCs w:val="20"/>
          <w:color w:val="auto"/>
        </w:rPr>
      </w:pPr>
    </w:p>
    <w:p>
      <w:pPr>
        <w:ind w:left="300" w:hanging="298"/>
        <w:spacing w:after="0" w:line="278" w:lineRule="auto"/>
        <w:tabs>
          <w:tab w:leader="none" w:pos="289" w:val="left"/>
        </w:tabs>
        <w:numPr>
          <w:ilvl w:val="0"/>
          <w:numId w:val="65"/>
        </w:numPr>
        <w:rPr>
          <w:rFonts w:ascii="Times New Roman" w:cs="Times New Roman" w:eastAsia="Times New Roman" w:hAnsi="Times New Roman"/>
          <w:sz w:val="19"/>
          <w:szCs w:val="19"/>
          <w:b w:val="1"/>
          <w:bCs w:val="1"/>
          <w:i w:val="1"/>
          <w:iCs w:val="1"/>
          <w:color w:val="231F20"/>
        </w:rPr>
      </w:pPr>
      <w:r>
        <w:rPr>
          <w:rFonts w:ascii="Times New Roman" w:cs="Times New Roman" w:eastAsia="Times New Roman" w:hAnsi="Times New Roman"/>
          <w:sz w:val="19"/>
          <w:szCs w:val="19"/>
          <w:color w:val="auto"/>
        </w:rPr>
        <w:t>Co-investment real estate advisory services, where we include the value of our private market direct and co-investment real estate investments (AUA $9.1 billion and $8.1 billion as of June 30, 2025 and December 31, 2024, respectively); and</w:t>
      </w:r>
    </w:p>
    <w:p>
      <w:pPr>
        <w:spacing w:after="0" w:line="117" w:lineRule="exact"/>
        <w:rPr>
          <w:rFonts w:ascii="Times New Roman" w:cs="Times New Roman" w:eastAsia="Times New Roman" w:hAnsi="Times New Roman"/>
          <w:sz w:val="19"/>
          <w:szCs w:val="19"/>
          <w:b w:val="1"/>
          <w:bCs w:val="1"/>
          <w:i w:val="1"/>
          <w:iCs w:val="1"/>
          <w:color w:val="231F20"/>
        </w:rPr>
      </w:pPr>
    </w:p>
    <w:p>
      <w:pPr>
        <w:ind w:left="300" w:hanging="298"/>
        <w:spacing w:after="0" w:line="264" w:lineRule="auto"/>
        <w:tabs>
          <w:tab w:leader="none" w:pos="289" w:val="left"/>
        </w:tabs>
        <w:numPr>
          <w:ilvl w:val="0"/>
          <w:numId w:val="65"/>
        </w:numPr>
        <w:rPr>
          <w:rFonts w:ascii="Times New Roman" w:cs="Times New Roman" w:eastAsia="Times New Roman" w:hAnsi="Times New Roman"/>
          <w:sz w:val="19"/>
          <w:szCs w:val="19"/>
          <w:b w:val="1"/>
          <w:bCs w:val="1"/>
          <w:i w:val="1"/>
          <w:iCs w:val="1"/>
          <w:color w:val="231F20"/>
        </w:rPr>
      </w:pPr>
      <w:r>
        <w:rPr>
          <w:rFonts w:ascii="Times New Roman" w:cs="Times New Roman" w:eastAsia="Times New Roman" w:hAnsi="Times New Roman"/>
          <w:sz w:val="19"/>
          <w:szCs w:val="19"/>
          <w:color w:val="auto"/>
        </w:rPr>
        <w:t>Assets managed in a private real estate investment fund (AUM $0.3 billion as of both June 30, 2025 and December 31, 2024) from which we generate fee revenue. The Company’s reported value of these assets is either the net asset value or the market capitalization of the fund.</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table below presents the change in our total AUM/AUA for our Real Estate - Private Funds for our International Real Estate segment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5"/>
          </w:tcPr>
          <w:p>
            <w:pPr>
              <w:ind w:left="360"/>
              <w:spacing w:after="0"/>
              <w:rPr>
                <w:sz w:val="20"/>
                <w:szCs w:val="20"/>
                <w:color w:val="auto"/>
              </w:rPr>
            </w:pPr>
            <w:r>
              <w:rPr>
                <w:rFonts w:ascii="Times New Roman" w:cs="Times New Roman" w:eastAsia="Times New Roman" w:hAnsi="Times New Roman"/>
                <w:sz w:val="19"/>
                <w:szCs w:val="19"/>
                <w:b w:val="1"/>
                <w:bCs w:val="1"/>
                <w:color w:val="auto"/>
              </w:rPr>
              <w:t>For the Three Months Ended</w:t>
            </w:r>
          </w:p>
        </w:tc>
        <w:tc>
          <w:tcPr>
            <w:tcW w:w="200" w:type="dxa"/>
            <w:vAlign w:val="bottom"/>
          </w:tcPr>
          <w:p>
            <w:pPr>
              <w:spacing w:after="0"/>
              <w:rPr>
                <w:sz w:val="21"/>
                <w:szCs w:val="21"/>
                <w:color w:val="auto"/>
              </w:rPr>
            </w:pPr>
          </w:p>
        </w:tc>
        <w:tc>
          <w:tcPr>
            <w:tcW w:w="3220" w:type="dxa"/>
            <w:vAlign w:val="bottom"/>
            <w:gridSpan w:val="4"/>
          </w:tcPr>
          <w:p>
            <w:pPr>
              <w:jc w:val="right"/>
              <w:ind w:right="567"/>
              <w:spacing w:after="0"/>
              <w:rPr>
                <w:sz w:val="20"/>
                <w:szCs w:val="20"/>
                <w:color w:val="auto"/>
              </w:rPr>
            </w:pPr>
            <w:r>
              <w:rPr>
                <w:rFonts w:ascii="Times New Roman" w:cs="Times New Roman" w:eastAsia="Times New Roman" w:hAnsi="Times New Roman"/>
                <w:sz w:val="19"/>
                <w:szCs w:val="19"/>
                <w:b w:val="1"/>
                <w:bCs w:val="1"/>
                <w:color w:val="auto"/>
              </w:rPr>
              <w:t>For the Six Months Ended</w:t>
            </w:r>
          </w:p>
        </w:tc>
      </w:tr>
      <w:tr>
        <w:trPr>
          <w:trHeight w:val="33"/>
        </w:trPr>
        <w:tc>
          <w:tcPr>
            <w:tcW w:w="4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6"/>
        </w:trPr>
        <w:tc>
          <w:tcPr>
            <w:tcW w:w="4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Millions)</w:t>
            </w:r>
          </w:p>
        </w:tc>
        <w:tc>
          <w:tcPr>
            <w:tcW w:w="200" w:type="dxa"/>
            <w:vAlign w:val="bottom"/>
          </w:tcPr>
          <w:p>
            <w:pPr>
              <w:spacing w:after="0"/>
              <w:rPr>
                <w:sz w:val="23"/>
                <w:szCs w:val="23"/>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00" w:type="dxa"/>
            <w:vAlign w:val="bottom"/>
          </w:tcPr>
          <w:p>
            <w:pPr>
              <w:spacing w:after="0"/>
              <w:rPr>
                <w:sz w:val="23"/>
                <w:szCs w:val="23"/>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June 30, 2024</w:t>
            </w:r>
          </w:p>
        </w:tc>
        <w:tc>
          <w:tcPr>
            <w:tcW w:w="200" w:type="dxa"/>
            <w:vAlign w:val="bottom"/>
          </w:tcPr>
          <w:p>
            <w:pPr>
              <w:spacing w:after="0"/>
              <w:rPr>
                <w:sz w:val="23"/>
                <w:szCs w:val="23"/>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9"/>
                <w:szCs w:val="19"/>
                <w:b w:val="1"/>
                <w:bCs w:val="1"/>
                <w:color w:val="auto"/>
              </w:rPr>
              <w:t>June 30, 2025</w:t>
            </w:r>
          </w:p>
        </w:tc>
        <w:tc>
          <w:tcPr>
            <w:tcW w:w="200" w:type="dxa"/>
            <w:vAlign w:val="bottom"/>
          </w:tcPr>
          <w:p>
            <w:pPr>
              <w:spacing w:after="0"/>
              <w:rPr>
                <w:sz w:val="23"/>
                <w:szCs w:val="23"/>
                <w:color w:val="auto"/>
              </w:rPr>
            </w:pPr>
          </w:p>
        </w:tc>
        <w:tc>
          <w:tcPr>
            <w:tcW w:w="1460" w:type="dxa"/>
            <w:vAlign w:val="bottom"/>
          </w:tcPr>
          <w:p>
            <w:pPr>
              <w:jc w:val="right"/>
              <w:ind w:right="187"/>
              <w:spacing w:after="0"/>
              <w:rPr>
                <w:sz w:val="20"/>
                <w:szCs w:val="20"/>
                <w:color w:val="auto"/>
              </w:rPr>
            </w:pPr>
            <w:r>
              <w:rPr>
                <w:rFonts w:ascii="Times New Roman" w:cs="Times New Roman" w:eastAsia="Times New Roman" w:hAnsi="Times New Roman"/>
                <w:sz w:val="19"/>
                <w:szCs w:val="19"/>
                <w:b w:val="1"/>
                <w:bCs w:val="1"/>
                <w:color w:val="auto"/>
              </w:rPr>
              <w:t>June 30, 2024</w:t>
            </w:r>
          </w:p>
        </w:tc>
      </w:tr>
      <w:tr>
        <w:trPr>
          <w:trHeight w:val="26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Beginning Balance: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8,725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top w:val="single" w:sz="8" w:color="auto"/>
              <w:bottom w:val="single" w:sz="8" w:color="CCEEFF"/>
            </w:tcBorders>
            <w:shd w:val="clear" w:color="auto" w:fill="CCEEFF"/>
          </w:tcPr>
          <w:p>
            <w:pPr>
              <w:jc w:val="center"/>
              <w:ind w:left="807"/>
              <w:spacing w:after="0"/>
              <w:rPr>
                <w:sz w:val="20"/>
                <w:szCs w:val="20"/>
                <w:color w:val="auto"/>
              </w:rPr>
            </w:pPr>
            <w:r>
              <w:rPr>
                <w:rFonts w:ascii="Times New Roman" w:cs="Times New Roman" w:eastAsia="Times New Roman" w:hAnsi="Times New Roman"/>
                <w:sz w:val="19"/>
                <w:szCs w:val="19"/>
                <w:color w:val="auto"/>
                <w:w w:val="98"/>
              </w:rPr>
              <w:t>9,973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8,396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12,720</w:t>
            </w:r>
          </w:p>
        </w:tc>
      </w:tr>
      <w:tr>
        <w:trPr>
          <w:trHeight w:val="247"/>
        </w:trPr>
        <w:tc>
          <w:tcPr>
            <w:tcW w:w="4300" w:type="dxa"/>
            <w:vAlign w:val="bottom"/>
          </w:tcPr>
          <w:p>
            <w:pPr>
              <w:ind w:left="300"/>
              <w:spacing w:after="0"/>
              <w:rPr>
                <w:sz w:val="20"/>
                <w:szCs w:val="20"/>
                <w:color w:val="auto"/>
              </w:rPr>
            </w:pPr>
            <w:r>
              <w:rPr>
                <w:rFonts w:ascii="Times New Roman" w:cs="Times New Roman" w:eastAsia="Times New Roman" w:hAnsi="Times New Roman"/>
                <w:sz w:val="19"/>
                <w:szCs w:val="19"/>
                <w:color w:val="auto"/>
              </w:rPr>
              <w:t>Change</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center"/>
              <w:ind w:left="767"/>
              <w:spacing w:after="0"/>
              <w:rPr>
                <w:sz w:val="20"/>
                <w:szCs w:val="20"/>
                <w:color w:val="auto"/>
              </w:rPr>
            </w:pPr>
            <w:r>
              <w:rPr>
                <w:rFonts w:ascii="Times New Roman" w:cs="Times New Roman" w:eastAsia="Times New Roman" w:hAnsi="Times New Roman"/>
                <w:sz w:val="19"/>
                <w:szCs w:val="19"/>
                <w:color w:val="auto"/>
                <w:w w:val="97"/>
              </w:rPr>
              <w:t>(1,360)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(4,107)</w:t>
            </w:r>
          </w:p>
        </w:tc>
      </w:tr>
      <w:tr>
        <w:trPr>
          <w:trHeight w:val="33"/>
        </w:trPr>
        <w:tc>
          <w:tcPr>
            <w:tcW w:w="4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3"/>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9"/>
                <w:szCs w:val="19"/>
                <w:b w:val="1"/>
                <w:bCs w:val="1"/>
                <w:color w:val="auto"/>
              </w:rPr>
              <w:t>Ending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9,433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bottom w:val="single" w:sz="8" w:color="CCEEFF"/>
            </w:tcBorders>
            <w:shd w:val="clear" w:color="auto" w:fill="CCEEFF"/>
          </w:tcPr>
          <w:p>
            <w:pPr>
              <w:jc w:val="center"/>
              <w:ind w:left="807"/>
              <w:spacing w:after="0"/>
              <w:rPr>
                <w:sz w:val="20"/>
                <w:szCs w:val="20"/>
                <w:color w:val="auto"/>
              </w:rPr>
            </w:pPr>
            <w:r>
              <w:rPr>
                <w:rFonts w:ascii="Times New Roman" w:cs="Times New Roman" w:eastAsia="Times New Roman" w:hAnsi="Times New Roman"/>
                <w:sz w:val="19"/>
                <w:szCs w:val="19"/>
                <w:color w:val="auto"/>
                <w:w w:val="98"/>
              </w:rPr>
              <w:t>8,613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9,433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8,613</w:t>
            </w:r>
          </w:p>
        </w:tc>
      </w:tr>
      <w:tr>
        <w:trPr>
          <w:trHeight w:val="240"/>
        </w:trPr>
        <w:tc>
          <w:tcPr>
            <w:tcW w:w="4300" w:type="dxa"/>
            <w:vAlign w:val="bottom"/>
          </w:tcPr>
          <w:p>
            <w:pPr>
              <w:ind w:left="20"/>
              <w:spacing w:after="0"/>
              <w:rPr>
                <w:sz w:val="20"/>
                <w:szCs w:val="20"/>
                <w:color w:val="auto"/>
              </w:rPr>
            </w:pPr>
            <w:r>
              <w:rPr>
                <w:rFonts w:ascii="Times New Roman" w:cs="Times New Roman" w:eastAsia="Times New Roman" w:hAnsi="Times New Roman"/>
                <w:sz w:val="19"/>
                <w:szCs w:val="19"/>
                <w:b w:val="1"/>
                <w:bCs w:val="1"/>
                <w:color w:val="auto"/>
              </w:rPr>
              <w:t>Average AUM/AUA</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9,079</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80" w:type="dxa"/>
            <w:vAlign w:val="bottom"/>
            <w:tcBorders>
              <w:top w:val="single" w:sz="8" w:color="auto"/>
            </w:tcBorders>
          </w:tcPr>
          <w:p>
            <w:pPr>
              <w:jc w:val="center"/>
              <w:ind w:left="807"/>
              <w:spacing w:after="0"/>
              <w:rPr>
                <w:sz w:val="20"/>
                <w:szCs w:val="20"/>
                <w:color w:val="auto"/>
              </w:rPr>
            </w:pPr>
            <w:r>
              <w:rPr>
                <w:rFonts w:ascii="Times New Roman" w:cs="Times New Roman" w:eastAsia="Times New Roman" w:hAnsi="Times New Roman"/>
                <w:sz w:val="19"/>
                <w:szCs w:val="19"/>
                <w:color w:val="auto"/>
                <w:w w:val="98"/>
              </w:rPr>
              <w:t>9,293</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8,915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9"/>
                <w:szCs w:val="19"/>
                <w:color w:val="auto"/>
                <w:w w:val="8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10,667</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AUA is reported with a one quarter lag for HLIF as management fees are billed on that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Consolidated Results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Management/Advisory Fees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 available on a daily basis, the most recent valuation provided to the Company is used as the fair value for the purpose of calculating the quarterly fee.</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Incentive Fees</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Incentive or performance fees are comprised primarily of annual performance or incentive fees which may be earned by providing investment management and advisory as well as fund management activities to our Capital Solutions and international wealth management businesses. 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Distributions from Investments</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Company has equity interests in External Strategic Managers pursuant to which it is entitled to distributions based on the terms of the respective arrangements. Distributions from each investment will be recorded upon receipt of the distribution. The Company receives distributions from External Strategic Managers through profit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92" w:name="page93"/>
    <w:bookmarkEnd w:id="92"/>
    <w:p>
      <w:pPr>
        <w:jc w:val="both"/>
        <w:spacing w:after="0" w:line="278" w:lineRule="auto"/>
        <w:rPr>
          <w:sz w:val="20"/>
          <w:szCs w:val="20"/>
          <w:color w:val="auto"/>
        </w:rPr>
      </w:pPr>
      <w:r>
        <w:rPr>
          <w:rFonts w:ascii="Times New Roman" w:cs="Times New Roman" w:eastAsia="Times New Roman" w:hAnsi="Times New Roman"/>
          <w:sz w:val="19"/>
          <w:szCs w:val="19"/>
          <w:color w:val="auto"/>
        </w:rPr>
        <w:t>or revenue sharing arrangements that are generated through recurring management fees and non-recurring incentive fees based on performance of the underlying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Other Fees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Expenses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Compensation and Employee Benefits: </w:t>
      </w:r>
      <w:r>
        <w:rPr>
          <w:rFonts w:ascii="Times New Roman" w:cs="Times New Roman" w:eastAsia="Times New Roman" w:hAnsi="Times New Roman"/>
          <w:sz w:val="19"/>
          <w:szCs w:val="19"/>
          <w:color w:val="auto"/>
        </w:rPr>
        <w:t>Compensation generally includes salaries, bonuses, other performance-based compensation such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commissions, long-term deferral programs, benefits, and payroll taxes. Compensation is accrued over the related service period and long-term deferral program awards are paid out based on the various vesting dates.</w:t>
      </w:r>
    </w:p>
    <w:p>
      <w:pPr>
        <w:spacing w:after="0" w:line="1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i w:val="1"/>
          <w:iCs w:val="1"/>
          <w:color w:val="auto"/>
        </w:rPr>
        <w:t xml:space="preserve">General, Administrative and Other Expenses: </w:t>
      </w:r>
      <w:r>
        <w:rPr>
          <w:rFonts w:ascii="Times New Roman" w:cs="Times New Roman" w:eastAsia="Times New Roman" w:hAnsi="Times New Roman"/>
          <w:sz w:val="19"/>
          <w:szCs w:val="19"/>
          <w:color w:val="auto"/>
        </w:rPr>
        <w:t>General, administrative and other expenses include costs primarily related to professional services,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occupancy, travel, communication and information services, distribution costs, and other general operating items.</w:t>
      </w:r>
    </w:p>
    <w:p>
      <w:pPr>
        <w:spacing w:after="0" w:line="1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Depreciation and Amortization Expenses: </w:t>
      </w:r>
      <w:r>
        <w:rPr>
          <w:rFonts w:ascii="Times New Roman" w:cs="Times New Roman" w:eastAsia="Times New Roman" w:hAnsi="Times New Roman"/>
          <w:sz w:val="19"/>
          <w:szCs w:val="19"/>
          <w:color w:val="auto"/>
        </w:rPr>
        <w:t>Fixed assets are depreciated or amortized on a straight-line basis, with the corresponding depreciation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amortization expense included within depreciation and amortization in the Company’s Condensed Consolidated Statement of Operations. The estimated useful life for leasehold improvements is the lesser of the remaining lease term or the life of the asset, while other fixed assets are generally depreciated over a period of three to fifteen years.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 xml:space="preserve">Interest Expense: </w:t>
      </w:r>
      <w:r>
        <w:rPr>
          <w:rFonts w:ascii="Times New Roman" w:cs="Times New Roman" w:eastAsia="Times New Roman" w:hAnsi="Times New Roman"/>
          <w:sz w:val="19"/>
          <w:szCs w:val="19"/>
          <w:color w:val="auto"/>
        </w:rPr>
        <w:t>Interest expense consists of the interest expense on our outstanding debt, amortization of deferred financing costs, and amortization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original issue discount.</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Income Tax Expense: </w:t>
      </w:r>
      <w:r>
        <w:rPr>
          <w:rFonts w:ascii="Times New Roman" w:cs="Times New Roman" w:eastAsia="Times New Roman" w:hAnsi="Times New Roman"/>
          <w:sz w:val="19"/>
          <w:szCs w:val="19"/>
          <w:color w:val="auto"/>
        </w:rPr>
        <w:t>Income tax expense consists of taxes paid or payable by our consolidated operating subsidiaries. Certain of our subsidiaries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treated as flow-through entities for federal income tax purposes and, accordingly, are not subject to federal and state income taxes, as such taxes are the responsibility of certain direct and indirect owners of the flow-through entities. However, the flow-through entities are subjected to UBT and certain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b w:val="1"/>
          <w:bCs w:val="1"/>
          <w:color w:val="auto"/>
        </w:rPr>
        <w:t>Condensed Consolidated Results of Operations – For the Three Months Ended June 30, 2025 Compared to the Three Months Ended June 30,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Favorable</w:t>
            </w:r>
          </w:p>
        </w:tc>
      </w:tr>
      <w:tr>
        <w:trPr>
          <w:trHeight w:val="223"/>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4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(Unfavorable)</w:t>
            </w:r>
          </w:p>
        </w:tc>
      </w:tr>
      <w:tr>
        <w:trPr>
          <w:trHeight w:val="26"/>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2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40" w:type="dxa"/>
            <w:vAlign w:val="bottom"/>
          </w:tcPr>
          <w:p>
            <w:pPr>
              <w:spacing w:after="0"/>
              <w:rPr>
                <w:sz w:val="19"/>
                <w:szCs w:val="19"/>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6"/>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Management/advisory fees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49,989</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47,029</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2,960</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Incentive fees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from investments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income/fees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1"/>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53,127</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49,453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3,674</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44,601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Non-compensation expenses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13,158</w:t>
            </w:r>
          </w:p>
        </w:tc>
        <w:tc>
          <w:tcPr>
            <w:tcW w:w="80" w:type="dxa"/>
            <w:vAlign w:val="bottom"/>
          </w:tcPr>
          <w:p>
            <w:pPr>
              <w:spacing w:after="0"/>
              <w:rPr>
                <w:sz w:val="19"/>
                <w:szCs w:val="19"/>
                <w:color w:val="auto"/>
              </w:rPr>
            </w:pPr>
          </w:p>
        </w:tc>
      </w:tr>
      <w:tr>
        <w:trPr>
          <w:trHeight w:val="26"/>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27"/>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55"/>
        </w:trPr>
        <w:tc>
          <w:tcPr>
            <w:tcW w:w="5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before taxes</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(34,752)</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(24,628)</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47"/>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(20,675)</w:t>
            </w:r>
          </w:p>
        </w:tc>
        <w:tc>
          <w:tcPr>
            <w:tcW w:w="8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Management / advisory fees. </w:t>
      </w:r>
      <w:r>
        <w:rPr>
          <w:rFonts w:ascii="Times New Roman" w:cs="Times New Roman" w:eastAsia="Times New Roman" w:hAnsi="Times New Roman"/>
          <w:sz w:val="19"/>
          <w:szCs w:val="19"/>
          <w:color w:val="auto"/>
        </w:rPr>
        <w:t>Management and advisory fees for the three months ended June 30, 2025, increased by $3.0 million compared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three months ended June 30, 2024. This increase was driven by higher fees in our Wealth Management sector, primarily due to increases in our AUM both domestically and internationally amid strong market performance. These gains were partially offset by lower management fees in the TIG Arbitrage strategy due to fund outflows.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Incentive fees. </w:t>
      </w:r>
      <w:r>
        <w:rPr>
          <w:rFonts w:ascii="Times New Roman" w:cs="Times New Roman" w:eastAsia="Times New Roman" w:hAnsi="Times New Roman"/>
          <w:sz w:val="19"/>
          <w:szCs w:val="19"/>
          <w:color w:val="auto"/>
        </w:rPr>
        <w:t>For the three months ended June 30, 2025, incentive fees increased by $0.4 million compared to the three months ended June 30, 2024.</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increase is attributable to fund redemptions resulting in crystallized incentive fees in the TIG Arbitrage strategy within Wealth &amp; Capital Solutions for the current year, which led to higher crystallized incentive fees in the current period.</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Distributions from investments. </w:t>
      </w:r>
      <w:r>
        <w:rPr>
          <w:rFonts w:ascii="Times New Roman" w:cs="Times New Roman" w:eastAsia="Times New Roman" w:hAnsi="Times New Roman"/>
          <w:sz w:val="19"/>
          <w:szCs w:val="19"/>
          <w:color w:val="auto"/>
        </w:rPr>
        <w:t>Distributions from investments for the three months ended June 30, 2025 increased by $0.4 million compared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three months ended June 30, 2024. This increase was primarily due to higher distributions related to management fees in the Real Estate Bridge Lending Strategy and partially offset by lower distributions in the Asian Credit and Special Situation strategies within Wealth &amp; Capital Solutions in the current period.</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 xml:space="preserve">Other fees / income. </w:t>
      </w:r>
      <w:r>
        <w:rPr>
          <w:rFonts w:ascii="Times New Roman" w:cs="Times New Roman" w:eastAsia="Times New Roman" w:hAnsi="Times New Roman"/>
          <w:sz w:val="19"/>
          <w:szCs w:val="19"/>
          <w:color w:val="auto"/>
        </w:rPr>
        <w:t>Other fees and income for the three months ended June 30, 2025 was relatively flat compared to the three months ended June 30,</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2024 with a slight decrease of $0.1 million related to lower fees in the International Real Estate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 xml:space="preserve">Compensation expense. </w:t>
      </w:r>
      <w:r>
        <w:rPr>
          <w:rFonts w:ascii="Times New Roman" w:cs="Times New Roman" w:eastAsia="Times New Roman" w:hAnsi="Times New Roman"/>
          <w:sz w:val="19"/>
          <w:szCs w:val="19"/>
          <w:color w:val="auto"/>
        </w:rPr>
        <w:t>Compensation expense for the three months ended June 30, 2025 increased by $5.7 million compared to the three months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ended June 30, 2024. This increase was primarily due to higher</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94" w:name="page95"/>
    <w:bookmarkEnd w:id="94"/>
    <w:p>
      <w:pPr>
        <w:jc w:val="both"/>
        <w:spacing w:after="0" w:line="278" w:lineRule="auto"/>
        <w:rPr>
          <w:sz w:val="20"/>
          <w:szCs w:val="20"/>
          <w:color w:val="auto"/>
        </w:rPr>
      </w:pPr>
      <w:r>
        <w:rPr>
          <w:rFonts w:ascii="Times New Roman" w:cs="Times New Roman" w:eastAsia="Times New Roman" w:hAnsi="Times New Roman"/>
          <w:sz w:val="19"/>
          <w:szCs w:val="19"/>
          <w:color w:val="auto"/>
        </w:rPr>
        <w:t>compensation costs tied to acquisition-related earn-outs and new equity grants and to organizational streamlining initiatives that continue to be undertaken in 2025.</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Non-compensation expense. </w:t>
      </w:r>
      <w:r>
        <w:rPr>
          <w:rFonts w:ascii="Times New Roman" w:cs="Times New Roman" w:eastAsia="Times New Roman" w:hAnsi="Times New Roman"/>
          <w:sz w:val="19"/>
          <w:szCs w:val="19"/>
          <w:color w:val="auto"/>
        </w:rPr>
        <w:t>Non-compensation expenses for the three months ended June 30, 2025 increased by $13.2 million as compared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three months ended June 30, 2024, primarily driven by a $10.8 million increase in one-time professional fees and a $2.1 million increase in general, administrative and other costs due to foreign exchange movement, irrecoverable VAT, and non-recurring bad debt provisions.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(expenses)</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Other income (expenses) for the three months ended June 30, 2025 decreased by $9.4 million compared to the three months ended June 30, 2024, primarily driven by the change in fair value of earn-out liabilities as a result of share price changes and forecasted performance. During the three months ended June 30, 2025, a loss on earn-out liabilities of $(7.4) million was recognized as compared to a loss on earn-out liabilities of $(1.9) million for the three months ended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Taxes</w:t>
      </w:r>
    </w:p>
    <w:p>
      <w:pPr>
        <w:spacing w:after="0" w:line="23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The Company’s effective tax rate was 13.6% for the three months ended June 30, 2025 compared to 7.8% for three months ended June 30, 2024. The effective tax rate for the three months ended June 30, 2024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The effective tax rate for the three months ended June 30, 2025 differed from the statutory U.S. corporate tax rate primarily due to the impact of valuation allowance with respect to deferred tax assets generated in the Company’s subsidiaries in the U.K. and in the Company’s investment in subsidiary, certain gains recognized on contingent liabilities for which no tax liability is recognized, and state and local taxes.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Results of Operations – For the Six Months Ended June 30, 2025 Compared to the Six Months Ended June 30,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Favorable</w:t>
            </w:r>
          </w:p>
        </w:tc>
      </w:tr>
      <w:tr>
        <w:trPr>
          <w:trHeight w:val="223"/>
        </w:trPr>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24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(Unfavorable)</w:t>
            </w:r>
          </w:p>
        </w:tc>
      </w:tr>
      <w:tr>
        <w:trPr>
          <w:trHeight w:val="26"/>
        </w:trPr>
        <w:tc>
          <w:tcPr>
            <w:tcW w:w="5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r>
      <w:tr>
        <w:trPr>
          <w:trHeight w:val="221"/>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4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240" w:type="dxa"/>
            <w:vAlign w:val="bottom"/>
          </w:tcPr>
          <w:p>
            <w:pPr>
              <w:spacing w:after="0"/>
              <w:rPr>
                <w:sz w:val="19"/>
                <w:szCs w:val="19"/>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6"/>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1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Management/advisory fees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95,639</w:t>
            </w:r>
          </w:p>
        </w:tc>
        <w:tc>
          <w:tcPr>
            <w:tcW w:w="8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93,253</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Incentive fees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Distributions from investments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8,464</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income/fees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1"/>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111,090</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100,265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10,825</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86,875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Non-compensation expenses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16,413</w:t>
            </w:r>
          </w:p>
        </w:tc>
        <w:tc>
          <w:tcPr>
            <w:tcW w:w="80" w:type="dxa"/>
            <w:vAlign w:val="bottom"/>
          </w:tcPr>
          <w:p>
            <w:pPr>
              <w:spacing w:after="0"/>
              <w:rPr>
                <w:sz w:val="19"/>
                <w:szCs w:val="19"/>
                <w:color w:val="auto"/>
              </w:rPr>
            </w:pPr>
          </w:p>
        </w:tc>
      </w:tr>
      <w:tr>
        <w:trPr>
          <w:trHeight w:val="26"/>
        </w:trPr>
        <w:tc>
          <w:tcPr>
            <w:tcW w:w="5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27"/>
        </w:trPr>
        <w:tc>
          <w:tcPr>
            <w:tcW w:w="5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154,726</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(24,838)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42"/>
        </w:trPr>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before taxes</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(39,246)</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12,324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(51,570)</w:t>
            </w:r>
          </w:p>
        </w:tc>
        <w:tc>
          <w:tcPr>
            <w:tcW w:w="80" w:type="dxa"/>
            <w:vAlign w:val="bottom"/>
          </w:tcPr>
          <w:p>
            <w:pPr>
              <w:spacing w:after="0"/>
              <w:rPr>
                <w:sz w:val="19"/>
                <w:szCs w:val="19"/>
                <w:color w:val="auto"/>
              </w:rPr>
            </w:pPr>
          </w:p>
        </w:tc>
      </w:tr>
      <w:tr>
        <w:trPr>
          <w:trHeight w:val="26"/>
        </w:trPr>
        <w:tc>
          <w:tcPr>
            <w:tcW w:w="5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5"/>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47"/>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Net (loss) income</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(32,925)</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(45,642)</w:t>
            </w:r>
          </w:p>
        </w:tc>
        <w:tc>
          <w:tcPr>
            <w:tcW w:w="80" w:type="dxa"/>
            <w:vAlign w:val="bottom"/>
          </w:tcPr>
          <w:p>
            <w:pPr>
              <w:spacing w:after="0"/>
              <w:rPr>
                <w:sz w:val="21"/>
                <w:szCs w:val="2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color w:val="auto"/>
        </w:rPr>
        <w:t>Revenue</w:t>
      </w:r>
    </w:p>
    <w:p>
      <w:pPr>
        <w:spacing w:after="0" w:line="2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Management / advisory fees. </w:t>
      </w:r>
      <w:r>
        <w:rPr>
          <w:rFonts w:ascii="Times New Roman" w:cs="Times New Roman" w:eastAsia="Times New Roman" w:hAnsi="Times New Roman"/>
          <w:sz w:val="19"/>
          <w:szCs w:val="19"/>
          <w:color w:val="auto"/>
        </w:rPr>
        <w:t>Management and advisory fees for the six months ended June 30, 2025, increased by $2.4 million compared to the six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months ended June 30, 2024. This increase was driven by higher fees in our Wealth Management sector, primarily due to higher AUM amounts year over year. These gains were partially offset by lower management fees in the TIG Arbitrage strategy due to fund outflows, and in International Real Estate, due to the disposition of LRA.</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Incentive fees. F</w:t>
      </w:r>
      <w:r>
        <w:rPr>
          <w:rFonts w:ascii="Times New Roman" w:cs="Times New Roman" w:eastAsia="Times New Roman" w:hAnsi="Times New Roman"/>
          <w:sz w:val="19"/>
          <w:szCs w:val="19"/>
          <w:color w:val="auto"/>
        </w:rPr>
        <w:t>or the six months ended June 30, 2025, incentive fees increased by $0.3 million compared to the six months ended June 30, 2024.</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increase is attributable to fund redemptions resulting in crystallized incentive fees in the TIG Arbitrage strategy within Wealth &amp; Capital Solutions for the current year, which led to higher crystallized incentive fees in the current period.</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Distributions from investments. </w:t>
      </w:r>
      <w:r>
        <w:rPr>
          <w:rFonts w:ascii="Times New Roman" w:cs="Times New Roman" w:eastAsia="Times New Roman" w:hAnsi="Times New Roman"/>
          <w:sz w:val="19"/>
          <w:szCs w:val="19"/>
          <w:color w:val="auto"/>
        </w:rPr>
        <w:t>Distributions from investments for the six months ended June 30, 2025 increased by $8.5 million compared to the six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months ended June 30, 2024. This increase was primarily due to higher distributions related to incentive fees in the European Equities and Asian Credit and Special Situation strategies within Wealth &amp; Capital Solutions in the current period resulting from stronger performance in both of these strategies compared to the prior year.</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Other fees / income. </w:t>
      </w:r>
      <w:r>
        <w:rPr>
          <w:rFonts w:ascii="Times New Roman" w:cs="Times New Roman" w:eastAsia="Times New Roman" w:hAnsi="Times New Roman"/>
          <w:sz w:val="19"/>
          <w:szCs w:val="19"/>
          <w:color w:val="auto"/>
        </w:rPr>
        <w:t>Other fees and income for the six months ended June 30, 2025 decreased by $0.4 million compared to the six months 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June 30, 2024. This decrease was primarily driven by lower transactional income in International Real Estate, as we are in the process of exiting businesses that generate such fees, which generated $26.0 thousand in fees for the six months ended June 30, 2025, compared to $386.0 thousand for the six months ended June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Expenses</w:t>
      </w:r>
    </w:p>
    <w:p>
      <w:pPr>
        <w:spacing w:after="0" w:line="2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Compensation expense. </w:t>
      </w:r>
      <w:r>
        <w:rPr>
          <w:rFonts w:ascii="Times New Roman" w:cs="Times New Roman" w:eastAsia="Times New Roman" w:hAnsi="Times New Roman"/>
          <w:sz w:val="19"/>
          <w:szCs w:val="19"/>
          <w:color w:val="auto"/>
        </w:rPr>
        <w:t>Compensation expense for the six months ended June 30, 2025 increased by $8.4 million compared to the six months ended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June 30, 2024. This increase was primarily due to higher compensation costs tied to acquisition-related earn-outs and new equity grants and to organizational streamlining initiatives that continue to be undertaken in 2025.</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Non-compensation expense. </w:t>
      </w:r>
      <w:r>
        <w:rPr>
          <w:rFonts w:ascii="Times New Roman" w:cs="Times New Roman" w:eastAsia="Times New Roman" w:hAnsi="Times New Roman"/>
          <w:sz w:val="19"/>
          <w:szCs w:val="19"/>
          <w:color w:val="auto"/>
        </w:rPr>
        <w:t>Non-compensation expenses for the six months ended June 30, 2025 increased by $16.4 million as compared to the six</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months ended June 30, 2024, primarily driven by a $10.4 million increase in one-time professional fees and a $3.1 million increase in general, administrative and other costs due to foreign exchange movements, irrecoverable VAT, and one-time bad debt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income (expenses)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Other income (expenses) for the six months ended June 30, 2025 decreased by $(37.6) million compared to the six months ended June 30, 2024, primarily driven by the change in fair value of earn-out liabilities as a result of share price changes and forecasted performance. During the six months ended June 30, 2025, loss on earn-out liabilities of $5.2 million was recognized as compared to a gain on earn-out liabilities of $37.5 million for the six months ended June 30,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Taxes</w:t>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The Company’s effective tax rate was 16.1% for the six months ended June 30, 2025 compared to (3.2)% for six months ended June 30, 2024. The effective tax rate for the six months ended June 30, 2024 differed from the statutory U.S. corporate tax rate primarily due to the tax impact of mark-to-market losses associated with contingent liabilities, equity consideration in the Business Combination, and nondeductible professional fees incurred in connection with the Business Combination. The effective tax rate for the six months ended June 30, 2025 differed from the statutory U.S. corporate tax rate primarily due to the impact of valuation allowance with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6" w:name="page97"/>
    <w:bookmarkEnd w:id="96"/>
    <w:p>
      <w:pPr>
        <w:jc w:val="both"/>
        <w:spacing w:after="0" w:line="250" w:lineRule="auto"/>
        <w:rPr>
          <w:sz w:val="20"/>
          <w:szCs w:val="20"/>
          <w:color w:val="auto"/>
        </w:rPr>
      </w:pPr>
      <w:r>
        <w:rPr>
          <w:rFonts w:ascii="Times New Roman" w:cs="Times New Roman" w:eastAsia="Times New Roman" w:hAnsi="Times New Roman"/>
          <w:sz w:val="19"/>
          <w:szCs w:val="19"/>
          <w:color w:val="auto"/>
        </w:rPr>
        <w:t>respect to deferred tax assets generated in the Company’s subsidiaries in the U.K. and in the Company’s investment in subsidiary, certain gains recognized on contingent liabilities for which no tax liability is recognized, and state and local taxes.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Management assesses liquidity in terms of our ability to generate cash to fund operating, investing, and financing activities. Management takes a prudent approach to ensure the Company’s liquidity will continue to be sufficient for its foreseeable working capital needs, contractual obligations, distribution payments and strategic initiatives.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auto"/>
        </w:rPr>
        <w:t>During the fourth quarter ended December 31 2024, the Company repaid its debt outstanding under the bank credit facility (see Note 14 (Debt, net of unamortized deferred financing costs) to our condensed consolidated financial statements included in this Quarterly Report) with the proceeds raised from the Allianz Transaction and the Constellation Transaction (see Note 1 (Description of the Business) to our condensed consolidated financial statements included in this Quarterly Report). On January 3, 2023, concurrent with the consummation of the Business Combination, the Company had entered into a $250.0 million credit facility with a syndicate led by BMO Capital Markets Corp. The facility, which had a term of five years and was comprised of a $150.0 million revolving credit facility and a $100.0 million term loan facility, was to be used to pay down subsidiary debt and fund growth initiatives.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u w:val="single" w:color="auto"/>
          <w:color w:val="auto"/>
        </w:rPr>
        <w:t>Allianz and Constellation Investment</w:t>
      </w:r>
    </w:p>
    <w:p>
      <w:pPr>
        <w:spacing w:after="0" w:line="2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22, 2024, the Company entered into an Investment Agreement (the “Allianz Investment Agreement”) with Allianz, pursuant to which, among other things, at the closing of the transaction, and based on the terms and subject to the conditions set forth therein: (i) Allianz purchased in the aggregate $250 million of the Company’s capital securities, consisting of (a) 140,000 shares of a newly created class of Series A Preferred Stock, with a liquidation preference of $1,000 per share and (b) 19,318,580.96 shares of the Company’s Class A Common Stock, and (ii) the Company issued to Allianz warrants to purchase 5,000,000 shares of Class A Common Stock at an exercise price of $7.40 per share of Class A Common Stock, subject to customary adjustments (the “Allianz Warrants”). As of June 30, 2025, none of the Allianz Warrants have been exercised.</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In addition, 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Consummation of the Allianz Transaction closed as of July 31, 2024. Refer to Note 1 (Description of the Business) in our accompanying condensed consolidated financial statements for additional details.</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Concurrently with the Company’s execution of the Allianz Investment Agreement, the Company entered into an Investment Agreement with Constellation (the “Constellation Investment Agreement”). On March 27, 2024, the Company completed the sale to Constellation of 115,000 shares of a newly created class of preferred stock designated Series C Preferred Stock for a purchase price equal to $115.0 million and issued to Constellation warrants to purchase 1,533,333 shares of the Company’s Class A Common Stock at an exercise price of $7.40 per share (the “Constellation Warrants”) in each case on terms consistent with the Constellation Investment Agreement.</w:t>
      </w:r>
    </w:p>
    <w:p>
      <w:pPr>
        <w:spacing w:after="0" w:line="1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On May 15, 2024, in accordance with the Constellation Investment Agreement, the Company completed the sale to Constellation of 35,000 additional shares of Series C Preferred Stock for a purchase price equal to $35 million and issued additional Constellation Warrants to purchase 466,667 shares of the Company’s Class A Common Stock. As of June 30, 2025, none of the Constellation Warrants have been exercised.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b w:val="1"/>
          <w:bCs w:val="1"/>
          <w:color w:val="auto"/>
        </w:rPr>
        <w:t>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 the Six Months Ended June 30, 2025 Compared to the Six Months Ended June 30, 2024</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following tables and discussion summarize our Condensed Consolidated Statement of Cash Flows by activity attributable to AlTi for the periods indicated. Negative amounts represent an outflow or use of cash.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80" w:type="dxa"/>
            <w:vAlign w:val="bottom"/>
            <w:gridSpan w:val="5"/>
          </w:tcPr>
          <w:p>
            <w:pPr>
              <w:ind w:left="700"/>
              <w:spacing w:after="0"/>
              <w:rPr>
                <w:sz w:val="20"/>
                <w:szCs w:val="20"/>
                <w:color w:val="auto"/>
              </w:rPr>
            </w:pPr>
            <w:r>
              <w:rPr>
                <w:rFonts w:ascii="Times New Roman" w:cs="Times New Roman" w:eastAsia="Times New Roman" w:hAnsi="Times New Roman"/>
                <w:sz w:val="17"/>
                <w:szCs w:val="17"/>
                <w:b w:val="1"/>
                <w:bCs w:val="1"/>
                <w:color w:val="auto"/>
              </w:rPr>
              <w:t>For the Six Months Ended</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Favorable (unfavorable)</w:t>
            </w:r>
          </w:p>
        </w:tc>
      </w:tr>
      <w:tr>
        <w:trPr>
          <w:trHeight w:val="26"/>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1"/>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19"/>
                <w:szCs w:val="19"/>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80" w:type="dxa"/>
            <w:vAlign w:val="bottom"/>
          </w:tcPr>
          <w:p>
            <w:pPr>
              <w:spacing w:after="0"/>
              <w:rPr>
                <w:sz w:val="19"/>
                <w:szCs w:val="19"/>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6"/>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(45,656)</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228"/>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13,339</w:t>
            </w:r>
          </w:p>
        </w:tc>
        <w:tc>
          <w:tcPr>
            <w:tcW w:w="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(23,654)</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36,993</w:t>
            </w:r>
          </w:p>
        </w:tc>
      </w:tr>
      <w:tr>
        <w:trPr>
          <w:trHeight w:val="26"/>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112,225</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(100,221)</w:t>
            </w:r>
          </w:p>
        </w:tc>
      </w:tr>
      <w:tr>
        <w:trPr>
          <w:trHeight w:val="228"/>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on cash balances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w:t>
            </w:r>
          </w:p>
        </w:tc>
      </w:tr>
      <w:tr>
        <w:trPr>
          <w:trHeight w:val="26"/>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72"/>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41,738</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(64,818)</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Cash and cash equivalents decreased by $23.1 million during the six months ended June 30, 2025 primarily due to the Company’s net operating and activities during the period, partially offset by the Company’s net investing and financing activities during the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Operating Activities</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cash inflows from operating activities are comprised of cash collected through management and advisory fees, incentive fees, distributions from investments, and other income/fees. Cash outflows primarily include operating expenses, with the most significant components being compensation and benefits and professional fees. Our net operating cash outflow of $50.1 million for the six months ended June 30, 2025, was primarily driven by decreases in Accrued compensation and profit sharing in addition to Accounts payable and accrued expenses of $20.8 million and $14.6 million, respectively. Management believes that continued efforts to implement cost rationalization initiatives and to deploy recently raised capital in accretive businesses will further reduce operating cash outflows as the Company scales and matures.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Our net operating cash outflow of $45.7 million for the six months ended June 30, 2024, was primarily driven by the decrease in Accrued compensation and profit sharing of $31.6 million and the level of professional fees and resulting decrease in Accounts payable and accrued expenses of $16.0 million, which were elevated during that period due to the high usage of professional services firms in connection with capital raising and other financing activities and related to supporting the Company’s evolving financial reporting infrastructure.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Investing Activities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Net cash provided by investing activities of $13.3 million during the six months ended June 30, 2025, was driven primarily by the proceeds received of $20.4 million from the sale of an equity method investment, partially offset by the acquisition of Kontora, net of cash acquired of $6.6 million.</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Net cash provided by investing activities of $23.7 million during the six months ended June 30, 2024, primarily related to proceeds received of $32.2 million from the sale of LXi.</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Financing Activities</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Net cash used in financing activities of $12.0 million during the six months ended June 30, 2025, primarily resulted from the issuance of additional preferred stock.</w:t>
      </w:r>
    </w:p>
    <w:p>
      <w:pPr>
        <w:spacing w:after="0" w:line="1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Net cash provided by financing activities of $112.2 million for the six months ended June 30, 2024, primarily were driven by the issuance of preferred equity and warrants to Constellation Wealth Capital of $145.7 million, net of transaction costs paid.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9"/>
          <w:szCs w:val="19"/>
          <w:b w:val="1"/>
          <w:bCs w:val="1"/>
          <w:color w:val="auto"/>
        </w:rPr>
        <w:t>Contractual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As discussed in Note 19 (Commitments and Contingencies) to our condensed consolidated financial statements included in this Quarterly Report, we may in the future be required to make payments under the TRA.</w:t>
      </w:r>
    </w:p>
    <w:p>
      <w:pPr>
        <w:spacing w:after="0" w:line="1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Pursuant to the TRA, the Company will pay certain parties to the Business Combination 85% of certain tax benefits, if any, that it realizes (or in certain cases is deemed to realize) as a result of any increase in tax basis of the assets of Umbrella related to the Business Combination.</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Amounts payable under the TRA are contingent upon (i) the generation of taxable income in the Company over the life of the TRA, (ii) the tax rates in effect as of time periods in which tax benefits are used, and (iii) certain terms governing the rate of interest to be applied to payments under the TRA.</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 of June 30, 2025 and December 31, 2024, the liability associated with the TRA was approximately $30.4 million and $28.8 million, respectively. Payments under the TRA that are on account of liabilities arising in connection with the Business Combination will be revalued at the end of each reporting period with the gain or loss recognized in earnings. As of June 30, 2025 and December 31, 2024, the Company carried $9.8 million and $9.4 million, respectively, of its TRA liability at fair value, as it is contingent consideration from the Business Combination. The remaining portion of the TRA liability is carried at a value equal to the expected future payments under the TRA.</w:t>
      </w:r>
    </w:p>
    <w:p>
      <w:pPr>
        <w:spacing w:after="0" w:line="13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As of June 30, 2025, holders of Class B Units have exchanged a total of 9,922,737 Class B Paired Interests with the Company, for shares of Class A Common Stock on a 1:1 basis totaling an amount equal to the weighted average price of $5.79 multiplied by the total number of shares of Class A Common Stock received at the time of the transactions.</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As of June 30, 2025, assuming no material changes in the relevant tax laws and that the Company generates sufficient taxable income to realize the full tax benefit of the increased amortization resulting from the increase in tax basis of certain of AlTi’s assets, we expect to pay approximately $30.4 million under the TRA. Future changes in the fair value of the TRA liability will be recognized in earnings. Any future cash savings and related payments under the TRA due to subsequent exchanges of Class B Paired Interests for shares of Class A Common Stock would be accounted for separately from the amount related to the Business Combination.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Warrants</w:t>
      </w:r>
    </w:p>
    <w:p>
      <w:pPr>
        <w:spacing w:after="0" w:line="18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On March 27, 2024, the Company completed the initial issuance of Constellation Warrants to purchase 1,533,333 shares of the Company’s Class A Common Stock. On May 15, 2024, the Company completed the issuance of an additional tranche of Constellation Warrants to purchase 466,667 shares of the Company’s Class A Common Stock. As of June 30, 2025, none of the Constellation Warrants have been exercised.</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On July 31, 2024, the Company issued the Allianz Warrants to purchase 5,000,000 shares of the Company’s Class A Common Stock. As of June 30, 2025, none of the Allianz Warrants have been exercised.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i w:val="1"/>
          <w:iCs w:val="1"/>
          <w:color w:val="auto"/>
        </w:rPr>
        <w:t>Business Combination Earn-out</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June 30, 2025 and December 31, 2024, the fair value of the earn-out share liability was $17.7 million and $23.8 million, respectively, which is included in Earn-out liabilities, at fair value presented on the Condensed Consolidated Statement of Financial Position. See Note 2 (Summary of Significant Accounting Policies) to our condensed consolidated financial statements included in this Quarterly Report for additional detail.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East End Advisors Contingent Consideration</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April 1, 2024, the Company acquired all of the issued and outstanding ownership and membership interests of EEA. The EEA Acquisition was accounted for using the acquisition method of accounting and the fair value of the total purchase consideration transferred was $93.1 million. Included in the total purchase consideration is estimated contingent consideration of $23.3 million, for which the Company may be required to make additional cash payments contingent on the future EBITDA performance targets between the closing date and the fifth anniversary of the closing date. As of June 30, 2025 and December 31, 2024, the fair value of the earn-out share liability was $23.6 million and $29.9 million, respectively, which is included in Earn-out liabilities, at fair value presented on the Condensed Consolidated Statement of Financial Position.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Pointwise Deferred Consideration</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On May 9, 2024, AlTi acquired the remaining 50% of the issued and outstanding ownership and membership interest of PW, increasing its interest from 50% to 100%. The PW Acquisition was accounted for using the acquisition method of accounting and the fair value of the total purchase consideration was $8.0 million. The total purchase consideration transferred includes cash consideration, equity consideration and estimated deferred consideration of $3.3 million. The deferred consideration was measured at fair value at the acquisition date, and as of December 31, 2024, amounted to $3.3 million, and was recorded within the Other liabilities line item in the Condensed Consolidated Statement of Financial Position. The deferred consideration was paid during the quarter ended March 31, 2025, in cash and equity totaling $3.0 million.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Envoi Earn-out Liability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On July 1, 2024, the Company purchased substantially all of the assets of Envoi pursuant to the terms of the Envoi Acquisition. The Envoi Acquisition was accounted for using the acquisition method of accounting and the fair value of the total purchase consideration transferred was $34.3 million. The total purchase consideration transferred includes estimated contingent consideration totaling $9.0 million, comprised of the Envoi earn-out consideration liability and the Envoi earn-out growth consideration liability, for which the Company may be required to pay additional cash or equity consideration contingent on future revenue-based performance targets between the closing date and the fourth anniversary of the closing date. As of June 30, 2025 and December 31, 2024, the Envoi earn-out consideration liability of $9.8 million and $9.6 million, respectively, and the Envoi earn-out growth consideration liability of $1.2 million and $1.3 million, respectively, are included in Earn-out liabilities, at fair value presented on the Condensed Consolidated Statement of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Indemnification Arrangements</w:t>
      </w:r>
    </w:p>
    <w:p>
      <w:pPr>
        <w:spacing w:after="0" w:line="1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00" w:name="page101"/>
    <w:bookmarkEnd w:id="100"/>
    <w:p>
      <w:pPr>
        <w:jc w:val="both"/>
        <w:spacing w:after="0" w:line="278" w:lineRule="auto"/>
        <w:rPr>
          <w:sz w:val="20"/>
          <w:szCs w:val="20"/>
          <w:color w:val="auto"/>
        </w:rPr>
      </w:pPr>
      <w:r>
        <w:rPr>
          <w:rFonts w:ascii="Times New Roman" w:cs="Times New Roman" w:eastAsia="Times New Roman" w:hAnsi="Times New Roman"/>
          <w:sz w:val="19"/>
          <w:szCs w:val="19"/>
          <w:color w:val="auto"/>
        </w:rPr>
        <w:t>Position. As of June 30, 2025, the Company has not had prior claims or losses pursuant to these contracts and expects the risk of material loss to be remote.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Estimates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We prepare our condensed consolidated financial statements in accordance with US GAAP.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 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condensed consolidated financial statements included in this Quarterly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Estimation of Fair Values</w:t>
      </w:r>
    </w:p>
    <w:p>
      <w:pPr>
        <w:spacing w:after="0" w:line="2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Investments at Fair Value – External Strategic Managers: </w:t>
      </w:r>
      <w:r>
        <w:rPr>
          <w:rFonts w:ascii="Times New Roman" w:cs="Times New Roman" w:eastAsia="Times New Roman" w:hAnsi="Times New Roman"/>
          <w:sz w:val="19"/>
          <w:szCs w:val="19"/>
          <w:color w:val="auto"/>
        </w:rPr>
        <w:t>The fair values of our Investments in External Strategic Managers were determined using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significant unobservable inputs. The assumptions used could have a material impact on the valuation of these assets and include our best estimates of expected future cash flows and an appropriate discount rate. Changes in the estimated fair values of these assets may have a material impact on our results of operations in any given period, as any decreases in these assets have a corresponding negative impact on our GAAP results of operations in the period in which the changes occur.</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TRA Liability: </w:t>
      </w:r>
      <w:r>
        <w:rPr>
          <w:rFonts w:ascii="Times New Roman" w:cs="Times New Roman" w:eastAsia="Times New Roman" w:hAnsi="Times New Roman"/>
          <w:sz w:val="19"/>
          <w:szCs w:val="19"/>
          <w:color w:val="auto"/>
        </w:rPr>
        <w:t>We carry a portion of our TRA liability at fair value, as it is a contingent consideration related to the Business Combination.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valuation of the TRA liability is sensitive 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US GAAP results of operations. However, payments under the TRA are ultimately only made to the extent we realize the offsetting cash savings on our income taxes due to the tax goodwill and other intangibles deduction.</w:t>
      </w:r>
    </w:p>
    <w:p>
      <w:pPr>
        <w:spacing w:after="0" w:line="20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i w:val="1"/>
          <w:iCs w:val="1"/>
          <w:color w:val="auto"/>
        </w:rPr>
        <w:t xml:space="preserve">Earn-out Liabilities: </w:t>
      </w:r>
      <w:r>
        <w:rPr>
          <w:rFonts w:ascii="Times New Roman" w:cs="Times New Roman" w:eastAsia="Times New Roman" w:hAnsi="Times New Roman"/>
          <w:sz w:val="19"/>
          <w:szCs w:val="19"/>
          <w:color w:val="auto"/>
        </w:rPr>
        <w:t>The fair values of our Business Combination Earn-out Securities liability, our EEA earn-out liability, our Envoi earn-out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consideration liability, our Envoi earn-out growth consideration liability, and our Kontora earn-out liability 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US GAAP results of operations in the period in which the changes occur. See Note 2 (Summary of Significant Accounting Policies) for additional details.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9"/>
          <w:szCs w:val="19"/>
          <w:i w:val="1"/>
          <w:iCs w:val="1"/>
          <w:color w:val="auto"/>
        </w:rPr>
        <w:t xml:space="preserve">Equity-based Compensation: </w:t>
      </w:r>
      <w:r>
        <w:rPr>
          <w:rFonts w:ascii="Times New Roman" w:cs="Times New Roman" w:eastAsia="Times New Roman" w:hAnsi="Times New Roman"/>
          <w:sz w:val="19"/>
          <w:szCs w:val="19"/>
          <w:color w:val="auto"/>
        </w:rPr>
        <w:t>The Company issued stock grants to certain employees as bonus compensation. The fair value of the grants was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determined based on the share price on the date of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Fair Value of Assets Acquired and Liabilities Assumed in Business Combinations: </w:t>
      </w:r>
      <w:r>
        <w:rPr>
          <w:rFonts w:ascii="Times New Roman" w:cs="Times New Roman" w:eastAsia="Times New Roman" w:hAnsi="Times New Roman"/>
          <w:sz w:val="19"/>
          <w:szCs w:val="19"/>
          <w:color w:val="auto"/>
        </w:rPr>
        <w:t>The determination of the fair values of assets acquired and</w:t>
      </w:r>
    </w:p>
    <w:p>
      <w:pPr>
        <w:spacing w:after="0" w:line="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liabilities assumed in business combinations involves significant judgment and estimation. We utilize various valuation techniques, including discounted cash flow approach and market approach, to assess the fair value of identifiable assets and liabilities. These valuation methodologies incorporate assumptions regarding future cash inflows and outflows, discount rates, useful lives of assets,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1" w:name="page102"/>
    <w:bookmarkEnd w:id="101"/>
    <w:p>
      <w:pPr>
        <w:jc w:val="both"/>
        <w:spacing w:after="0" w:line="255" w:lineRule="auto"/>
        <w:rPr>
          <w:sz w:val="20"/>
          <w:szCs w:val="20"/>
          <w:color w:val="auto"/>
        </w:rPr>
      </w:pPr>
      <w:r>
        <w:rPr>
          <w:rFonts w:ascii="Times New Roman" w:cs="Times New Roman" w:eastAsia="Times New Roman" w:hAnsi="Times New Roman"/>
          <w:sz w:val="19"/>
          <w:szCs w:val="19"/>
          <w:color w:val="auto"/>
        </w:rPr>
        <w:t>market multiples, and the realization of tax assets. Additionally, we allocate the purchase price consideration among identifiable assets acquired and liabilities assumed, considering any contingent consideration. The realization of tax assets is assessed based on historical performance, future taxable income projections, and applicable tax laws and regulations. Uncertainties and contingencies inherent in the fair value measurement process are carefully evaluated and disclosed as appropriate to ensure transparency in our financial reporting.</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Fair Value of Reporting Units for Goodwill Impairment Testing: </w:t>
      </w:r>
      <w:r>
        <w:rPr>
          <w:rFonts w:ascii="Times New Roman" w:cs="Times New Roman" w:eastAsia="Times New Roman" w:hAnsi="Times New Roman"/>
          <w:sz w:val="19"/>
          <w:szCs w:val="19"/>
          <w:color w:val="auto"/>
        </w:rPr>
        <w:t>In assessing goodwill impairment, we determine the fair value of reporting units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using established valuation methodologies, primarily the discounted cash flow approach and market approach. The income approach involves discounting future cash flows generated by the reporting units, considering key assumptions such as revenue growth rates, discount rates, terminal value calculations, and market multiples. Goodwill is allocated to reporting units, and impairment is evaluated by comparing the carrying amount of goodwill to the fair value of the reporting units. We conduct regular assessments for triggering events or changes in circumstances that may necessitate goodwill impairment testing. These disclosures ensure stakeholders understand the methodologies, assumptions, and sensitivities involved in our goodwill impairment testing process.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conduct sensitivity analyses on key inputs and assumptions used in fair value measurements and critical accounting estimates to assess the potential impact on financial results. Changes in assumptions, such as discount rates, growth rates, or market multiples, are carefully evaluated to understand their effect on the fair value of assets, liabilities, or reporting units. Our sensitivity analysis considers a range of potential outcomes and their implications on financial reporting. Mitigating factors and risk management strategies are employed to address uncertainties and enhance the reliability of our financial disclosures. These disclosures provide stakeholders with insight into the robustness of our valuation methodologies and the degree of uncertainty inherent in our financial reporting process.</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Fair Value of the Allianz Tranche Right: </w:t>
      </w:r>
      <w:r>
        <w:rPr>
          <w:rFonts w:ascii="Times New Roman" w:cs="Times New Roman" w:eastAsia="Times New Roman" w:hAnsi="Times New Roman"/>
          <w:sz w:val="19"/>
          <w:szCs w:val="19"/>
          <w:color w:val="auto"/>
        </w:rPr>
        <w:t>The fair value of the Allianz Tranche Right uses various significant unobservable inputs and is determined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using the binomial lattice model. The assumptions used could have a material impact on the valuation of this liability and include our best estimate of expected volatility, expected holding periods, and appropriate discounts for lack of marketability. Changes in the estimated fair value of this liability may have a material impact on our results of operations in any given period, as any increase in this liability has a corresponding negative impact on our US GAAP results of operations in the period in which the changes occur.</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Fair Value of Contingent Consideration Receivable: </w:t>
      </w:r>
      <w:r>
        <w:rPr>
          <w:rFonts w:ascii="Times New Roman" w:cs="Times New Roman" w:eastAsia="Times New Roman" w:hAnsi="Times New Roman"/>
          <w:sz w:val="19"/>
          <w:szCs w:val="19"/>
          <w:color w:val="auto"/>
        </w:rPr>
        <w:t>The fair value of contingent consideration receivable uses a Monte Carlo simulation to estimate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future share price of the acquirer of LRA. Any implied contingent consideration is discounted using the risk-free rate and the acquirer’s estimated credit spread. Changes in any assumptions, such as the discount rate or the estimated credit spread may have a material impact on our results of operations in any given period, as any decrease in this receivable may have a corresponding negative impact on our US GAAP results of operations in the period in which the changes occur.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Deferred tax assets and liabilities are recognized for the expected future tax consequences, using currently enacted tax rates, of differences between the carrying amount of assets and liabilities and their respective tax</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2" w:name="page103"/>
    <w:bookmarkEnd w:id="102"/>
    <w:p>
      <w:pPr>
        <w:jc w:val="both"/>
        <w:spacing w:after="0" w:line="264" w:lineRule="auto"/>
        <w:rPr>
          <w:sz w:val="20"/>
          <w:szCs w:val="20"/>
          <w:color w:val="auto"/>
        </w:rPr>
      </w:pPr>
      <w:r>
        <w:rPr>
          <w:rFonts w:ascii="Times New Roman" w:cs="Times New Roman" w:eastAsia="Times New Roman" w:hAnsi="Times New Roman"/>
          <w:sz w:val="19"/>
          <w:szCs w:val="19"/>
          <w:color w:val="auto"/>
        </w:rPr>
        <w:t>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Variable Interest Entities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The determination of whether to consolidate a VIE under US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judgment when analyzing the status of an entity and whether we consolidate an entity could have a material impact on individual line items within our condensed consolidated financial statements, as a change in our conclusion would have the effect of grossing up the assets, liabilities, revenues and expenses of the entity being evaluated. In light of the relatively insignificant direct and indirect investments into our products, the likelihood of a reasonable change in our estimation and judgment would likely not result in a change in our conclusions to consolidate or not consolidate any VIEs to which we have exposure.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Impact of Changes in Accounting on Recent and Future Trends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Company has considered all newly issued accounting guidance that is applicable to its operations and the preparation of its unaudited condensed consolidated statements, including those it has not yet adopted. We believe that none of the changes to US GAAP that went into effect during the six months ended June 30, 2025, or that have been issued but that we have not yet adopted have substantively impacted our recent trends or are expected to substantively impact our future trends.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Quantitative and Qualitative Disclosures About Market Risk</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In the normal course of business as a wealth management advisor, we are exposed to a broad range of risks inherent in the financial markets in which we participate, including market risk, credit and counterparty risk, liquidity risk, and exchange rate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Market Risk</w:t>
      </w:r>
    </w:p>
    <w:p>
      <w:pPr>
        <w:spacing w:after="0" w:line="1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Our revenue is predominantly derived from investment management or advisory fees, incentive fees, and distributions from investments. Management fees are generally calculated based on a percentage of the value of billable AUM or AUA (as applicable), while incentive fees are driven by the underlying performance of managed portfolios. The market price of investments may significantly fluctuate during the period of investment and should their value decline, our fees may decline accordingly. Investments may decline in value due to factors affecting securities markets generally or particular industries represented in the securities markets. The value of an investment may decline due to general market conditions, which are not specifically related to such investment, such as real or perceived adverse economic conditions, changes in the general outlook for corporate earnings, changes in interest or currency rates, or adverse investor sentiment generally. It may also decline due to factors that affect a particular industry or industries, such as labor shortages or increased production costs and competitive conditions within an industry. The impact of changes in market risk on client specific liquidity or overall financial position may result in clients changing their asset holdings, including increasing or decreasing the non-billable portion of their asset portfolios. Such changes will also impact our fees.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Risk and Counterparty Risk</w:t>
      </w:r>
    </w:p>
    <w:p>
      <w:pPr>
        <w:spacing w:after="0" w:line="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agreements where we provide services, and such transactions contain an element of risk in the event that the counterparties are unable to meet the terms of such agreements. In such agreements, we depend on the counterparty to make payment or otherwise perform. We generally endeavor to minimize our risk of exposure through reviews of the financial condition of new clients and through collection of fees directly from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03" w:name="page104"/>
    <w:bookmarkEnd w:id="103"/>
    <w:p>
      <w:pPr>
        <w:jc w:val="both"/>
        <w:spacing w:after="0" w:line="243" w:lineRule="auto"/>
        <w:rPr>
          <w:sz w:val="20"/>
          <w:szCs w:val="20"/>
          <w:color w:val="auto"/>
        </w:rPr>
      </w:pPr>
      <w:r>
        <w:rPr>
          <w:rFonts w:ascii="Times New Roman" w:cs="Times New Roman" w:eastAsia="Times New Roman" w:hAnsi="Times New Roman"/>
          <w:sz w:val="19"/>
          <w:szCs w:val="19"/>
          <w:color w:val="auto"/>
        </w:rPr>
        <w:t>client portfolios. For clients that generate fees from carried interest and/or preferred return, we periodically review the receivables for collectability and will make appropriate provision for credit losses, should circumstances warrant. Additionally, our ability to secure credit from financial institutions and other lenders may be uncertain due to market conditions, and under certain circumstances we may not be able to access financing.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Liquidity Risk</w:t>
      </w: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See the disclosures contained in “Management’s Discussion and Analysis of Financial Condition and Results of Operations of AlTi Global, Inc. – Liquidity and Capital Resources” for a discussion of our liquidity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Exchange Rate Risk</w:t>
      </w:r>
    </w:p>
    <w:p>
      <w:pPr>
        <w:spacing w:after="0" w:line="1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9"/>
          <w:szCs w:val="19"/>
          <w:color w:val="auto"/>
        </w:rPr>
        <w:t>We and our funds hold investments that are denominated in foreign currencies that may be affected by movements in the rate of exchange between those currencies and the U.S. dollar. Movements in the exchange rate between currencies impact the management fees, carried interest and incentive fees earned by funds with fee paying AUM denominated in foreign currencies as well as by funds with fee paying 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our exposure to exchange rate risks in the course of our regular operating activities, wherein we utilize payments received in foreign currencies to fulfill obligations in foreign currencies. When appropriate, we will use derivative financial instruments to hedge the net foreign currency exposure from certain direct investments denominated in foreign currencies and the cash flow exposure from our foreign based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9"/>
          <w:szCs w:val="19"/>
          <w:b w:val="1"/>
          <w:bCs w:val="1"/>
          <w:color w:val="auto"/>
        </w:rPr>
        <w:t>Item 4.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Under the supervision and with the participation of our management, including our principal executive officer and principal financial officer, we conducted an evaluation of the effectiveness of our disclosure controls and procedures (as defined in Rules 13a-15(e) and 15d-15(e) under the Securities Exchange Act of 1934 (the “Exchange Act”)) as of June 30, 2025. Disclosure controls and procedures are designed to provide reasonable assurance that information required to be disclosed by us in our Exchange Act reports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have concluded that, as of June 30, 2025, our disclosure controls and procedures were not effective due to material weaknesses in internal control over financial reporting, as further described below in Changes in Internal Control Over Financial Reporting.</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As previously disclosed in Part II, Item 9A of our Annual Report, management identified material weaknesses in internal control over financial reporting relating to the lack of sufficiently documented risk assessments, process level controls and information technology controls that support our financial statements and reporting. Further, management has commenced remediation efforts, but as of June 30, 2025, has not completed its efforts to design and implement a testing plan to determine the effectiveness of controls that support our financial statements and reporting.</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Management has implemented a remediation plan to address the material weaknesses in our internal control over financial reporting, including, among other things, hiring additional accounting personnel, completing its efforts to design and implement process level and management review controls, and sufficiently documenting and implementing policies to provide reasonable assurance that financial statement disclosures are complete and accurate and identify and address emerging risks.</w:t>
      </w:r>
    </w:p>
    <w:p>
      <w:pPr>
        <w:spacing w:after="0" w:line="1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During the six months ended June 30, 2025 and the year ended 2024, management has made meaningful progress in enhancing its internal control over financial reporting, as the Company prepares to complete the implementation of effective controls with the objective of remediating all previously identified material weaknesses no later than December 31, 2025. This progress includes the following:</w:t>
      </w:r>
    </w:p>
    <w:p>
      <w:pPr>
        <w:spacing w:after="0" w:line="202" w:lineRule="exact"/>
        <w:rPr>
          <w:sz w:val="20"/>
          <w:szCs w:val="20"/>
          <w:color w:val="auto"/>
        </w:rPr>
      </w:pPr>
    </w:p>
    <w:p>
      <w:pPr>
        <w:jc w:val="both"/>
        <w:ind w:left="620" w:hanging="313"/>
        <w:spacing w:after="0" w:line="257" w:lineRule="auto"/>
        <w:tabs>
          <w:tab w:leader="none" w:pos="60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has designed and implemented risk assessment review processes (gap analysis) that are intended to identify risks that could result, if not detected timely, in material misstatements in our consolidated financial statements. Management believes that such review risk assessment processes have been effectively implemented as of December 31, 2024.</w:t>
      </w:r>
    </w:p>
    <w:p>
      <w:pPr>
        <w:spacing w:after="0" w:line="202" w:lineRule="exact"/>
        <w:rPr>
          <w:rFonts w:ascii="Times New Roman" w:cs="Times New Roman" w:eastAsia="Times New Roman" w:hAnsi="Times New Roman"/>
          <w:sz w:val="19"/>
          <w:szCs w:val="19"/>
          <w:color w:val="auto"/>
        </w:rPr>
      </w:pPr>
    </w:p>
    <w:p>
      <w:pPr>
        <w:jc w:val="both"/>
        <w:ind w:left="620" w:hanging="313"/>
        <w:spacing w:after="0" w:line="247" w:lineRule="auto"/>
        <w:tabs>
          <w:tab w:leader="none" w:pos="6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identified and documented processes supporting the recording of balances and transactions in the Company’s consolidated financial statements and identified and documented controls that are intended to mitigate the risk of material misstatement in account balances and financial statement disclosures. The Company completed the exercise of documenting controls during the first fiscal quarter of 2025 and began tests of design and operating effectiveness of certain controls during the second fiscal quarter of 2025. The Company intends to continue tests of design and operating effectiveness of certain controls during the third and fourth fiscal quarters of 2025. The Company’s overall objective is that such testing of operating effectiveness of controls will continue throughout 2025 to allow the Company to remediate previously identified material weaknesses in its internal control over financial reporting specifically related to process level controls.</w:t>
      </w:r>
    </w:p>
    <w:p>
      <w:pPr>
        <w:spacing w:after="0" w:line="202" w:lineRule="exact"/>
        <w:rPr>
          <w:rFonts w:ascii="Times New Roman" w:cs="Times New Roman" w:eastAsia="Times New Roman" w:hAnsi="Times New Roman"/>
          <w:sz w:val="18"/>
          <w:szCs w:val="18"/>
          <w:color w:val="auto"/>
        </w:rPr>
      </w:pPr>
    </w:p>
    <w:p>
      <w:pPr>
        <w:jc w:val="both"/>
        <w:ind w:left="620" w:hanging="313"/>
        <w:spacing w:after="0" w:line="243" w:lineRule="auto"/>
        <w:tabs>
          <w:tab w:leader="none" w:pos="60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has identified and documented information technology controls related to the Company’s general information technology control environment that mitigates risks associated with items including systems development and change management, appropriate access to systems, and management of the Company’s internal financial and third-party customer data. These information technology processes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5" w:name="page106"/>
    <w:bookmarkEnd w:id="105"/>
    <w:p>
      <w:pPr>
        <w:jc w:val="both"/>
        <w:ind w:left="620"/>
        <w:spacing w:after="0" w:line="237" w:lineRule="auto"/>
        <w:rPr>
          <w:sz w:val="20"/>
          <w:szCs w:val="20"/>
          <w:color w:val="auto"/>
        </w:rPr>
      </w:pPr>
      <w:r>
        <w:rPr>
          <w:rFonts w:ascii="Times New Roman" w:cs="Times New Roman" w:eastAsia="Times New Roman" w:hAnsi="Times New Roman"/>
          <w:sz w:val="19"/>
          <w:szCs w:val="19"/>
          <w:color w:val="auto"/>
        </w:rPr>
        <w:t>and controls continue to be documented and tested for design effectiveness. The Company completed this exercise during the second fiscal quarter of 2025. The Company intends to continue tests of operating effectiveness of certain information technology controls during the third and fourth fiscal quarters of 2025. The Company’s overall objective is that such testing of operating effectiveness of controls will continue throughout 2025 to allow the Company to remediate previously identified material weaknesses in its internal control over financial reporting specifically related to information technology controls.</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Based on the progress made during the six months ended June 30, 2025 and the year ended 2024 in completing its remediation plan, management believes that the previously identified material weakness related to the lack of sufficiently documented risk assessments has been remediated. The previously identified material weaknesses related to process level controls and information technology controls that support our financial statements and reporting remain as of June 30, 2025 and are expected to remain until such time as management has successfully completed sufficient tests of design and operating effectiveness on these controls to allow it to conclude that such controls are effective and that the material weaknesses have been remediated.</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Going forward we expect to incur additional material costs to complete the remediation plan, including costs incurred by our external auditor to assess whether all material weaknesses have been remediated. We can give no assurance that such efforts will remediate these deficiencies in internal control over financial reporting or that additional material weaknesses in our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our reporting obligations, any of which could diminish investor confidence, cause a decline in the price of the Class A Common Stock, and limit our ability to access capital markets.</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3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There was no change in our internal control over financial reporting that occurred during the six months ended June 30, 2025,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716534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Legal Proceedings</w:t>
      </w:r>
    </w:p>
    <w:p>
      <w:pPr>
        <w:spacing w:after="0" w:line="2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other than what we disclosed in the Litigation sections in Note 19 (Commitments and Contingencies) there are no material legal or regulatory proceedings currently pending or threatened against us.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 have been no material changes in the risk factors described in Part I, Item 1A “Risk Factors” of our Annual Report.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Recent Sales of Unregistered Securities</w:t>
      </w:r>
    </w:p>
    <w:p>
      <w:pPr>
        <w:spacing w:after="0" w:line="24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color w:val="231F20"/>
        </w:rPr>
        <w:t>On February 22, 2024, the Company entered into a Supplemental Series A Preferred Stock Investment Agreement with Allianz, pursuant to which, for purposes of funding one or more strategic international acquisitions by the Company or its subsidiaries, Allianz is permitted, at its option, to purchase up to 50,000 additional shares of Series A Preferred Stock up to an aggregate amount equal to $50.0 million, in a private offering exempted from registration under the Securities Act. No underwriters were involved in the foregoing sales of securities. On May 13, 2025, Allianz exercised the Allianz Tranche Right to purchase an additional 18,471 shares of Series A Preferred Stock at $1,000 per share. The Series A Preferred Stock has no voting rights and is subject to an ownership cap of 24.9% of the aggregate issued and outstanding shares of Class A Common Stock and Class B Common Stock.</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231F20"/>
        </w:rPr>
        <w:t>As of June 30, 2025, the Series A Preferred Stock of 164,914 is inclusive of dividends paid in kind as of and is classified under mezzanine equity on the Company’s Condensed Consolidated Statement of Financial Position. An additional 1,523,289 shares of Class A Common Stock were issued to Allianz as part of the 50% dividends paid in kind.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Defaults Upon Senior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Other Information</w:t>
      </w:r>
    </w:p>
    <w:p>
      <w:pPr>
        <w:spacing w:after="0" w:line="244" w:lineRule="exact"/>
        <w:rPr>
          <w:sz w:val="20"/>
          <w:szCs w:val="20"/>
          <w:color w:val="auto"/>
        </w:rPr>
      </w:pPr>
    </w:p>
    <w:p>
      <w:pPr>
        <w:ind w:left="200" w:hanging="198"/>
        <w:spacing w:after="0"/>
        <w:tabs>
          <w:tab w:leader="none" w:pos="2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214" w:lineRule="exact"/>
        <w:rPr>
          <w:rFonts w:ascii="Times New Roman" w:cs="Times New Roman" w:eastAsia="Times New Roman" w:hAnsi="Times New Roman"/>
          <w:sz w:val="19"/>
          <w:szCs w:val="19"/>
          <w:color w:val="auto"/>
        </w:rPr>
      </w:pPr>
    </w:p>
    <w:p>
      <w:pPr>
        <w:ind w:left="200" w:hanging="198"/>
        <w:spacing w:after="0"/>
        <w:tabs>
          <w:tab w:leader="none" w:pos="2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214" w:lineRule="exact"/>
        <w:rPr>
          <w:rFonts w:ascii="Times New Roman" w:cs="Times New Roman" w:eastAsia="Times New Roman" w:hAnsi="Times New Roman"/>
          <w:sz w:val="19"/>
          <w:szCs w:val="19"/>
          <w:color w:val="auto"/>
        </w:rPr>
      </w:pPr>
    </w:p>
    <w:p>
      <w:pPr>
        <w:jc w:val="both"/>
        <w:ind w:firstLine="2"/>
        <w:spacing w:after="0" w:line="243" w:lineRule="auto"/>
        <w:tabs>
          <w:tab w:leader="none" w:pos="19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quarter ended June 30, 2025, no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07" w:name="page108"/>
    <w:bookmarkEnd w:id="107"/>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Exhibits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exhibits are filed or furnished herewith:</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1440" w:type="dxa"/>
            <w:vAlign w:val="bottom"/>
          </w:tcPr>
          <w:p>
            <w:pPr>
              <w:spacing w:after="0"/>
              <w:rPr>
                <w:sz w:val="19"/>
                <w:szCs w:val="19"/>
                <w:color w:val="auto"/>
              </w:rPr>
            </w:pPr>
          </w:p>
        </w:tc>
        <w:tc>
          <w:tcPr>
            <w:tcW w:w="8540" w:type="dxa"/>
            <w:vAlign w:val="bottom"/>
            <w:gridSpan w:val="5"/>
            <w:vMerge w:val="restart"/>
          </w:tcPr>
          <w:p>
            <w:pPr>
              <w:ind w:left="308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46"/>
        </w:trPr>
        <w:tc>
          <w:tcPr>
            <w:tcW w:w="1260" w:type="dxa"/>
            <w:vAlign w:val="bottom"/>
          </w:tcPr>
          <w:p>
            <w:pPr>
              <w:ind w:left="280"/>
              <w:spacing w:after="0"/>
              <w:rPr>
                <w:sz w:val="20"/>
                <w:szCs w:val="20"/>
                <w:color w:val="auto"/>
              </w:rPr>
            </w:pPr>
            <w:r>
              <w:rPr>
                <w:rFonts w:ascii="Times New Roman" w:cs="Times New Roman" w:eastAsia="Times New Roman" w:hAnsi="Times New Roman"/>
                <w:sz w:val="19"/>
                <w:szCs w:val="19"/>
                <w:b w:val="1"/>
                <w:bCs w:val="1"/>
                <w:color w:val="auto"/>
              </w:rPr>
              <w:t>Number</w:t>
            </w:r>
          </w:p>
        </w:tc>
        <w:tc>
          <w:tcPr>
            <w:tcW w:w="1440" w:type="dxa"/>
            <w:vAlign w:val="bottom"/>
          </w:tcPr>
          <w:p>
            <w:pPr>
              <w:spacing w:after="0"/>
              <w:rPr>
                <w:sz w:val="21"/>
                <w:szCs w:val="21"/>
                <w:color w:val="auto"/>
              </w:rPr>
            </w:pPr>
          </w:p>
        </w:tc>
        <w:tc>
          <w:tcPr>
            <w:tcW w:w="854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Pr>
          <w:p>
            <w:pPr>
              <w:ind w:left="20"/>
              <w:spacing w:after="0" w:line="196" w:lineRule="exact"/>
              <w:rPr>
                <w:sz w:val="20"/>
                <w:szCs w:val="20"/>
                <w:color w:val="auto"/>
              </w:rPr>
            </w:pPr>
            <w:r>
              <w:rPr>
                <w:rFonts w:ascii="Times New Roman" w:cs="Times New Roman" w:eastAsia="Times New Roman" w:hAnsi="Times New Roman"/>
                <w:sz w:val="19"/>
                <w:szCs w:val="19"/>
                <w:color w:val="auto"/>
              </w:rPr>
              <w:t>31.1*</w:t>
            </w:r>
          </w:p>
        </w:tc>
        <w:tc>
          <w:tcPr>
            <w:tcW w:w="9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9"/>
                <w:szCs w:val="19"/>
                <w:color w:val="0000FF"/>
                <w:w w:val="98"/>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6"/>
          </w:tcPr>
          <w:p>
            <w:pPr>
              <w:spacing w:after="0" w:line="209" w:lineRule="exact"/>
              <w:rPr>
                <w:sz w:val="20"/>
                <w:szCs w:val="20"/>
                <w:color w:val="auto"/>
              </w:rPr>
            </w:pPr>
            <w:r>
              <w:rPr>
                <w:rFonts w:ascii="Times New Roman" w:cs="Times New Roman" w:eastAsia="Times New Roman" w:hAnsi="Times New Roman"/>
                <w:sz w:val="19"/>
                <w:szCs w:val="19"/>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31.2*</w:t>
            </w:r>
          </w:p>
        </w:tc>
        <w:tc>
          <w:tcPr>
            <w:tcW w:w="9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9"/>
                <w:szCs w:val="19"/>
                <w:color w:val="0000FF"/>
                <w:w w:val="97"/>
              </w:rPr>
              <w:t>Certification of Principal Financial Officer Pursuant to Rules 13a-14(a) and 15d-14(a) under the Securities Exchange Act of 1934, as</w:t>
            </w:r>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9980" w:type="dxa"/>
            <w:vAlign w:val="bottom"/>
            <w:gridSpan w:val="6"/>
          </w:tcPr>
          <w:p>
            <w:pPr>
              <w:spacing w:after="0" w:line="209" w:lineRule="exact"/>
              <w:rPr>
                <w:sz w:val="20"/>
                <w:szCs w:val="20"/>
                <w:color w:val="auto"/>
              </w:rPr>
            </w:pPr>
            <w:r>
              <w:rPr>
                <w:rFonts w:ascii="Times New Roman" w:cs="Times New Roman" w:eastAsia="Times New Roman" w:hAnsi="Times New Roman"/>
                <w:sz w:val="19"/>
                <w:szCs w:val="19"/>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32.1**</w:t>
            </w:r>
          </w:p>
        </w:tc>
        <w:tc>
          <w:tcPr>
            <w:tcW w:w="99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9"/>
                <w:szCs w:val="19"/>
                <w:color w:val="0000FF"/>
                <w:w w:val="97"/>
              </w:rPr>
              <w:t>Certification of Principal Executive Officer Pursuant to 18 U.S.C. Section 1350, as Adopted Pursuant to Section 906 of the Sarbanes-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1440" w:type="dxa"/>
            <w:vAlign w:val="bottom"/>
            <w:tcBorders>
              <w:bottom w:val="single" w:sz="8" w:color="0000FF"/>
            </w:tcBorders>
          </w:tcPr>
          <w:p>
            <w:pPr>
              <w:spacing w:after="0" w:line="209" w:lineRule="exact"/>
              <w:rPr>
                <w:sz w:val="20"/>
                <w:szCs w:val="20"/>
                <w:color w:val="auto"/>
              </w:rPr>
            </w:pPr>
            <w:r>
              <w:rPr>
                <w:rFonts w:ascii="Times New Roman" w:cs="Times New Roman" w:eastAsia="Times New Roman" w:hAnsi="Times New Roman"/>
                <w:sz w:val="19"/>
                <w:szCs w:val="19"/>
                <w:color w:val="0000FF"/>
                <w:w w:val="96"/>
              </w:rPr>
              <w:t>Oxley Act of 2002.</w:t>
            </w:r>
          </w:p>
        </w:tc>
        <w:tc>
          <w:tcPr>
            <w:tcW w:w="85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2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32.2**</w:t>
            </w:r>
          </w:p>
        </w:tc>
        <w:tc>
          <w:tcPr>
            <w:tcW w:w="9980" w:type="dxa"/>
            <w:vAlign w:val="bottom"/>
            <w:gridSpan w:val="6"/>
          </w:tcPr>
          <w:p>
            <w:pPr>
              <w:spacing w:after="0"/>
              <w:rPr>
                <w:sz w:val="20"/>
                <w:szCs w:val="20"/>
                <w:color w:val="auto"/>
              </w:rPr>
            </w:pPr>
            <w:r>
              <w:rPr>
                <w:rFonts w:ascii="Times New Roman" w:cs="Times New Roman" w:eastAsia="Times New Roman" w:hAnsi="Times New Roman"/>
                <w:sz w:val="19"/>
                <w:szCs w:val="19"/>
                <w:color w:val="0000FF"/>
                <w:w w:val="98"/>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18"/>
                <w:szCs w:val="18"/>
                <w:color w:val="auto"/>
              </w:rPr>
            </w:pPr>
          </w:p>
        </w:tc>
        <w:tc>
          <w:tcPr>
            <w:tcW w:w="1440" w:type="dxa"/>
            <w:vAlign w:val="bottom"/>
            <w:tcBorders>
              <w:top w:val="single" w:sz="8" w:color="0000FF"/>
              <w:bottom w:val="single" w:sz="8" w:color="0000FF"/>
            </w:tcBorders>
          </w:tcPr>
          <w:p>
            <w:pPr>
              <w:spacing w:after="0" w:line="209" w:lineRule="exact"/>
              <w:rPr>
                <w:sz w:val="20"/>
                <w:szCs w:val="20"/>
                <w:color w:val="auto"/>
              </w:rPr>
            </w:pPr>
            <w:r>
              <w:rPr>
                <w:rFonts w:ascii="Times New Roman" w:cs="Times New Roman" w:eastAsia="Times New Roman" w:hAnsi="Times New Roman"/>
                <w:sz w:val="19"/>
                <w:szCs w:val="19"/>
                <w:color w:val="0000FF"/>
                <w:w w:val="96"/>
              </w:rPr>
              <w:t>Oxley Act of 2002.</w:t>
            </w:r>
          </w:p>
        </w:tc>
        <w:tc>
          <w:tcPr>
            <w:tcW w:w="8460" w:type="dxa"/>
            <w:vAlign w:val="bottom"/>
            <w:tcBorders>
              <w:top w:val="single" w:sz="8" w:color="0000FF"/>
            </w:tcBorders>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260" w:hanging="687"/>
        <w:spacing w:after="0"/>
        <w:tabs>
          <w:tab w:leader="none" w:pos="12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herewith.</w:t>
      </w:r>
    </w:p>
    <w:p>
      <w:pPr>
        <w:spacing w:after="0" w:line="62" w:lineRule="exact"/>
        <w:rPr>
          <w:sz w:val="20"/>
          <w:szCs w:val="20"/>
          <w:color w:val="auto"/>
        </w:rPr>
      </w:pPr>
    </w:p>
    <w:p>
      <w:pPr>
        <w:ind w:left="1260" w:hanging="734"/>
        <w:spacing w:after="0"/>
        <w:tabs>
          <w:tab w:leader="none" w:pos="126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Furnished herewith.</w:t>
      </w:r>
    </w:p>
    <w:p>
      <w:pPr>
        <w:spacing w:after="0" w:line="62" w:lineRule="exact"/>
        <w:rPr>
          <w:sz w:val="20"/>
          <w:szCs w:val="20"/>
          <w:color w:val="auto"/>
        </w:rPr>
      </w:pPr>
    </w:p>
    <w:p>
      <w:pPr>
        <w:ind w:left="1260" w:hanging="687"/>
        <w:spacing w:after="0"/>
        <w:tabs>
          <w:tab w:leader="none" w:pos="12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716534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534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3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86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ALTI GLOBAL, INC</w:t>
            </w:r>
          </w:p>
        </w:tc>
      </w:tr>
      <w:tr>
        <w:trPr>
          <w:trHeight w:val="560"/>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Date: August 11, 2025</w:t>
            </w: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/s/ Michael Tiedemann</w:t>
            </w:r>
          </w:p>
        </w:tc>
      </w:tr>
      <w:tr>
        <w:trPr>
          <w:trHeight w:val="33"/>
        </w:trPr>
        <w:tc>
          <w:tcPr>
            <w:tcW w:w="58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0"/>
        </w:trPr>
        <w:tc>
          <w:tcPr>
            <w:tcW w:w="58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Michael Tiedemann</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522"/>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Date: August 11, 2025</w:t>
            </w: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/s/ Michael W. Harrington</w:t>
            </w:r>
          </w:p>
        </w:tc>
      </w:tr>
      <w:tr>
        <w:trPr>
          <w:trHeight w:val="33"/>
        </w:trPr>
        <w:tc>
          <w:tcPr>
            <w:tcW w:w="58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0"/>
        </w:trPr>
        <w:tc>
          <w:tcPr>
            <w:tcW w:w="58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Michael W. Harrington</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535"/>
        </w:trPr>
        <w:tc>
          <w:tcPr>
            <w:tcW w:w="5860" w:type="dxa"/>
            <w:vAlign w:val="bottom"/>
          </w:tcPr>
          <w:p>
            <w:pPr>
              <w:spacing w:after="0"/>
              <w:rPr>
                <w:sz w:val="20"/>
                <w:szCs w:val="20"/>
                <w:color w:val="auto"/>
              </w:rPr>
            </w:pPr>
            <w:r>
              <w:rPr>
                <w:rFonts w:ascii="Times New Roman" w:cs="Times New Roman" w:eastAsia="Times New Roman" w:hAnsi="Times New Roman"/>
                <w:sz w:val="19"/>
                <w:szCs w:val="19"/>
                <w:color w:val="auto"/>
              </w:rPr>
              <w:t>Date: August 11, 2025</w:t>
            </w: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/s/ Patrick Keenan</w:t>
            </w:r>
          </w:p>
        </w:tc>
      </w:tr>
      <w:tr>
        <w:trPr>
          <w:trHeight w:val="33"/>
        </w:trPr>
        <w:tc>
          <w:tcPr>
            <w:tcW w:w="58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40"/>
        </w:trPr>
        <w:tc>
          <w:tcPr>
            <w:tcW w:w="58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Patrick Keenan</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Chief Accounting Officer</w:t>
            </w:r>
          </w:p>
        </w:tc>
      </w:tr>
      <w:tr>
        <w:trPr>
          <w:trHeight w:val="280"/>
        </w:trPr>
        <w:tc>
          <w:tcPr>
            <w:tcW w:w="586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109</w:t>
      </w:r>
    </w:p>
    <w:p>
      <w:pPr>
        <w:sectPr>
          <w:pgSz w:w="11900" w:h="16838" w:orient="portrait"/>
          <w:cols w:equalWidth="0" w:num="1">
            <w:col w:w="11240"/>
          </w:cols>
          <w:pgMar w:left="320" w:top="118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7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CERTIFICATION OF CHIEF EXECUTIVE OFFICER</w:t>
      </w:r>
    </w:p>
    <w:p>
      <w:pPr>
        <w:ind w:left="1760"/>
        <w:spacing w:after="0" w:line="204" w:lineRule="auto"/>
        <w:rPr>
          <w:sz w:val="20"/>
          <w:szCs w:val="20"/>
          <w:color w:val="auto"/>
        </w:rPr>
      </w:pPr>
      <w:r>
        <w:rPr>
          <w:rFonts w:ascii="Times New Roman" w:cs="Times New Roman" w:eastAsia="Times New Roman" w:hAnsi="Times New Roman"/>
          <w:sz w:val="17"/>
          <w:szCs w:val="17"/>
          <w:color w:val="auto"/>
        </w:rPr>
        <w:t>PURSUANT TO RULES 13a-14(a) AND 15(d)-14(a) UNDER THE SECURITIES EXCHANGE ACT OF 1934,</w:t>
      </w:r>
    </w:p>
    <w:p>
      <w:pPr>
        <w:ind w:left="2360"/>
        <w:spacing w:after="0"/>
        <w:rPr>
          <w:sz w:val="20"/>
          <w:szCs w:val="20"/>
          <w:color w:val="auto"/>
        </w:rPr>
      </w:pPr>
      <w:r>
        <w:rPr>
          <w:rFonts w:ascii="Times New Roman" w:cs="Times New Roman" w:eastAsia="Times New Roman" w:hAnsi="Times New Roman"/>
          <w:sz w:val="17"/>
          <w:szCs w:val="17"/>
          <w:color w:val="auto"/>
        </w:rPr>
        <w:t>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Tiedemann, certify that:</w:t>
      </w:r>
    </w:p>
    <w:p>
      <w:pPr>
        <w:spacing w:after="0" w:line="34" w:lineRule="exact"/>
        <w:rPr>
          <w:sz w:val="20"/>
          <w:szCs w:val="20"/>
          <w:color w:val="auto"/>
        </w:rPr>
      </w:pPr>
    </w:p>
    <w:p>
      <w:pPr>
        <w:ind w:left="480" w:hanging="461"/>
        <w:spacing w:after="0"/>
        <w:tabs>
          <w:tab w:leader="none" w:pos="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AlTi Global, Inc.;</w:t>
      </w:r>
    </w:p>
    <w:p>
      <w:pPr>
        <w:spacing w:after="0" w:line="122" w:lineRule="exact"/>
        <w:rPr>
          <w:rFonts w:ascii="Times New Roman" w:cs="Times New Roman" w:eastAsia="Times New Roman" w:hAnsi="Times New Roman"/>
          <w:sz w:val="17"/>
          <w:szCs w:val="17"/>
          <w:color w:val="auto"/>
        </w:rPr>
      </w:pPr>
    </w:p>
    <w:p>
      <w:pPr>
        <w:ind w:left="480" w:right="140" w:hanging="461"/>
        <w:spacing w:after="0" w:line="248" w:lineRule="auto"/>
        <w:tabs>
          <w:tab w:leader="none" w:pos="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Times New Roman" w:cs="Times New Roman" w:eastAsia="Times New Roman" w:hAnsi="Times New Roman"/>
          <w:sz w:val="17"/>
          <w:szCs w:val="17"/>
          <w:color w:val="auto"/>
        </w:rPr>
      </w:pPr>
    </w:p>
    <w:p>
      <w:pPr>
        <w:ind w:left="480" w:right="220" w:hanging="461"/>
        <w:spacing w:after="0" w:line="236" w:lineRule="auto"/>
        <w:tabs>
          <w:tab w:leader="none" w:pos="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7"/>
          <w:szCs w:val="17"/>
          <w:color w:val="auto"/>
        </w:rPr>
      </w:pPr>
    </w:p>
    <w:p>
      <w:pPr>
        <w:jc w:val="both"/>
        <w:ind w:left="480" w:right="20" w:hanging="461"/>
        <w:spacing w:after="0" w:line="225" w:lineRule="auto"/>
        <w:tabs>
          <w:tab w:leader="none" w:pos="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7"/>
          <w:szCs w:val="17"/>
          <w:color w:val="auto"/>
        </w:rPr>
      </w:pPr>
    </w:p>
    <w:p>
      <w:pPr>
        <w:ind w:left="1060" w:right="80" w:hanging="583"/>
        <w:spacing w:after="0" w:line="230"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7"/>
          <w:szCs w:val="17"/>
          <w:color w:val="auto"/>
        </w:rPr>
      </w:pPr>
    </w:p>
    <w:p>
      <w:pPr>
        <w:ind w:left="1060" w:right="60" w:hanging="583"/>
        <w:spacing w:after="0" w:line="230"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7"/>
          <w:szCs w:val="17"/>
          <w:color w:val="auto"/>
        </w:rPr>
      </w:pPr>
    </w:p>
    <w:p>
      <w:pPr>
        <w:ind w:left="1060" w:right="120" w:hanging="583"/>
        <w:spacing w:after="0" w:line="236"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060" w:right="140" w:hanging="583"/>
        <w:spacing w:after="0" w:line="230"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7"/>
          <w:szCs w:val="17"/>
          <w:color w:val="auto"/>
        </w:rPr>
      </w:pPr>
    </w:p>
    <w:p>
      <w:pPr>
        <w:ind w:left="480" w:right="780" w:hanging="461"/>
        <w:spacing w:after="0" w:line="236" w:lineRule="auto"/>
        <w:tabs>
          <w:tab w:leader="none" w:pos="4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7"/>
          <w:szCs w:val="17"/>
          <w:color w:val="auto"/>
        </w:rPr>
      </w:pPr>
    </w:p>
    <w:p>
      <w:pPr>
        <w:ind w:left="1060" w:right="40" w:hanging="583"/>
        <w:spacing w:after="0" w:line="236"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060" w:right="80" w:hanging="583"/>
        <w:spacing w:after="0" w:line="248" w:lineRule="auto"/>
        <w:tabs>
          <w:tab w:leader="none" w:pos="106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15875</wp:posOffset>
            </wp:positionV>
            <wp:extent cx="16414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Michael Tiedemann</w:t>
      </w:r>
    </w:p>
    <w:p>
      <w:pPr>
        <w:ind w:left="4780"/>
        <w:spacing w:after="0" w:line="204" w:lineRule="auto"/>
        <w:rPr>
          <w:sz w:val="20"/>
          <w:szCs w:val="20"/>
          <w:color w:val="auto"/>
        </w:rPr>
      </w:pPr>
      <w:r>
        <w:rPr>
          <w:rFonts w:ascii="Times New Roman" w:cs="Times New Roman" w:eastAsia="Times New Roman" w:hAnsi="Times New Roman"/>
          <w:sz w:val="17"/>
          <w:szCs w:val="17"/>
          <w:color w:val="auto"/>
        </w:rPr>
        <w:t>Chief Executive Officer</w:t>
      </w:r>
    </w:p>
    <w:p>
      <w:pPr>
        <w:ind w:left="47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3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7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color w:val="auto"/>
        </w:rPr>
        <w:t>CERTIFICATION OF CHIEF FINANCIAL OFFICER</w:t>
      </w:r>
    </w:p>
    <w:p>
      <w:pPr>
        <w:ind w:left="1760"/>
        <w:spacing w:after="0" w:line="204" w:lineRule="auto"/>
        <w:rPr>
          <w:sz w:val="20"/>
          <w:szCs w:val="20"/>
          <w:color w:val="auto"/>
        </w:rPr>
      </w:pPr>
      <w:r>
        <w:rPr>
          <w:rFonts w:ascii="Times New Roman" w:cs="Times New Roman" w:eastAsia="Times New Roman" w:hAnsi="Times New Roman"/>
          <w:sz w:val="17"/>
          <w:szCs w:val="17"/>
          <w:color w:val="auto"/>
        </w:rPr>
        <w:t>PURSUANT TO RULES 13a-14(a) AND 15(d)-14(a) UNDER THE SECURITIES EXCHANGE ACT OF 1934,</w:t>
      </w:r>
    </w:p>
    <w:p>
      <w:pPr>
        <w:ind w:left="2360"/>
        <w:spacing w:after="0"/>
        <w:rPr>
          <w:sz w:val="20"/>
          <w:szCs w:val="20"/>
          <w:color w:val="auto"/>
        </w:rPr>
      </w:pPr>
      <w:r>
        <w:rPr>
          <w:rFonts w:ascii="Times New Roman" w:cs="Times New Roman" w:eastAsia="Times New Roman" w:hAnsi="Times New Roman"/>
          <w:sz w:val="17"/>
          <w:szCs w:val="17"/>
          <w:color w:val="auto"/>
        </w:rPr>
        <w:t>AS ADOPTED PURSUANT TO SECTION 302 OF THE SARBANES-OXLEY ACT OF 2002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W. Harrington, certify that:</w:t>
      </w:r>
    </w:p>
    <w:p>
      <w:pPr>
        <w:spacing w:after="0" w:line="34" w:lineRule="exact"/>
        <w:rPr>
          <w:sz w:val="20"/>
          <w:szCs w:val="20"/>
          <w:color w:val="auto"/>
        </w:rPr>
      </w:pPr>
    </w:p>
    <w:p>
      <w:pPr>
        <w:ind w:left="480" w:hanging="461"/>
        <w:spacing w:after="0"/>
        <w:tabs>
          <w:tab w:leader="none" w:pos="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AlTi Global, Inc.;</w:t>
      </w:r>
    </w:p>
    <w:p>
      <w:pPr>
        <w:spacing w:after="0" w:line="122" w:lineRule="exact"/>
        <w:rPr>
          <w:rFonts w:ascii="Times New Roman" w:cs="Times New Roman" w:eastAsia="Times New Roman" w:hAnsi="Times New Roman"/>
          <w:sz w:val="17"/>
          <w:szCs w:val="17"/>
          <w:color w:val="auto"/>
        </w:rPr>
      </w:pPr>
    </w:p>
    <w:p>
      <w:pPr>
        <w:ind w:left="480" w:right="140" w:hanging="461"/>
        <w:spacing w:after="0" w:line="248" w:lineRule="auto"/>
        <w:tabs>
          <w:tab w:leader="none" w:pos="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Times New Roman" w:cs="Times New Roman" w:eastAsia="Times New Roman" w:hAnsi="Times New Roman"/>
          <w:sz w:val="17"/>
          <w:szCs w:val="17"/>
          <w:color w:val="auto"/>
        </w:rPr>
      </w:pPr>
    </w:p>
    <w:p>
      <w:pPr>
        <w:ind w:left="480" w:right="220" w:hanging="461"/>
        <w:spacing w:after="0" w:line="236" w:lineRule="auto"/>
        <w:tabs>
          <w:tab w:leader="none" w:pos="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7"/>
          <w:szCs w:val="17"/>
          <w:color w:val="auto"/>
        </w:rPr>
      </w:pPr>
    </w:p>
    <w:p>
      <w:pPr>
        <w:jc w:val="both"/>
        <w:ind w:left="480" w:right="20" w:hanging="461"/>
        <w:spacing w:after="0" w:line="225" w:lineRule="auto"/>
        <w:tabs>
          <w:tab w:leader="none" w:pos="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2" w:lineRule="exact"/>
        <w:rPr>
          <w:rFonts w:ascii="Times New Roman" w:cs="Times New Roman" w:eastAsia="Times New Roman" w:hAnsi="Times New Roman"/>
          <w:sz w:val="17"/>
          <w:szCs w:val="17"/>
          <w:color w:val="auto"/>
        </w:rPr>
      </w:pPr>
    </w:p>
    <w:p>
      <w:pPr>
        <w:ind w:left="1060" w:right="80" w:hanging="583"/>
        <w:spacing w:after="0" w:line="230"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7"/>
          <w:szCs w:val="17"/>
          <w:color w:val="auto"/>
        </w:rPr>
      </w:pPr>
    </w:p>
    <w:p>
      <w:pPr>
        <w:ind w:left="1060" w:right="60" w:hanging="583"/>
        <w:spacing w:after="0" w:line="230"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7"/>
          <w:szCs w:val="17"/>
          <w:color w:val="auto"/>
        </w:rPr>
      </w:pPr>
    </w:p>
    <w:p>
      <w:pPr>
        <w:ind w:left="1060" w:right="120" w:hanging="583"/>
        <w:spacing w:after="0" w:line="236"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060" w:right="140" w:hanging="583"/>
        <w:spacing w:after="0" w:line="230"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7"/>
          <w:szCs w:val="17"/>
          <w:color w:val="auto"/>
        </w:rPr>
      </w:pPr>
    </w:p>
    <w:p>
      <w:pPr>
        <w:ind w:left="480" w:right="780" w:hanging="461"/>
        <w:spacing w:after="0" w:line="236" w:lineRule="auto"/>
        <w:tabs>
          <w:tab w:leader="none" w:pos="4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7"/>
          <w:szCs w:val="17"/>
          <w:color w:val="auto"/>
        </w:rPr>
      </w:pPr>
    </w:p>
    <w:p>
      <w:pPr>
        <w:ind w:left="1060" w:right="40" w:hanging="583"/>
        <w:spacing w:after="0" w:line="236"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Times New Roman" w:cs="Times New Roman" w:eastAsia="Times New Roman" w:hAnsi="Times New Roman"/>
          <w:sz w:val="17"/>
          <w:szCs w:val="17"/>
          <w:color w:val="auto"/>
        </w:rPr>
      </w:pPr>
    </w:p>
    <w:p>
      <w:pPr>
        <w:ind w:left="1060" w:right="80" w:hanging="583"/>
        <w:spacing w:after="0" w:line="248" w:lineRule="auto"/>
        <w:tabs>
          <w:tab w:leader="none" w:pos="10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11, 2025</w:t>
      </w: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/s/ Michael W.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15875</wp:posOffset>
            </wp:positionV>
            <wp:extent cx="16414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2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Michael W. Harrington</w:t>
      </w:r>
    </w:p>
    <w:p>
      <w:pPr>
        <w:ind w:left="4780"/>
        <w:spacing w:after="0" w:line="219" w:lineRule="auto"/>
        <w:rPr>
          <w:sz w:val="20"/>
          <w:szCs w:val="20"/>
          <w:color w:val="auto"/>
        </w:rPr>
      </w:pPr>
      <w:r>
        <w:rPr>
          <w:rFonts w:ascii="Times New Roman" w:cs="Times New Roman" w:eastAsia="Times New Roman" w:hAnsi="Times New Roman"/>
          <w:sz w:val="17"/>
          <w:szCs w:val="17"/>
          <w:color w:val="auto"/>
        </w:rPr>
        <w:t>Chief Financial Officer</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33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CERTIFICATION PURSUANT TO</w:t>
      </w:r>
    </w:p>
    <w:p>
      <w:pPr>
        <w:ind w:left="4720"/>
        <w:spacing w:after="0" w:line="204" w:lineRule="auto"/>
        <w:rPr>
          <w:sz w:val="20"/>
          <w:szCs w:val="20"/>
          <w:color w:val="auto"/>
        </w:rPr>
      </w:pPr>
      <w:r>
        <w:rPr>
          <w:rFonts w:ascii="Times New Roman" w:cs="Times New Roman" w:eastAsia="Times New Roman" w:hAnsi="Times New Roman"/>
          <w:sz w:val="17"/>
          <w:szCs w:val="17"/>
          <w:color w:val="auto"/>
        </w:rPr>
        <w:t>18 U.S.C. SECTION 1350</w:t>
      </w:r>
    </w:p>
    <w:p>
      <w:pPr>
        <w:jc w:val="center"/>
        <w:spacing w:after="0" w:line="203" w:lineRule="auto"/>
        <w:rPr>
          <w:sz w:val="20"/>
          <w:szCs w:val="20"/>
          <w:color w:val="auto"/>
        </w:rPr>
      </w:pPr>
      <w:r>
        <w:rPr>
          <w:rFonts w:ascii="Times New Roman" w:cs="Times New Roman" w:eastAsia="Times New Roman" w:hAnsi="Times New Roman"/>
          <w:sz w:val="17"/>
          <w:szCs w:val="17"/>
          <w:color w:val="auto"/>
        </w:rPr>
        <w:t>AS ADOPTED PURSUANT TO</w:t>
      </w: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69"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7"/>
          <w:szCs w:val="17"/>
          <w:color w:val="auto"/>
        </w:rPr>
        <w:t>In connection with the Quarterly Report of AlTi Global, Inc. (the “Company”) on Form 10-Q for the quarterly period ended June 30, 2025, as filed with the Securities and Exchange Commission (the “Report”), I, Michael Tiedemann, Chief Executive Officer of the Company, certify, pursuant to 18 U.S.C. §1350, as added by §906 of the Sarbanes-Oxley Act of 2002, that:</w:t>
      </w:r>
    </w:p>
    <w:p>
      <w:pPr>
        <w:spacing w:after="0" w:line="11" w:lineRule="exact"/>
        <w:rPr>
          <w:sz w:val="20"/>
          <w:szCs w:val="20"/>
          <w:color w:val="auto"/>
        </w:rPr>
      </w:pPr>
    </w:p>
    <w:p>
      <w:pPr>
        <w:ind w:left="1060" w:hanging="583"/>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352" w:lineRule="exact"/>
        <w:rPr>
          <w:rFonts w:ascii="Times New Roman" w:cs="Times New Roman" w:eastAsia="Times New Roman" w:hAnsi="Times New Roman"/>
          <w:sz w:val="17"/>
          <w:szCs w:val="17"/>
          <w:color w:val="auto"/>
        </w:rPr>
      </w:pPr>
    </w:p>
    <w:p>
      <w:pPr>
        <w:ind w:left="1060" w:right="80" w:hanging="583"/>
        <w:spacing w:after="0" w:line="248" w:lineRule="auto"/>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my knowledge, the information contained in the Report fairly presents, in all material respects, the financial condition and results of operations of the Company as of and for the period covered by the Report.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11, 2025</w:t>
      </w: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15875</wp:posOffset>
            </wp:positionV>
            <wp:extent cx="16414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Michael Tiedemann</w:t>
      </w:r>
    </w:p>
    <w:p>
      <w:pPr>
        <w:ind w:left="4780"/>
        <w:spacing w:after="0" w:line="204" w:lineRule="auto"/>
        <w:rPr>
          <w:sz w:val="20"/>
          <w:szCs w:val="20"/>
          <w:color w:val="auto"/>
        </w:rPr>
      </w:pPr>
      <w:r>
        <w:rPr>
          <w:rFonts w:ascii="Times New Roman" w:cs="Times New Roman" w:eastAsia="Times New Roman" w:hAnsi="Times New Roman"/>
          <w:sz w:val="17"/>
          <w:szCs w:val="17"/>
          <w:color w:val="auto"/>
        </w:rPr>
        <w:t>Chief Executive Officer</w:t>
      </w:r>
    </w:p>
    <w:p>
      <w:pPr>
        <w:ind w:left="47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33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7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CERTIFICATION PURSUANT TO</w:t>
      </w:r>
    </w:p>
    <w:p>
      <w:pPr>
        <w:ind w:left="4720"/>
        <w:spacing w:after="0" w:line="204" w:lineRule="auto"/>
        <w:rPr>
          <w:sz w:val="20"/>
          <w:szCs w:val="20"/>
          <w:color w:val="auto"/>
        </w:rPr>
      </w:pPr>
      <w:r>
        <w:rPr>
          <w:rFonts w:ascii="Times New Roman" w:cs="Times New Roman" w:eastAsia="Times New Roman" w:hAnsi="Times New Roman"/>
          <w:sz w:val="17"/>
          <w:szCs w:val="17"/>
          <w:color w:val="auto"/>
        </w:rPr>
        <w:t>18 U.S.C. SECTION 1350</w:t>
      </w:r>
    </w:p>
    <w:p>
      <w:pPr>
        <w:jc w:val="center"/>
        <w:spacing w:after="0" w:line="203" w:lineRule="auto"/>
        <w:rPr>
          <w:sz w:val="20"/>
          <w:szCs w:val="20"/>
          <w:color w:val="auto"/>
        </w:rPr>
      </w:pPr>
      <w:r>
        <w:rPr>
          <w:rFonts w:ascii="Times New Roman" w:cs="Times New Roman" w:eastAsia="Times New Roman" w:hAnsi="Times New Roman"/>
          <w:sz w:val="17"/>
          <w:szCs w:val="17"/>
          <w:color w:val="auto"/>
        </w:rPr>
        <w:t>AS ADOPTED PURSUANT TO</w:t>
      </w: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6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In connection with the Quarterly Report of AlTi Global, Inc. (the “Company”) on Form 10-Q for the quarterly period ended June 30, 2025, as filed with the Securities and Exchange Commission (the “Report”), I, Michael W. Harrington, Chief Financial Officer of the Company, certify, pursuant to 18 U.S.C. §1350, as added by §906 of the Sarbanes-Oxley Act of 2002, that:</w:t>
      </w:r>
    </w:p>
    <w:p>
      <w:pPr>
        <w:spacing w:after="0" w:line="11" w:lineRule="exact"/>
        <w:rPr>
          <w:sz w:val="20"/>
          <w:szCs w:val="20"/>
          <w:color w:val="auto"/>
        </w:rPr>
      </w:pPr>
    </w:p>
    <w:p>
      <w:pPr>
        <w:ind w:left="1060" w:hanging="583"/>
        <w:spacing w:after="0"/>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352" w:lineRule="exact"/>
        <w:rPr>
          <w:rFonts w:ascii="Times New Roman" w:cs="Times New Roman" w:eastAsia="Times New Roman" w:hAnsi="Times New Roman"/>
          <w:sz w:val="17"/>
          <w:szCs w:val="17"/>
          <w:color w:val="auto"/>
        </w:rPr>
      </w:pPr>
    </w:p>
    <w:p>
      <w:pPr>
        <w:ind w:left="1060" w:right="20" w:hanging="583"/>
        <w:spacing w:after="0" w:line="248" w:lineRule="auto"/>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my knowledge, the information contained in the Report fairly presents, in all material respects, the financial condition and results of operations of the Company as of and for the period covered by the Report.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11, 2025</w:t>
      </w:r>
    </w:p>
    <w:p>
      <w:pPr>
        <w:spacing w:after="0" w:line="27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/s/ Michael W.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15875</wp:posOffset>
            </wp:positionV>
            <wp:extent cx="16414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2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color w:val="auto"/>
        </w:rPr>
        <w:t>Michael W. Harrington</w:t>
      </w:r>
    </w:p>
    <w:p>
      <w:pPr>
        <w:ind w:left="4780"/>
        <w:spacing w:after="0" w:line="204" w:lineRule="auto"/>
        <w:rPr>
          <w:sz w:val="20"/>
          <w:szCs w:val="20"/>
          <w:color w:val="auto"/>
        </w:rPr>
      </w:pPr>
      <w:r>
        <w:rPr>
          <w:rFonts w:ascii="Times New Roman" w:cs="Times New Roman" w:eastAsia="Times New Roman" w:hAnsi="Times New Roman"/>
          <w:sz w:val="17"/>
          <w:szCs w:val="17"/>
          <w:color w:val="auto"/>
        </w:rPr>
        <w:t>Chief Financial Officer</w:t>
      </w:r>
    </w:p>
    <w:p>
      <w:pPr>
        <w:jc w:val="center"/>
        <w:ind w:right="-259"/>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2"/>
    </w:lvl>
    <w:lvl w:ilvl="1">
      <w:lvlJc w:val="left"/>
      <w:lvlText w:val="(%2)"/>
      <w:numFmt w:val="lowerLetter"/>
      <w:start w:val="1"/>
    </w:lvl>
  </w:abstractNum>
  <w:abstractNum w:abstractNumId="11">
    <w:nsid w:val="2A487CB0"/>
    <w:multiLevelType w:val="hybridMultilevel"/>
    <w:lvl w:ilvl="0">
      <w:lvlJc w:val="left"/>
      <w:lvlText w:val="(%1)"/>
      <w:numFmt w:val="lowerLetter"/>
      <w:start w:val="2"/>
    </w:lvl>
  </w:abstractNum>
  <w:abstractNum w:abstractNumId="12">
    <w:nsid w:val="1D4ED43B"/>
    <w:multiLevelType w:val="hybridMultilevel"/>
    <w:lvl w:ilvl="0">
      <w:lvlJc w:val="left"/>
      <w:lvlText w:val="(%1)"/>
      <w:numFmt w:val="lowerLetter"/>
      <w:start w:val="3"/>
    </w:lvl>
  </w:abstractNum>
  <w:abstractNum w:abstractNumId="13">
    <w:nsid w:val="725A06FB"/>
    <w:multiLevelType w:val="hybridMultilevel"/>
    <w:lvl w:ilvl="0">
      <w:lvlJc w:val="left"/>
      <w:lvlText w:val="(%1)"/>
      <w:numFmt w:val="lowerLetter"/>
      <w:start w:val="4"/>
    </w:lvl>
  </w:abstractNum>
  <w:abstractNum w:abstractNumId="14">
    <w:nsid w:val="2CD89A32"/>
    <w:multiLevelType w:val="hybridMultilevel"/>
    <w:lvl w:ilvl="0">
      <w:lvlJc w:val="left"/>
      <w:lvlText w:val="(%1)"/>
      <w:numFmt w:val="lowerLetter"/>
      <w:start w:val="5"/>
    </w:lvl>
  </w:abstractNum>
  <w:abstractNum w:abstractNumId="15">
    <w:nsid w:val="57E4CCAF"/>
    <w:multiLevelType w:val="hybridMultilevel"/>
    <w:lvl w:ilvl="0">
      <w:lvlJc w:val="left"/>
      <w:lvlText w:val="(%1)"/>
      <w:numFmt w:val="lowerRoman"/>
      <w:start w:val="1"/>
    </w:lvl>
  </w:abstractNum>
  <w:abstractNum w:abstractNumId="16">
    <w:nsid w:val="7A6D8D3C"/>
    <w:multiLevelType w:val="hybridMultilevel"/>
    <w:lvl w:ilvl="0">
      <w:lvlJc w:val="left"/>
      <w:lvlText w:val="(%1)"/>
      <w:numFmt w:val="lowerLetter"/>
      <w:start w:val="6"/>
    </w:lvl>
  </w:abstractNum>
  <w:abstractNum w:abstractNumId="17">
    <w:nsid w:val="4B588F54"/>
    <w:multiLevelType w:val="hybridMultilevel"/>
    <w:lvl w:ilvl="0">
      <w:lvlJc w:val="left"/>
      <w:lvlText w:val="(%1)"/>
      <w:numFmt w:val="lowerLetter"/>
      <w:start w:val="7"/>
    </w:lvl>
  </w:abstractNum>
  <w:abstractNum w:abstractNumId="18">
    <w:nsid w:val="542289EC"/>
    <w:multiLevelType w:val="hybridMultilevel"/>
    <w:lvl w:ilvl="0">
      <w:lvlJc w:val="left"/>
      <w:lvlText w:val="(%1)"/>
      <w:numFmt w:val="lowerLetter"/>
      <w:start w:val="8"/>
    </w:lvl>
  </w:abstractNum>
  <w:abstractNum w:abstractNumId="19">
    <w:nsid w:val="6DE91B18"/>
    <w:multiLevelType w:val="hybridMultilevel"/>
    <w:lvl w:ilvl="0">
      <w:lvlJc w:val="left"/>
      <w:lvlText w:val="(%1)"/>
      <w:numFmt w:val="lowerRoman"/>
      <w:start w:val="1"/>
    </w:lvl>
  </w:abstractNum>
  <w:abstractNum w:abstractNumId="20">
    <w:nsid w:val="38437FDB"/>
    <w:multiLevelType w:val="hybridMultilevel"/>
    <w:lvl w:ilvl="0">
      <w:lvlJc w:val="left"/>
      <w:lvlText w:val="(%1)"/>
      <w:numFmt w:val="lowerLetter"/>
      <w:start w:val="10"/>
    </w:lvl>
  </w:abstractNum>
  <w:abstractNum w:abstractNumId="21">
    <w:nsid w:val="7644A45C"/>
    <w:multiLevelType w:val="hybridMultilevel"/>
    <w:lvl w:ilvl="0">
      <w:lvlJc w:val="left"/>
      <w:lvlText w:val="(%1)"/>
      <w:numFmt w:val="lowerLetter"/>
      <w:start w:val="11"/>
    </w:lvl>
  </w:abstractNum>
  <w:abstractNum w:abstractNumId="22">
    <w:nsid w:val="32FFF902"/>
    <w:multiLevelType w:val="hybridMultilevel"/>
    <w:lvl w:ilvl="0">
      <w:lvlJc w:val="left"/>
      <w:lvlText w:val="(%1)"/>
      <w:numFmt w:val="lowerLetter"/>
      <w:start w:val="12"/>
    </w:lvl>
  </w:abstractNum>
  <w:abstractNum w:abstractNumId="23">
    <w:nsid w:val="684A481A"/>
    <w:multiLevelType w:val="hybridMultilevel"/>
    <w:lvl w:ilvl="0">
      <w:lvlJc w:val="left"/>
      <w:lvlText w:val="(%1)"/>
      <w:numFmt w:val="lowerLetter"/>
      <w:start w:val="14"/>
    </w:lvl>
  </w:abstractNum>
  <w:abstractNum w:abstractNumId="24">
    <w:nsid w:val="579478FE"/>
    <w:multiLevelType w:val="hybridMultilevel"/>
    <w:lvl w:ilvl="0">
      <w:lvlJc w:val="left"/>
      <w:lvlText w:val="(%1)"/>
      <w:numFmt w:val="lowerRoman"/>
      <w:start w:val="2"/>
    </w:lvl>
  </w:abstractNum>
  <w:abstractNum w:abstractNumId="25">
    <w:nsid w:val="749ABB43"/>
    <w:multiLevelType w:val="hybridMultilevel"/>
    <w:lvl w:ilvl="0">
      <w:lvlJc w:val="left"/>
      <w:lvlText w:val="(%1)"/>
      <w:numFmt w:val="lowerLetter"/>
      <w:start w:val="15"/>
    </w:lvl>
  </w:abstractNum>
  <w:abstractNum w:abstractNumId="26">
    <w:nsid w:val="3DC240FB"/>
    <w:multiLevelType w:val="hybridMultilevel"/>
    <w:lvl w:ilvl="0">
      <w:lvlJc w:val="left"/>
      <w:lvlText w:val="(%1)"/>
      <w:numFmt w:val="lowerLetter"/>
      <w:start w:val="16"/>
    </w:lvl>
  </w:abstractNum>
  <w:abstractNum w:abstractNumId="27">
    <w:nsid w:val="1BA026FA"/>
    <w:multiLevelType w:val="hybridMultilevel"/>
    <w:lvl w:ilvl="0">
      <w:lvlJc w:val="left"/>
      <w:lvlText w:val="(%1)"/>
      <w:numFmt w:val="lowerLetter"/>
      <w:start w:val="17"/>
    </w:lvl>
  </w:abstractNum>
  <w:abstractNum w:abstractNumId="28">
    <w:nsid w:val="79A1DEAA"/>
    <w:multiLevelType w:val="hybridMultilevel"/>
    <w:lvl w:ilvl="0">
      <w:lvlJc w:val="left"/>
      <w:lvlText w:val="(%1)"/>
      <w:numFmt w:val="lowerLetter"/>
      <w:start w:val="18"/>
    </w:lvl>
  </w:abstractNum>
  <w:abstractNum w:abstractNumId="29">
    <w:nsid w:val="75C6C33A"/>
    <w:multiLevelType w:val="hybridMultilevel"/>
    <w:lvl w:ilvl="0">
      <w:lvlJc w:val="left"/>
      <w:lvlText w:val="(%1)"/>
      <w:numFmt w:val="lowerLetter"/>
      <w:start w:val="19"/>
    </w:lvl>
  </w:abstractNum>
  <w:abstractNum w:abstractNumId="30">
    <w:nsid w:val="12E685FB"/>
    <w:multiLevelType w:val="hybridMultilevel"/>
    <w:lvl w:ilvl="0">
      <w:lvlJc w:val="left"/>
      <w:lvlText w:val="(%1)"/>
      <w:numFmt w:val="lowerLetter"/>
      <w:start w:val="20"/>
    </w:lvl>
  </w:abstractNum>
  <w:abstractNum w:abstractNumId="31">
    <w:nsid w:val="70C6A529"/>
    <w:multiLevelType w:val="hybridMultilevel"/>
    <w:lvl w:ilvl="0">
      <w:lvlJc w:val="left"/>
      <w:lvlText w:val="(%1)"/>
      <w:numFmt w:val="lowerLetter"/>
      <w:start w:val="21"/>
    </w:lvl>
  </w:abstractNum>
  <w:abstractNum w:abstractNumId="32">
    <w:nsid w:val="520EEDD1"/>
    <w:multiLevelType w:val="hybridMultilevel"/>
    <w:lvl w:ilvl="0">
      <w:lvlJc w:val="left"/>
      <w:lvlText w:val="(%1)"/>
      <w:numFmt w:val="lowerRoman"/>
      <w:start w:val="5"/>
    </w:lvl>
  </w:abstractNum>
  <w:abstractNum w:abstractNumId="33">
    <w:nsid w:val="374A3FE6"/>
    <w:multiLevelType w:val="hybridMultilevel"/>
    <w:lvl w:ilvl="0">
      <w:lvlJc w:val="left"/>
      <w:lvlText w:val="(%1)"/>
      <w:numFmt w:val="lowerLetter"/>
      <w:start w:val="23"/>
    </w:lvl>
  </w:abstractNum>
  <w:abstractNum w:abstractNumId="34">
    <w:nsid w:val="4F4EF005"/>
    <w:multiLevelType w:val="hybridMultilevel"/>
    <w:lvl w:ilvl="0">
      <w:lvlJc w:val="left"/>
      <w:lvlText w:val="(%1)"/>
      <w:numFmt w:val="lowerRoman"/>
      <w:start w:val="10"/>
    </w:lvl>
  </w:abstractNum>
  <w:abstractNum w:abstractNumId="35">
    <w:nsid w:val="23F9C13C"/>
    <w:multiLevelType w:val="hybridMultilevel"/>
    <w:lvl w:ilvl="0">
      <w:lvlJc w:val="left"/>
      <w:lvlText w:val="(%1)"/>
      <w:numFmt w:val="lowerLetter"/>
      <w:start w:val="25"/>
    </w:lvl>
  </w:abstractNum>
  <w:abstractNum w:abstractNumId="36">
    <w:nsid w:val="649BB77C"/>
    <w:multiLevelType w:val="hybridMultilevel"/>
    <w:lvl w:ilvl="0">
      <w:lvlJc w:val="left"/>
      <w:lvlText w:val="(%1)"/>
      <w:numFmt w:val="lowerLetter"/>
      <w:start w:val="26"/>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3"/>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5"/>
    </w:lvl>
  </w:abstractNum>
  <w:abstractNum w:abstractNumId="41">
    <w:nsid w:val="235BA861"/>
    <w:multiLevelType w:val="hybridMultilevel"/>
    <w:lvl w:ilvl="0">
      <w:lvlJc w:val="left"/>
      <w:lvlText w:val="(%1)"/>
      <w:numFmt w:val="decimal"/>
      <w:start w:val="6"/>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2"/>
    </w:lvl>
  </w:abstractNum>
  <w:abstractNum w:abstractNumId="56">
    <w:nsid w:val="25A70BF7"/>
    <w:multiLevelType w:val="hybridMultilevel"/>
    <w:lvl w:ilvl="0">
      <w:lvlJc w:val="left"/>
      <w:lvlText w:val="(%1)"/>
      <w:numFmt w:val="decimal"/>
      <w:start w:val="7"/>
    </w:lvl>
  </w:abstractNum>
  <w:abstractNum w:abstractNumId="57">
    <w:nsid w:val="1DBABF00"/>
    <w:multiLevelType w:val="hybridMultilevel"/>
    <w:lvl w:ilvl="0">
      <w:lvlJc w:val="left"/>
      <w:lvlText w:val="(%1)"/>
      <w:numFmt w:val="decimal"/>
      <w:start w:val="9"/>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10"/>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2025-08-11T15:15:17Z</dcterms:created>
  <dcterms:modified xsi:type="dcterms:W3CDTF">2025-08-11T15:15:17Z</dcterms:modified>
</cp:coreProperties>
</file>